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0491" w14:textId="77777777" w:rsidR="003A0C8F" w:rsidRDefault="003A0C8F" w:rsidP="003A0C8F">
      <w:pPr>
        <w:pStyle w:val="Heading2"/>
      </w:pPr>
      <w:r w:rsidRPr="008C6E54">
        <w:t>Performance of Health Utilities in Cataract Surgery</w:t>
      </w:r>
    </w:p>
    <w:p w14:paraId="72750823" w14:textId="77777777" w:rsidR="003A0C8F" w:rsidRDefault="003A0C8F" w:rsidP="003A0C8F">
      <w:pPr>
        <w:spacing w:before="240"/>
      </w:pPr>
    </w:p>
    <w:p w14:paraId="0EC62246" w14:textId="77777777" w:rsidR="003A0C8F" w:rsidRDefault="003A0C8F" w:rsidP="003A0C8F">
      <w:pPr>
        <w:spacing w:before="240"/>
      </w:pPr>
    </w:p>
    <w:p w14:paraId="621D9F22" w14:textId="77777777" w:rsidR="003A0C8F" w:rsidRDefault="003A0C8F" w:rsidP="003A0C8F">
      <w:pPr>
        <w:spacing w:before="240"/>
      </w:pPr>
    </w:p>
    <w:p w14:paraId="256ED509" w14:textId="77777777" w:rsidR="003A0C8F" w:rsidRDefault="003A0C8F" w:rsidP="003A0C8F">
      <w:pPr>
        <w:spacing w:before="240"/>
      </w:pPr>
    </w:p>
    <w:p w14:paraId="27EF9383" w14:textId="77777777" w:rsidR="003A0C8F" w:rsidRDefault="003A0C8F" w:rsidP="003A0C8F">
      <w:pPr>
        <w:spacing w:before="240"/>
      </w:pPr>
    </w:p>
    <w:p w14:paraId="2CFAC8E1" w14:textId="77777777" w:rsidR="003A0C8F" w:rsidRPr="007A1EC1" w:rsidRDefault="003A0C8F" w:rsidP="003A0C8F">
      <w:pPr>
        <w:jc w:val="center"/>
        <w:rPr>
          <w:b/>
          <w:bCs/>
          <w:sz w:val="56"/>
          <w:szCs w:val="56"/>
        </w:rPr>
      </w:pPr>
      <w:r w:rsidRPr="008C6E54">
        <w:rPr>
          <w:b/>
          <w:bCs/>
          <w:sz w:val="56"/>
          <w:szCs w:val="56"/>
        </w:rPr>
        <w:t>Performance of Health Utilities in Cataract Surgery</w:t>
      </w:r>
    </w:p>
    <w:p w14:paraId="2BF933BC" w14:textId="77777777" w:rsidR="003A0C8F" w:rsidRPr="008C6E54" w:rsidRDefault="003A0C8F" w:rsidP="003A0C8F">
      <w:pPr>
        <w:spacing w:line="480" w:lineRule="auto"/>
        <w:rPr>
          <w:rFonts w:cs="Calibri"/>
          <w:b/>
          <w:bCs/>
          <w:color w:val="2F5496"/>
          <w:sz w:val="40"/>
          <w:szCs w:val="40"/>
        </w:rPr>
      </w:pPr>
      <w:r>
        <w:br w:type="page"/>
      </w:r>
      <w:bookmarkStart w:id="0" w:name="_Hlk10799643"/>
      <w:r w:rsidRPr="008C6E54">
        <w:rPr>
          <w:rFonts w:cs="Calibri"/>
          <w:b/>
          <w:bCs/>
          <w:color w:val="2F5496"/>
          <w:sz w:val="40"/>
          <w:szCs w:val="40"/>
        </w:rPr>
        <w:lastRenderedPageBreak/>
        <w:t>Assessing the construct validity and responsiveness of Preference Based Measures (PBMs) in cataract surgery patients</w:t>
      </w:r>
      <w:bookmarkEnd w:id="0"/>
    </w:p>
    <w:p w14:paraId="12427E87" w14:textId="77777777" w:rsidR="003A0C8F" w:rsidRPr="00530252" w:rsidRDefault="003A0C8F" w:rsidP="003A0C8F">
      <w:pPr>
        <w:contextualSpacing w:val="0"/>
        <w:rPr>
          <w:rFonts w:cs="Calibri"/>
        </w:rPr>
      </w:pPr>
    </w:p>
    <w:p w14:paraId="1BFCC29C" w14:textId="77777777" w:rsidR="003A0C8F" w:rsidRPr="00530252" w:rsidRDefault="003A0C8F" w:rsidP="003A0C8F">
      <w:pPr>
        <w:contextualSpacing w:val="0"/>
        <w:rPr>
          <w:rFonts w:cs="Calibri"/>
        </w:rPr>
      </w:pPr>
    </w:p>
    <w:p w14:paraId="4AC28BAD" w14:textId="77777777" w:rsidR="003A0C8F" w:rsidRPr="00213C9D" w:rsidRDefault="003A0C8F" w:rsidP="003A0C8F">
      <w:pPr>
        <w:spacing w:after="160"/>
        <w:contextualSpacing w:val="0"/>
        <w:rPr>
          <w:rFonts w:eastAsia="Times New Roman" w:cs="Calibri"/>
          <w:sz w:val="24"/>
          <w:szCs w:val="20"/>
          <w:lang w:eastAsia="en-GB"/>
        </w:rPr>
      </w:pPr>
      <w:r w:rsidRPr="000345B6">
        <w:rPr>
          <w:rFonts w:eastAsia="Times New Roman" w:cs="Calibri"/>
          <w:sz w:val="24"/>
          <w:szCs w:val="20"/>
          <w:lang w:eastAsia="en-GB"/>
        </w:rPr>
        <w:t xml:space="preserve">Open </w:t>
      </w:r>
      <w:r>
        <w:rPr>
          <w:rFonts w:eastAsia="Times New Roman" w:cs="Calibri"/>
          <w:sz w:val="24"/>
          <w:szCs w:val="20"/>
          <w:lang w:eastAsia="en-GB"/>
        </w:rPr>
        <w:t>A</w:t>
      </w:r>
      <w:r w:rsidRPr="000345B6">
        <w:rPr>
          <w:rFonts w:eastAsia="Times New Roman" w:cs="Calibri"/>
          <w:sz w:val="24"/>
          <w:szCs w:val="20"/>
          <w:lang w:eastAsia="en-GB"/>
        </w:rPr>
        <w:t>ccess</w:t>
      </w:r>
      <w:r>
        <w:rPr>
          <w:rFonts w:eastAsia="Times New Roman" w:cs="Calibri"/>
          <w:sz w:val="24"/>
          <w:szCs w:val="20"/>
          <w:lang w:eastAsia="en-GB"/>
        </w:rPr>
        <w:t xml:space="preserve"> Paper Published: </w:t>
      </w:r>
    </w:p>
    <w:p w14:paraId="24753DBF" w14:textId="77777777" w:rsidR="003A0C8F" w:rsidRPr="000345B6" w:rsidRDefault="003A0C8F" w:rsidP="003A0C8F">
      <w:pPr>
        <w:contextualSpacing w:val="0"/>
        <w:rPr>
          <w:rFonts w:cs="Calibri"/>
        </w:rPr>
      </w:pPr>
      <w:proofErr w:type="spellStart"/>
      <w:r w:rsidRPr="000345B6">
        <w:rPr>
          <w:rFonts w:cs="Calibri"/>
        </w:rPr>
        <w:t>Breheny</w:t>
      </w:r>
      <w:proofErr w:type="spellEnd"/>
      <w:r w:rsidRPr="000345B6">
        <w:rPr>
          <w:rFonts w:cs="Calibri"/>
        </w:rPr>
        <w:t xml:space="preserve"> K, Hollingworth W, </w:t>
      </w:r>
      <w:proofErr w:type="spellStart"/>
      <w:r w:rsidRPr="000345B6">
        <w:rPr>
          <w:rFonts w:cs="Calibri"/>
        </w:rPr>
        <w:t>Kandiyali</w:t>
      </w:r>
      <w:proofErr w:type="spellEnd"/>
      <w:r w:rsidRPr="000345B6">
        <w:rPr>
          <w:rFonts w:cs="Calibri"/>
        </w:rPr>
        <w:t xml:space="preserve"> R, Dixon P, Loose A, Craggs P, et al. Assessing the construct validity and responsiveness of Preference-Based Measures (PBMs) in cataract surgery patients. Qual Life Res. 2020;29(7):1935-46.</w:t>
      </w:r>
    </w:p>
    <w:p w14:paraId="40CE9051" w14:textId="77777777" w:rsidR="003A0C8F" w:rsidRPr="00530252" w:rsidRDefault="003A0C8F" w:rsidP="003A0C8F">
      <w:pPr>
        <w:contextualSpacing w:val="0"/>
        <w:rPr>
          <w:rFonts w:cs="Calibri"/>
        </w:rPr>
      </w:pPr>
      <w:hyperlink r:id="rId4" w:history="1">
        <w:r w:rsidRPr="00E5766F">
          <w:rPr>
            <w:rStyle w:val="Hyperlink"/>
            <w:rFonts w:cs="Calibri"/>
          </w:rPr>
          <w:t>https://link.springer.com/article/10.1007/s11136-020-02443-3</w:t>
        </w:r>
      </w:hyperlink>
      <w:r>
        <w:rPr>
          <w:rFonts w:cs="Calibri"/>
        </w:rPr>
        <w:t xml:space="preserve"> </w:t>
      </w:r>
      <w:r w:rsidRPr="00406F57">
        <w:rPr>
          <w:rFonts w:cs="Calibri"/>
        </w:rPr>
        <w:t>(accessed 20 March 2021)</w:t>
      </w:r>
    </w:p>
    <w:p w14:paraId="0D43FA7C" w14:textId="77777777" w:rsidR="00A57042" w:rsidRDefault="00A57042"/>
    <w:sectPr w:rsidR="00A57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8F"/>
    <w:rsid w:val="003A0C8F"/>
    <w:rsid w:val="00A5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FE2C"/>
  <w15:chartTrackingRefBased/>
  <w15:docId w15:val="{82F7D0B6-3F73-45ED-8F33-8633581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C8F"/>
    <w:pPr>
      <w:spacing w:after="0" w:line="360" w:lineRule="auto"/>
      <w:contextualSpacing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0C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3A0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article/10.1007/s11136-020-02443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2021-06-15T10:51:00Z</dcterms:created>
  <dcterms:modified xsi:type="dcterms:W3CDTF">2021-06-15T10:52:00Z</dcterms:modified>
</cp:coreProperties>
</file>