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9D" w:rsidRPr="0054439D" w:rsidRDefault="0054439D" w:rsidP="0054439D">
      <w:pPr>
        <w:rPr>
          <w:rFonts w:ascii="Calibri" w:hAnsi="Calibri" w:cs="Arial"/>
          <w:b/>
          <w:sz w:val="28"/>
          <w:szCs w:val="28"/>
        </w:rPr>
      </w:pPr>
      <w:r w:rsidRPr="0054439D">
        <w:rPr>
          <w:b/>
          <w:sz w:val="28"/>
          <w:szCs w:val="28"/>
        </w:rPr>
        <w:t>Data from HES</w:t>
      </w:r>
    </w:p>
    <w:p w:rsidR="0054439D" w:rsidRDefault="0054439D" w:rsidP="0054439D">
      <w:pPr>
        <w:rPr>
          <w:rFonts w:ascii="Calibri" w:hAnsi="Calibri" w:cs="Arial"/>
          <w:szCs w:val="24"/>
        </w:rPr>
      </w:pPr>
      <w:r>
        <w:rPr>
          <w:rFonts w:ascii="Calibri" w:hAnsi="Calibri" w:cs="Arial"/>
          <w:szCs w:val="24"/>
        </w:rPr>
        <w:t>Care home records are known to be of poor quality in the monitoring of health care contacts made outside of the care home itself.  To measure secondary care, including inpatient, outpatient and A&amp;E, Hospital episode statistics (HES) were returned by NHS Digital, identified using NHS Number which was concealed to analysts.</w:t>
      </w:r>
    </w:p>
    <w:p w:rsidR="0054439D" w:rsidRDefault="0054439D" w:rsidP="0054439D">
      <w:pPr>
        <w:rPr>
          <w:rFonts w:ascii="Calibri" w:hAnsi="Calibri" w:cs="Arial"/>
          <w:szCs w:val="24"/>
        </w:rPr>
      </w:pPr>
      <w:r>
        <w:rPr>
          <w:rFonts w:ascii="Calibri" w:hAnsi="Calibri" w:cs="Arial"/>
          <w:szCs w:val="24"/>
        </w:rPr>
        <w:t xml:space="preserve">Prior to analysis, we conducted plausibility checks on HES data, comparing participant information recorded on </w:t>
      </w:r>
      <w:proofErr w:type="spellStart"/>
      <w:r>
        <w:rPr>
          <w:rFonts w:ascii="Calibri" w:hAnsi="Calibri" w:cs="Arial"/>
          <w:szCs w:val="24"/>
        </w:rPr>
        <w:t>eCRF</w:t>
      </w:r>
      <w:proofErr w:type="spellEnd"/>
      <w:r>
        <w:rPr>
          <w:rFonts w:ascii="Calibri" w:hAnsi="Calibri" w:cs="Arial"/>
          <w:szCs w:val="24"/>
        </w:rPr>
        <w:t xml:space="preserve">.  </w:t>
      </w:r>
    </w:p>
    <w:p w:rsidR="0054439D" w:rsidRDefault="0054439D" w:rsidP="0054439D">
      <w:pPr>
        <w:rPr>
          <w:rFonts w:ascii="Calibri" w:hAnsi="Calibri" w:cs="Arial"/>
          <w:szCs w:val="24"/>
        </w:rPr>
      </w:pPr>
      <w:r>
        <w:rPr>
          <w:rFonts w:ascii="Calibri" w:hAnsi="Calibri" w:cs="Arial"/>
          <w:szCs w:val="24"/>
        </w:rPr>
        <w:t xml:space="preserve">We matched records using month of birth and year of birth (full date of birth was concealed).  </w:t>
      </w:r>
    </w:p>
    <w:p w:rsidR="0054439D" w:rsidRDefault="0054439D" w:rsidP="0054439D">
      <w:pPr>
        <w:pStyle w:val="ListParagraph"/>
        <w:numPr>
          <w:ilvl w:val="0"/>
          <w:numId w:val="1"/>
        </w:numPr>
        <w:spacing w:after="0"/>
        <w:rPr>
          <w:rFonts w:ascii="Calibri" w:hAnsi="Calibri" w:cs="Arial"/>
          <w:szCs w:val="24"/>
        </w:rPr>
      </w:pPr>
      <w:r>
        <w:rPr>
          <w:rFonts w:ascii="Calibri" w:hAnsi="Calibri" w:cs="Arial"/>
          <w:szCs w:val="24"/>
        </w:rPr>
        <w:t xml:space="preserve">Where month and year of birth did not match, we ascertained it was unlikely the HES data linked to the participant, and the NHS Number was probably incorrect. Therefore, we excluded these participants in HES analysis </w:t>
      </w:r>
    </w:p>
    <w:p w:rsidR="0054439D" w:rsidRDefault="0054439D" w:rsidP="0054439D">
      <w:pPr>
        <w:pStyle w:val="ListParagraph"/>
        <w:numPr>
          <w:ilvl w:val="0"/>
          <w:numId w:val="1"/>
        </w:numPr>
        <w:spacing w:after="0"/>
        <w:rPr>
          <w:rFonts w:ascii="Calibri" w:hAnsi="Calibri" w:cs="Arial"/>
          <w:szCs w:val="24"/>
        </w:rPr>
      </w:pPr>
      <w:r>
        <w:rPr>
          <w:rFonts w:ascii="Calibri" w:hAnsi="Calibri" w:cs="Arial"/>
          <w:szCs w:val="24"/>
        </w:rPr>
        <w:t xml:space="preserve">Where year of birth did not match, if the mismatch was for one digit (e.g. 1927 instead of 1937; 1941 instead of 1940) we ascertained this was probably a minor typo in </w:t>
      </w:r>
      <w:proofErr w:type="spellStart"/>
      <w:r>
        <w:rPr>
          <w:rFonts w:ascii="Calibri" w:hAnsi="Calibri" w:cs="Arial"/>
          <w:szCs w:val="24"/>
        </w:rPr>
        <w:t>eCRF</w:t>
      </w:r>
      <w:proofErr w:type="spellEnd"/>
      <w:r>
        <w:rPr>
          <w:rFonts w:ascii="Calibri" w:hAnsi="Calibri" w:cs="Arial"/>
          <w:szCs w:val="24"/>
        </w:rPr>
        <w:t xml:space="preserve">, and the HES data linked to the participant.  </w:t>
      </w:r>
    </w:p>
    <w:p w:rsidR="0054439D" w:rsidRDefault="0054439D" w:rsidP="0054439D">
      <w:pPr>
        <w:pStyle w:val="ListParagraph"/>
        <w:numPr>
          <w:ilvl w:val="0"/>
          <w:numId w:val="1"/>
        </w:numPr>
        <w:spacing w:after="0"/>
        <w:rPr>
          <w:rFonts w:ascii="Calibri" w:hAnsi="Calibri" w:cs="Arial"/>
          <w:szCs w:val="24"/>
        </w:rPr>
      </w:pPr>
      <w:r>
        <w:rPr>
          <w:rFonts w:ascii="Calibri" w:hAnsi="Calibri" w:cs="Arial"/>
          <w:szCs w:val="24"/>
        </w:rPr>
        <w:t xml:space="preserve">If more than one digit was incorrect (e.g. 1932 instead of 1917), we excluded these </w:t>
      </w:r>
      <w:bookmarkStart w:id="0" w:name="_GoBack"/>
      <w:r>
        <w:rPr>
          <w:rFonts w:ascii="Calibri" w:hAnsi="Calibri" w:cs="Arial"/>
          <w:szCs w:val="24"/>
        </w:rPr>
        <w:t xml:space="preserve">participants in HES analysis </w:t>
      </w:r>
    </w:p>
    <w:bookmarkEnd w:id="0"/>
    <w:p w:rsidR="0054439D" w:rsidRDefault="0054439D" w:rsidP="0054439D">
      <w:pPr>
        <w:pStyle w:val="ListParagraph"/>
        <w:numPr>
          <w:ilvl w:val="0"/>
          <w:numId w:val="1"/>
        </w:numPr>
        <w:spacing w:after="0"/>
        <w:rPr>
          <w:rFonts w:ascii="Calibri" w:hAnsi="Calibri" w:cs="Arial"/>
          <w:szCs w:val="24"/>
        </w:rPr>
      </w:pPr>
      <w:r>
        <w:rPr>
          <w:rFonts w:ascii="Calibri" w:hAnsi="Calibri" w:cs="Arial"/>
          <w:szCs w:val="24"/>
        </w:rPr>
        <w:t>We ignored mismatch in month if the birth year matched.</w:t>
      </w:r>
    </w:p>
    <w:p w:rsidR="0054439D" w:rsidRDefault="0054439D" w:rsidP="0054439D">
      <w:pPr>
        <w:rPr>
          <w:rFonts w:ascii="Calibri" w:hAnsi="Calibri" w:cs="Arial"/>
          <w:szCs w:val="24"/>
        </w:rPr>
      </w:pPr>
    </w:p>
    <w:p w:rsidR="0054439D" w:rsidRDefault="0054439D" w:rsidP="0054439D">
      <w:pPr>
        <w:rPr>
          <w:rFonts w:ascii="Calibri" w:hAnsi="Calibri" w:cs="Arial"/>
          <w:szCs w:val="24"/>
        </w:rPr>
      </w:pPr>
      <w:r>
        <w:rPr>
          <w:rFonts w:ascii="Calibri" w:hAnsi="Calibri" w:cs="Arial"/>
          <w:szCs w:val="24"/>
        </w:rPr>
        <w:t>Assessing baseline differences based on the 3 months before randomisation, we censored All HES datasets (Admitted, Outpatients and A&amp;E) to 90days before randomisation (“</w:t>
      </w:r>
      <w:proofErr w:type="spellStart"/>
      <w:r>
        <w:rPr>
          <w:rFonts w:ascii="Calibri" w:hAnsi="Calibri" w:cs="Arial"/>
          <w:szCs w:val="24"/>
        </w:rPr>
        <w:t>preStudy</w:t>
      </w:r>
      <w:proofErr w:type="spellEnd"/>
      <w:r>
        <w:rPr>
          <w:rFonts w:ascii="Calibri" w:hAnsi="Calibri" w:cs="Arial"/>
          <w:szCs w:val="24"/>
        </w:rPr>
        <w:t>”) and 360 days after randomisation (“</w:t>
      </w:r>
      <w:proofErr w:type="spellStart"/>
      <w:r>
        <w:rPr>
          <w:rFonts w:ascii="Calibri" w:hAnsi="Calibri" w:cs="Arial"/>
          <w:szCs w:val="24"/>
        </w:rPr>
        <w:t>duringStudy</w:t>
      </w:r>
      <w:proofErr w:type="spellEnd"/>
      <w:r>
        <w:rPr>
          <w:rFonts w:ascii="Calibri" w:hAnsi="Calibri" w:cs="Arial"/>
          <w:szCs w:val="24"/>
        </w:rPr>
        <w:t>”)</w:t>
      </w:r>
    </w:p>
    <w:p w:rsidR="0054439D" w:rsidRDefault="0054439D" w:rsidP="0054439D">
      <w:pPr>
        <w:rPr>
          <w:rFonts w:ascii="Calibri" w:hAnsi="Calibri" w:cs="Arial"/>
          <w:szCs w:val="24"/>
        </w:rPr>
      </w:pPr>
      <w:r>
        <w:rPr>
          <w:rFonts w:ascii="Calibri" w:hAnsi="Calibri" w:cs="Arial"/>
          <w:szCs w:val="24"/>
        </w:rPr>
        <w:t xml:space="preserve">For inpatient stays, if numerous episodes were listed for a single hospital stay, only the final episode was costed.  This involved excluding records where ** Discharge destination = 98; Discharge date = </w:t>
      </w:r>
      <w:proofErr w:type="gramStart"/>
      <w:r>
        <w:rPr>
          <w:rFonts w:ascii="Calibri" w:hAnsi="Calibri" w:cs="Arial"/>
          <w:szCs w:val="24"/>
        </w:rPr>
        <w:t>01jan1801</w:t>
      </w:r>
      <w:proofErr w:type="gramEnd"/>
      <w:r>
        <w:rPr>
          <w:rFonts w:ascii="Calibri" w:hAnsi="Calibri" w:cs="Arial"/>
          <w:szCs w:val="24"/>
        </w:rPr>
        <w:t xml:space="preserve"> (1,890 observations deleted).  The combined day case/ ordinary elective spell tariff was applied to all admissions unless the episode contains a diagnosis which is ambulatory care sensitive (as recorded in HES), in which case the non-elective spell tariff was applied.</w:t>
      </w:r>
    </w:p>
    <w:p w:rsidR="0054439D" w:rsidRDefault="0054439D" w:rsidP="0054439D">
      <w:pPr>
        <w:rPr>
          <w:rFonts w:ascii="Calibri" w:hAnsi="Calibri" w:cs="Arial"/>
          <w:szCs w:val="24"/>
        </w:rPr>
      </w:pPr>
      <w:r>
        <w:rPr>
          <w:rFonts w:ascii="Calibri" w:hAnsi="Calibri" w:cs="Arial"/>
          <w:szCs w:val="24"/>
        </w:rPr>
        <w:t>A small number of reported HRGs were not linked to National Tariff 201718.  For these, we applied the mean value:</w:t>
      </w:r>
    </w:p>
    <w:p w:rsidR="0054439D" w:rsidRDefault="0054439D" w:rsidP="0054439D">
      <w:pPr>
        <w:rPr>
          <w:rFonts w:ascii="Calibri" w:hAnsi="Calibri" w:cs="Arial"/>
          <w:szCs w:val="24"/>
        </w:rPr>
      </w:pPr>
      <w:r>
        <w:rPr>
          <w:rFonts w:ascii="Calibri" w:hAnsi="Calibri" w:cs="Arial"/>
          <w:szCs w:val="24"/>
        </w:rPr>
        <w:t xml:space="preserve">HRG descriptions were available for mapped records, which included a brief description of principle reason for admission.  We identified key falls-related phrases and created dummy variables where these appeared. </w:t>
      </w:r>
    </w:p>
    <w:p w:rsidR="0054439D" w:rsidRDefault="0054439D" w:rsidP="0054439D">
      <w:pPr>
        <w:pStyle w:val="ListParagraph"/>
        <w:numPr>
          <w:ilvl w:val="0"/>
          <w:numId w:val="2"/>
        </w:numPr>
        <w:rPr>
          <w:rFonts w:ascii="Calibri" w:hAnsi="Calibri" w:cs="Arial"/>
          <w:szCs w:val="24"/>
        </w:rPr>
      </w:pPr>
      <w:r>
        <w:rPr>
          <w:rFonts w:ascii="Calibri" w:hAnsi="Calibri" w:cs="Arial"/>
          <w:szCs w:val="24"/>
        </w:rPr>
        <w:t xml:space="preserve">gen </w:t>
      </w:r>
      <w:proofErr w:type="spellStart"/>
      <w:r>
        <w:rPr>
          <w:rFonts w:ascii="Calibri" w:hAnsi="Calibri" w:cs="Arial"/>
          <w:szCs w:val="24"/>
        </w:rPr>
        <w:t>fractureHRG</w:t>
      </w:r>
      <w:proofErr w:type="spellEnd"/>
      <w:r>
        <w:rPr>
          <w:rFonts w:ascii="Calibri" w:hAnsi="Calibri" w:cs="Arial"/>
          <w:szCs w:val="24"/>
        </w:rPr>
        <w:t xml:space="preserve"> = </w:t>
      </w:r>
      <w:proofErr w:type="spellStart"/>
      <w:r>
        <w:rPr>
          <w:rFonts w:ascii="Calibri" w:hAnsi="Calibri" w:cs="Arial"/>
          <w:szCs w:val="24"/>
        </w:rPr>
        <w:t>strpos</w:t>
      </w:r>
      <w:proofErr w:type="spellEnd"/>
      <w:r>
        <w:rPr>
          <w:rFonts w:ascii="Calibri" w:hAnsi="Calibri" w:cs="Arial"/>
          <w:szCs w:val="24"/>
        </w:rPr>
        <w:t xml:space="preserve">( </w:t>
      </w:r>
      <w:proofErr w:type="spellStart"/>
      <w:r>
        <w:rPr>
          <w:rFonts w:ascii="Calibri" w:hAnsi="Calibri" w:cs="Arial"/>
          <w:szCs w:val="24"/>
        </w:rPr>
        <w:t>HRGname</w:t>
      </w:r>
      <w:proofErr w:type="spellEnd"/>
      <w:r>
        <w:rPr>
          <w:rFonts w:ascii="Calibri" w:hAnsi="Calibri" w:cs="Arial"/>
          <w:szCs w:val="24"/>
        </w:rPr>
        <w:t>, "Fracture") &gt; 0</w:t>
      </w:r>
    </w:p>
    <w:p w:rsidR="0054439D" w:rsidRDefault="0054439D" w:rsidP="0054439D">
      <w:pPr>
        <w:pStyle w:val="ListParagraph"/>
        <w:numPr>
          <w:ilvl w:val="0"/>
          <w:numId w:val="2"/>
        </w:numPr>
        <w:rPr>
          <w:rFonts w:ascii="Calibri" w:hAnsi="Calibri" w:cs="Arial"/>
          <w:szCs w:val="24"/>
        </w:rPr>
      </w:pPr>
      <w:r>
        <w:rPr>
          <w:rFonts w:ascii="Calibri" w:hAnsi="Calibri" w:cs="Arial"/>
          <w:szCs w:val="24"/>
        </w:rPr>
        <w:t xml:space="preserve">gen </w:t>
      </w:r>
      <w:proofErr w:type="spellStart"/>
      <w:r>
        <w:rPr>
          <w:rFonts w:ascii="Calibri" w:hAnsi="Calibri" w:cs="Arial"/>
          <w:szCs w:val="24"/>
        </w:rPr>
        <w:t>fortraumaHRG</w:t>
      </w:r>
      <w:proofErr w:type="spellEnd"/>
      <w:r>
        <w:rPr>
          <w:rFonts w:ascii="Calibri" w:hAnsi="Calibri" w:cs="Arial"/>
          <w:szCs w:val="24"/>
        </w:rPr>
        <w:t xml:space="preserve">  = </w:t>
      </w:r>
      <w:proofErr w:type="spellStart"/>
      <w:r>
        <w:rPr>
          <w:rFonts w:ascii="Calibri" w:hAnsi="Calibri" w:cs="Arial"/>
          <w:szCs w:val="24"/>
        </w:rPr>
        <w:t>strpos</w:t>
      </w:r>
      <w:proofErr w:type="spellEnd"/>
      <w:r>
        <w:rPr>
          <w:rFonts w:ascii="Calibri" w:hAnsi="Calibri" w:cs="Arial"/>
          <w:szCs w:val="24"/>
        </w:rPr>
        <w:t xml:space="preserve">( </w:t>
      </w:r>
      <w:proofErr w:type="spellStart"/>
      <w:r>
        <w:rPr>
          <w:rFonts w:ascii="Calibri" w:hAnsi="Calibri" w:cs="Arial"/>
          <w:szCs w:val="24"/>
        </w:rPr>
        <w:t>HRGname</w:t>
      </w:r>
      <w:proofErr w:type="spellEnd"/>
      <w:r>
        <w:rPr>
          <w:rFonts w:ascii="Calibri" w:hAnsi="Calibri" w:cs="Arial"/>
          <w:szCs w:val="24"/>
        </w:rPr>
        <w:t>, "for Trauma") &gt; 0</w:t>
      </w:r>
    </w:p>
    <w:p w:rsidR="0054439D" w:rsidRDefault="0054439D" w:rsidP="0054439D">
      <w:pPr>
        <w:pStyle w:val="ListParagraph"/>
        <w:numPr>
          <w:ilvl w:val="0"/>
          <w:numId w:val="2"/>
        </w:numPr>
        <w:rPr>
          <w:rFonts w:ascii="Calibri" w:hAnsi="Calibri" w:cs="Arial"/>
          <w:szCs w:val="24"/>
        </w:rPr>
      </w:pPr>
      <w:r>
        <w:rPr>
          <w:rFonts w:ascii="Calibri" w:hAnsi="Calibri" w:cs="Arial"/>
          <w:szCs w:val="24"/>
        </w:rPr>
        <w:t xml:space="preserve">gen </w:t>
      </w:r>
      <w:proofErr w:type="spellStart"/>
      <w:r>
        <w:rPr>
          <w:rFonts w:ascii="Calibri" w:hAnsi="Calibri" w:cs="Arial"/>
          <w:szCs w:val="24"/>
        </w:rPr>
        <w:t>tendancyfallHRG</w:t>
      </w:r>
      <w:proofErr w:type="spellEnd"/>
      <w:r>
        <w:rPr>
          <w:rFonts w:ascii="Calibri" w:hAnsi="Calibri" w:cs="Arial"/>
          <w:szCs w:val="24"/>
        </w:rPr>
        <w:t xml:space="preserve">  = </w:t>
      </w:r>
      <w:proofErr w:type="spellStart"/>
      <w:r>
        <w:rPr>
          <w:rFonts w:ascii="Calibri" w:hAnsi="Calibri" w:cs="Arial"/>
          <w:szCs w:val="24"/>
        </w:rPr>
        <w:t>strpos</w:t>
      </w:r>
      <w:proofErr w:type="spellEnd"/>
      <w:r>
        <w:rPr>
          <w:rFonts w:ascii="Calibri" w:hAnsi="Calibri" w:cs="Arial"/>
          <w:szCs w:val="24"/>
        </w:rPr>
        <w:t xml:space="preserve">( </w:t>
      </w:r>
      <w:proofErr w:type="spellStart"/>
      <w:r>
        <w:rPr>
          <w:rFonts w:ascii="Calibri" w:hAnsi="Calibri" w:cs="Arial"/>
          <w:szCs w:val="24"/>
        </w:rPr>
        <w:t>HRGname</w:t>
      </w:r>
      <w:proofErr w:type="spellEnd"/>
      <w:r>
        <w:rPr>
          <w:rFonts w:ascii="Calibri" w:hAnsi="Calibri" w:cs="Arial"/>
          <w:szCs w:val="24"/>
        </w:rPr>
        <w:t>, "Tendency to Fall,") &gt; 0</w:t>
      </w:r>
    </w:p>
    <w:p w:rsidR="0054439D" w:rsidRDefault="0054439D" w:rsidP="0054439D">
      <w:pPr>
        <w:pStyle w:val="ListParagraph"/>
        <w:numPr>
          <w:ilvl w:val="0"/>
          <w:numId w:val="2"/>
        </w:numPr>
        <w:rPr>
          <w:rFonts w:ascii="Calibri" w:hAnsi="Calibri" w:cs="Arial"/>
          <w:szCs w:val="24"/>
        </w:rPr>
      </w:pPr>
      <w:r>
        <w:rPr>
          <w:rFonts w:ascii="Calibri" w:hAnsi="Calibri" w:cs="Arial"/>
          <w:szCs w:val="24"/>
        </w:rPr>
        <w:t xml:space="preserve">gen </w:t>
      </w:r>
      <w:proofErr w:type="spellStart"/>
      <w:r>
        <w:rPr>
          <w:rFonts w:ascii="Calibri" w:hAnsi="Calibri" w:cs="Arial"/>
          <w:szCs w:val="24"/>
        </w:rPr>
        <w:t>anyfallsHRG</w:t>
      </w:r>
      <w:proofErr w:type="spellEnd"/>
      <w:r>
        <w:rPr>
          <w:rFonts w:ascii="Calibri" w:hAnsi="Calibri" w:cs="Arial"/>
          <w:szCs w:val="24"/>
        </w:rPr>
        <w:t xml:space="preserve"> = fracture + </w:t>
      </w:r>
      <w:proofErr w:type="spellStart"/>
      <w:r>
        <w:rPr>
          <w:rFonts w:ascii="Calibri" w:hAnsi="Calibri" w:cs="Arial"/>
          <w:szCs w:val="24"/>
        </w:rPr>
        <w:t>fortrauma</w:t>
      </w:r>
      <w:proofErr w:type="spellEnd"/>
      <w:r>
        <w:rPr>
          <w:rFonts w:ascii="Calibri" w:hAnsi="Calibri" w:cs="Arial"/>
          <w:szCs w:val="24"/>
        </w:rPr>
        <w:t xml:space="preserve"> + </w:t>
      </w:r>
      <w:proofErr w:type="spellStart"/>
      <w:r>
        <w:rPr>
          <w:rFonts w:ascii="Calibri" w:hAnsi="Calibri" w:cs="Arial"/>
          <w:szCs w:val="24"/>
        </w:rPr>
        <w:t>tendancyfall</w:t>
      </w:r>
      <w:proofErr w:type="spellEnd"/>
    </w:p>
    <w:p w:rsidR="0054439D" w:rsidRDefault="0054439D" w:rsidP="0054439D">
      <w:pPr>
        <w:pStyle w:val="ListParagraph"/>
        <w:numPr>
          <w:ilvl w:val="0"/>
          <w:numId w:val="2"/>
        </w:numPr>
        <w:rPr>
          <w:rFonts w:ascii="Calibri" w:hAnsi="Calibri" w:cs="Arial"/>
          <w:szCs w:val="24"/>
        </w:rPr>
      </w:pPr>
      <w:r>
        <w:rPr>
          <w:rFonts w:ascii="Calibri" w:hAnsi="Calibri" w:cs="Arial"/>
          <w:szCs w:val="24"/>
        </w:rPr>
        <w:lastRenderedPageBreak/>
        <w:t xml:space="preserve">gen </w:t>
      </w:r>
      <w:proofErr w:type="spellStart"/>
      <w:r>
        <w:rPr>
          <w:rFonts w:ascii="Calibri" w:hAnsi="Calibri" w:cs="Arial"/>
          <w:szCs w:val="24"/>
        </w:rPr>
        <w:t>hipHRG</w:t>
      </w:r>
      <w:proofErr w:type="spellEnd"/>
      <w:r>
        <w:rPr>
          <w:rFonts w:ascii="Calibri" w:hAnsi="Calibri" w:cs="Arial"/>
          <w:szCs w:val="24"/>
        </w:rPr>
        <w:t xml:space="preserve">  = </w:t>
      </w:r>
      <w:proofErr w:type="spellStart"/>
      <w:r>
        <w:rPr>
          <w:rFonts w:ascii="Calibri" w:hAnsi="Calibri" w:cs="Arial"/>
          <w:szCs w:val="24"/>
        </w:rPr>
        <w:t>strpos</w:t>
      </w:r>
      <w:proofErr w:type="spellEnd"/>
      <w:r>
        <w:rPr>
          <w:rFonts w:ascii="Calibri" w:hAnsi="Calibri" w:cs="Arial"/>
          <w:szCs w:val="24"/>
        </w:rPr>
        <w:t xml:space="preserve">( </w:t>
      </w:r>
      <w:proofErr w:type="spellStart"/>
      <w:r>
        <w:rPr>
          <w:rFonts w:ascii="Calibri" w:hAnsi="Calibri" w:cs="Arial"/>
          <w:szCs w:val="24"/>
        </w:rPr>
        <w:t>HRGname</w:t>
      </w:r>
      <w:proofErr w:type="spellEnd"/>
      <w:r>
        <w:rPr>
          <w:rFonts w:ascii="Calibri" w:hAnsi="Calibri" w:cs="Arial"/>
          <w:szCs w:val="24"/>
        </w:rPr>
        <w:t>, "Hip") &gt; 0</w:t>
      </w:r>
    </w:p>
    <w:p w:rsidR="0054439D" w:rsidRDefault="0054439D" w:rsidP="0054439D">
      <w:pPr>
        <w:pStyle w:val="ListParagraph"/>
        <w:numPr>
          <w:ilvl w:val="0"/>
          <w:numId w:val="2"/>
        </w:numPr>
        <w:rPr>
          <w:rFonts w:ascii="Calibri" w:hAnsi="Calibri" w:cs="Arial"/>
          <w:szCs w:val="24"/>
        </w:rPr>
      </w:pPr>
      <w:r>
        <w:rPr>
          <w:rFonts w:ascii="Calibri" w:hAnsi="Calibri" w:cs="Arial"/>
          <w:szCs w:val="24"/>
        </w:rPr>
        <w:t xml:space="preserve">gen </w:t>
      </w:r>
      <w:proofErr w:type="spellStart"/>
      <w:r>
        <w:rPr>
          <w:rFonts w:ascii="Calibri" w:hAnsi="Calibri" w:cs="Arial"/>
          <w:szCs w:val="24"/>
        </w:rPr>
        <w:t>armHRG</w:t>
      </w:r>
      <w:proofErr w:type="spellEnd"/>
      <w:r>
        <w:rPr>
          <w:rFonts w:ascii="Calibri" w:hAnsi="Calibri" w:cs="Arial"/>
          <w:szCs w:val="24"/>
        </w:rPr>
        <w:t xml:space="preserve">  = </w:t>
      </w:r>
      <w:proofErr w:type="spellStart"/>
      <w:r>
        <w:rPr>
          <w:rFonts w:ascii="Calibri" w:hAnsi="Calibri" w:cs="Arial"/>
          <w:szCs w:val="24"/>
        </w:rPr>
        <w:t>strpos</w:t>
      </w:r>
      <w:proofErr w:type="spellEnd"/>
      <w:r>
        <w:rPr>
          <w:rFonts w:ascii="Calibri" w:hAnsi="Calibri" w:cs="Arial"/>
          <w:szCs w:val="24"/>
        </w:rPr>
        <w:t xml:space="preserve">( </w:t>
      </w:r>
      <w:proofErr w:type="spellStart"/>
      <w:r>
        <w:rPr>
          <w:rFonts w:ascii="Calibri" w:hAnsi="Calibri" w:cs="Arial"/>
          <w:szCs w:val="24"/>
        </w:rPr>
        <w:t>HRGname</w:t>
      </w:r>
      <w:proofErr w:type="spellEnd"/>
      <w:r>
        <w:rPr>
          <w:rFonts w:ascii="Calibri" w:hAnsi="Calibri" w:cs="Arial"/>
          <w:szCs w:val="24"/>
        </w:rPr>
        <w:t>, "Arm") &gt; 0</w:t>
      </w:r>
    </w:p>
    <w:p w:rsidR="0054439D" w:rsidRDefault="0054439D" w:rsidP="0054439D">
      <w:pPr>
        <w:rPr>
          <w:rFonts w:ascii="Calibri" w:hAnsi="Calibri" w:cs="Arial"/>
          <w:szCs w:val="24"/>
        </w:rPr>
      </w:pPr>
      <w:r>
        <w:rPr>
          <w:rFonts w:ascii="Calibri" w:hAnsi="Calibri" w:cs="Arial"/>
          <w:szCs w:val="24"/>
        </w:rPr>
        <w:t xml:space="preserve">*** saved output in "HES APC Admission details </w:t>
      </w:r>
      <w:proofErr w:type="spellStart"/>
      <w:r>
        <w:rPr>
          <w:rFonts w:ascii="Calibri" w:hAnsi="Calibri" w:cs="Arial"/>
          <w:szCs w:val="24"/>
        </w:rPr>
        <w:t>inc</w:t>
      </w:r>
      <w:proofErr w:type="spellEnd"/>
      <w:r>
        <w:rPr>
          <w:rFonts w:ascii="Calibri" w:hAnsi="Calibri" w:cs="Arial"/>
          <w:szCs w:val="24"/>
        </w:rPr>
        <w:t xml:space="preserve"> Falls.txt"</w:t>
      </w:r>
    </w:p>
    <w:p w:rsidR="0054439D" w:rsidRDefault="0054439D" w:rsidP="0054439D">
      <w:pPr>
        <w:rPr>
          <w:rFonts w:ascii="Calibri" w:hAnsi="Calibri" w:cs="Arial"/>
          <w:szCs w:val="24"/>
        </w:rPr>
      </w:pPr>
      <w:r>
        <w:rPr>
          <w:rFonts w:ascii="Calibri" w:hAnsi="Calibri" w:cs="Arial"/>
          <w:szCs w:val="24"/>
        </w:rPr>
        <w:t>n=1296 costed stays within observation period</w:t>
      </w:r>
    </w:p>
    <w:p w:rsidR="0054439D" w:rsidRDefault="0054439D" w:rsidP="0054439D">
      <w:pPr>
        <w:rPr>
          <w:rFonts w:ascii="Calibri" w:hAnsi="Calibri" w:cs="Arial"/>
          <w:szCs w:val="24"/>
        </w:rPr>
      </w:pPr>
      <w:r>
        <w:rPr>
          <w:rFonts w:ascii="Calibri" w:hAnsi="Calibri" w:cs="Arial"/>
          <w:szCs w:val="24"/>
        </w:rPr>
        <w:t>n=669 participants with at least one hospital admission in observation period</w:t>
      </w:r>
    </w:p>
    <w:p w:rsidR="00B07A94" w:rsidRDefault="0054439D" w:rsidP="0054439D">
      <w:r>
        <w:rPr>
          <w:rFonts w:ascii="Calibri" w:hAnsi="Calibri" w:cs="Arial"/>
          <w:szCs w:val="24"/>
        </w:rPr>
        <w:t>Outpatient attendances were mapped to the National Tariff based on Treatment Specialty (variable “</w:t>
      </w:r>
      <w:proofErr w:type="spellStart"/>
      <w:r>
        <w:rPr>
          <w:rFonts w:ascii="Calibri" w:hAnsi="Calibri" w:cs="Arial"/>
          <w:szCs w:val="24"/>
        </w:rPr>
        <w:t>tretspef</w:t>
      </w:r>
      <w:proofErr w:type="spellEnd"/>
      <w:r>
        <w:rPr>
          <w:rFonts w:ascii="Calibri" w:hAnsi="Calibri" w:cs="Arial"/>
          <w:szCs w:val="24"/>
        </w:rPr>
        <w:t>”).  All attendances were classed as single professional.  Unit costs were attributed to either first attendance (35%, mean cost £xxx) or follow-up (65%, mean costs xxx).  Where Treatment Specialty was not available, mean imputation was applied based on all other available costs.</w:t>
      </w:r>
    </w:p>
    <w:sectPr w:rsidR="00B07A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9D" w:rsidRDefault="0054439D" w:rsidP="0054439D">
      <w:pPr>
        <w:spacing w:after="0" w:line="240" w:lineRule="auto"/>
      </w:pPr>
      <w:r>
        <w:separator/>
      </w:r>
    </w:p>
  </w:endnote>
  <w:endnote w:type="continuationSeparator" w:id="0">
    <w:p w:rsidR="0054439D" w:rsidRDefault="0054439D" w:rsidP="0054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D" w:rsidRDefault="0054439D">
    <w:pPr>
      <w:pStyle w:val="Footer"/>
    </w:pPr>
    <w:r>
      <w:t xml:space="preserve">Report Supplemental Material File </w:t>
    </w:r>
    <w:r w:rsidR="0007053E">
      <w:t xml:space="preserve">4 </w:t>
    </w:r>
    <w:r>
      <w:t>– HES Data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9D" w:rsidRDefault="0054439D" w:rsidP="0054439D">
      <w:pPr>
        <w:spacing w:after="0" w:line="240" w:lineRule="auto"/>
      </w:pPr>
      <w:r>
        <w:separator/>
      </w:r>
    </w:p>
  </w:footnote>
  <w:footnote w:type="continuationSeparator" w:id="0">
    <w:p w:rsidR="0054439D" w:rsidRDefault="0054439D" w:rsidP="00544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72E2D"/>
    <w:multiLevelType w:val="hybridMultilevel"/>
    <w:tmpl w:val="441C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6B0F8B"/>
    <w:multiLevelType w:val="hybridMultilevel"/>
    <w:tmpl w:val="01AE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9D"/>
    <w:rsid w:val="0007053E"/>
    <w:rsid w:val="0054439D"/>
    <w:rsid w:val="00B07A94"/>
    <w:rsid w:val="00F8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D819"/>
  <w15:chartTrackingRefBased/>
  <w15:docId w15:val="{88169B66-F30A-4705-B5B3-3CA7D1B7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9D"/>
    <w:pPr>
      <w:spacing w:after="120" w:line="276" w:lineRule="auto"/>
    </w:pPr>
    <w:rPr>
      <w:rFonts w:eastAsiaTheme="minorEastAsia"/>
      <w:sz w:val="24"/>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39D"/>
    <w:pPr>
      <w:ind w:left="720"/>
      <w:contextualSpacing/>
    </w:pPr>
  </w:style>
  <w:style w:type="paragraph" w:styleId="Header">
    <w:name w:val="header"/>
    <w:basedOn w:val="Normal"/>
    <w:link w:val="HeaderChar"/>
    <w:uiPriority w:val="99"/>
    <w:unhideWhenUsed/>
    <w:rsid w:val="0054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39D"/>
    <w:rPr>
      <w:rFonts w:eastAsiaTheme="minorEastAsia"/>
      <w:sz w:val="24"/>
      <w:szCs w:val="21"/>
      <w:lang w:eastAsia="ja-JP"/>
    </w:rPr>
  </w:style>
  <w:style w:type="paragraph" w:styleId="Footer">
    <w:name w:val="footer"/>
    <w:basedOn w:val="Normal"/>
    <w:link w:val="FooterChar"/>
    <w:uiPriority w:val="99"/>
    <w:unhideWhenUsed/>
    <w:rsid w:val="0054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39D"/>
    <w:rPr>
      <w:rFonts w:eastAsiaTheme="minorEastAsia"/>
      <w:sz w:val="24"/>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Sims (MED - Staff)</dc:creator>
  <cp:keywords/>
  <dc:description/>
  <cp:lastModifiedBy>Erika Sims (MED - Staff)</cp:lastModifiedBy>
  <cp:revision>2</cp:revision>
  <dcterms:created xsi:type="dcterms:W3CDTF">2021-01-12T16:59:00Z</dcterms:created>
  <dcterms:modified xsi:type="dcterms:W3CDTF">2021-01-12T17:07:00Z</dcterms:modified>
</cp:coreProperties>
</file>