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BE5B0" w14:textId="1F1F6C0C" w:rsidR="00120E6F" w:rsidRPr="00120E6F" w:rsidRDefault="00120E6F" w:rsidP="00120E6F">
      <w:pPr>
        <w:keepNext/>
        <w:keepLines/>
        <w:spacing w:before="40" w:after="0" w:line="240" w:lineRule="auto"/>
        <w:outlineLvl w:val="1"/>
        <w:rPr>
          <w:rFonts w:ascii="Arial" w:eastAsiaTheme="majorEastAsia" w:hAnsi="Arial" w:cstheme="majorBidi"/>
          <w:b/>
          <w:color w:val="000000" w:themeColor="text1"/>
          <w:sz w:val="24"/>
          <w:szCs w:val="26"/>
        </w:rPr>
      </w:pPr>
      <w:bookmarkStart w:id="0" w:name="_Toc90296438"/>
      <w:bookmarkStart w:id="1" w:name="Appendix1_14"/>
      <w:r w:rsidRPr="00120E6F">
        <w:rPr>
          <w:rFonts w:ascii="Arial" w:eastAsiaTheme="majorEastAsia" w:hAnsi="Arial" w:cstheme="majorBidi"/>
          <w:b/>
          <w:color w:val="000000" w:themeColor="text1"/>
          <w:sz w:val="24"/>
          <w:szCs w:val="26"/>
        </w:rPr>
        <w:t>Health economics modelling</w:t>
      </w:r>
      <w:bookmarkEnd w:id="0"/>
    </w:p>
    <w:bookmarkEnd w:id="1"/>
    <w:p w14:paraId="55B753B3" w14:textId="77777777" w:rsidR="00120E6F" w:rsidRPr="00120E6F" w:rsidRDefault="00120E6F" w:rsidP="00120E6F">
      <w:pPr>
        <w:spacing w:after="0" w:line="240" w:lineRule="auto"/>
        <w:rPr>
          <w:rFonts w:ascii="Times New Roman" w:hAnsi="Times New Roman" w:cs="Times New Roman"/>
          <w:sz w:val="24"/>
          <w:szCs w:val="24"/>
        </w:rPr>
      </w:pPr>
    </w:p>
    <w:p w14:paraId="7512CDCB" w14:textId="77777777" w:rsidR="00120E6F" w:rsidRPr="00120E6F" w:rsidRDefault="00120E6F" w:rsidP="00120E6F">
      <w:pPr>
        <w:spacing w:after="0" w:line="360" w:lineRule="auto"/>
        <w:jc w:val="both"/>
        <w:rPr>
          <w:rFonts w:ascii="Arial" w:eastAsia="Calibri" w:hAnsi="Arial" w:cs="Arial"/>
          <w:sz w:val="24"/>
          <w:szCs w:val="24"/>
          <w:lang w:val="en-US"/>
        </w:rPr>
      </w:pPr>
      <w:r w:rsidRPr="00120E6F">
        <w:rPr>
          <w:rFonts w:ascii="Arial" w:hAnsi="Arial" w:cs="Arial"/>
          <w:sz w:val="24"/>
          <w:szCs w:val="24"/>
          <w:lang w:val="en-US"/>
        </w:rPr>
        <w:t xml:space="preserve">The model was developed using a two-stage </w:t>
      </w:r>
      <w:proofErr w:type="gramStart"/>
      <w:r w:rsidRPr="00120E6F">
        <w:rPr>
          <w:rFonts w:ascii="Arial" w:hAnsi="Arial" w:cs="Arial"/>
          <w:sz w:val="24"/>
          <w:szCs w:val="24"/>
          <w:lang w:val="en-US"/>
        </w:rPr>
        <w:t>approach which</w:t>
      </w:r>
      <w:proofErr w:type="gramEnd"/>
      <w:r w:rsidRPr="00120E6F">
        <w:rPr>
          <w:rFonts w:ascii="Arial" w:hAnsi="Arial" w:cs="Arial"/>
          <w:sz w:val="24"/>
          <w:szCs w:val="24"/>
          <w:lang w:val="en-US"/>
        </w:rPr>
        <w:t xml:space="preserve"> involved:</w:t>
      </w:r>
    </w:p>
    <w:p w14:paraId="6D6DE7CB" w14:textId="77777777" w:rsidR="00120E6F" w:rsidRPr="00120E6F" w:rsidRDefault="00120E6F" w:rsidP="00120E6F">
      <w:pPr>
        <w:numPr>
          <w:ilvl w:val="0"/>
          <w:numId w:val="1"/>
        </w:numPr>
        <w:spacing w:after="0" w:line="360" w:lineRule="auto"/>
        <w:contextualSpacing/>
        <w:jc w:val="both"/>
        <w:rPr>
          <w:rFonts w:ascii="Arial" w:eastAsia="Calibri" w:hAnsi="Arial" w:cs="Arial"/>
          <w:sz w:val="24"/>
          <w:szCs w:val="24"/>
          <w:lang w:val="en-US"/>
        </w:rPr>
      </w:pPr>
      <w:r w:rsidRPr="00120E6F">
        <w:rPr>
          <w:rFonts w:ascii="Arial" w:hAnsi="Arial" w:cs="Arial"/>
          <w:sz w:val="24"/>
          <w:szCs w:val="24"/>
          <w:lang w:val="en-US"/>
        </w:rPr>
        <w:t xml:space="preserve">Developing a </w:t>
      </w:r>
      <w:r w:rsidRPr="00120E6F">
        <w:rPr>
          <w:rFonts w:ascii="Arial" w:hAnsi="Arial" w:cs="Arial"/>
          <w:b/>
          <w:sz w:val="24"/>
          <w:szCs w:val="24"/>
          <w:lang w:val="en-US"/>
        </w:rPr>
        <w:t>problem-oriented model</w:t>
      </w:r>
      <w:r w:rsidRPr="00120E6F">
        <w:rPr>
          <w:rFonts w:ascii="Arial" w:hAnsi="Arial" w:cs="Arial"/>
          <w:sz w:val="24"/>
          <w:szCs w:val="24"/>
          <w:lang w:val="en-US"/>
        </w:rPr>
        <w:t xml:space="preserve">. This entails mapping the full range of supposed factors, causal relationships, events and health states relevant in a given area of policy or given population. This stage </w:t>
      </w:r>
      <w:proofErr w:type="gramStart"/>
      <w:r w:rsidRPr="00120E6F">
        <w:rPr>
          <w:rFonts w:ascii="Arial" w:hAnsi="Arial" w:cs="Arial"/>
          <w:sz w:val="24"/>
          <w:szCs w:val="24"/>
          <w:lang w:val="en-US"/>
        </w:rPr>
        <w:t>could also be viewed</w:t>
      </w:r>
      <w:proofErr w:type="gramEnd"/>
      <w:r w:rsidRPr="00120E6F">
        <w:rPr>
          <w:rFonts w:ascii="Arial" w:hAnsi="Arial" w:cs="Arial"/>
          <w:sz w:val="24"/>
          <w:szCs w:val="24"/>
          <w:lang w:val="en-US"/>
        </w:rPr>
        <w:t xml:space="preserve"> as conceptual mapping, and the main output is often a flow diagram of the problem area.</w:t>
      </w:r>
    </w:p>
    <w:p w14:paraId="2C624B1C" w14:textId="77777777" w:rsidR="00120E6F" w:rsidRPr="00120E6F" w:rsidRDefault="00120E6F" w:rsidP="00120E6F">
      <w:pPr>
        <w:numPr>
          <w:ilvl w:val="0"/>
          <w:numId w:val="1"/>
        </w:numPr>
        <w:spacing w:after="0" w:line="360" w:lineRule="auto"/>
        <w:contextualSpacing/>
        <w:jc w:val="both"/>
        <w:rPr>
          <w:rFonts w:ascii="Arial" w:eastAsia="Calibri" w:hAnsi="Arial" w:cs="Arial"/>
          <w:sz w:val="24"/>
          <w:szCs w:val="24"/>
          <w:lang w:val="en-US"/>
        </w:rPr>
      </w:pPr>
      <w:r w:rsidRPr="00120E6F">
        <w:rPr>
          <w:rFonts w:ascii="Arial" w:hAnsi="Arial" w:cs="Arial"/>
          <w:sz w:val="24"/>
          <w:szCs w:val="24"/>
          <w:lang w:val="en-US"/>
        </w:rPr>
        <w:t xml:space="preserve">Developing the </w:t>
      </w:r>
      <w:r w:rsidRPr="00120E6F">
        <w:rPr>
          <w:rFonts w:ascii="Arial" w:hAnsi="Arial" w:cs="Arial"/>
          <w:b/>
          <w:sz w:val="24"/>
          <w:szCs w:val="24"/>
          <w:lang w:val="en-US"/>
        </w:rPr>
        <w:t>decision-oriented model</w:t>
      </w:r>
      <w:r w:rsidRPr="00120E6F">
        <w:rPr>
          <w:rFonts w:ascii="Arial" w:hAnsi="Arial" w:cs="Arial"/>
          <w:sz w:val="24"/>
          <w:szCs w:val="24"/>
          <w:lang w:val="en-US"/>
        </w:rPr>
        <w:t xml:space="preserve">.  This is a simplification of, and based selectively on, the problem-oriented model, depending on the availability of specific data, research and stakeholder views on the importance or negligibility of different factors, and also the overall purpose of the model (e.g. to assess the cost-effectiveness of specific strategies or policies). The decision-oriented model is usually a simulation model, capable of producing estimates of the outcomes of interest when different interventions or policies </w:t>
      </w:r>
      <w:proofErr w:type="gramStart"/>
      <w:r w:rsidRPr="00120E6F">
        <w:rPr>
          <w:rFonts w:ascii="Arial" w:hAnsi="Arial" w:cs="Arial"/>
          <w:sz w:val="24"/>
          <w:szCs w:val="24"/>
          <w:lang w:val="en-US"/>
        </w:rPr>
        <w:t>are implemented</w:t>
      </w:r>
      <w:proofErr w:type="gramEnd"/>
      <w:r w:rsidRPr="00120E6F">
        <w:rPr>
          <w:rFonts w:ascii="Arial" w:hAnsi="Arial" w:cs="Arial"/>
          <w:sz w:val="24"/>
          <w:szCs w:val="24"/>
          <w:lang w:val="en-US"/>
        </w:rPr>
        <w:t>.</w:t>
      </w:r>
    </w:p>
    <w:p w14:paraId="51E84E75" w14:textId="77777777" w:rsidR="00120E6F" w:rsidRPr="00120E6F" w:rsidRDefault="00120E6F" w:rsidP="00120E6F">
      <w:pPr>
        <w:spacing w:after="0" w:line="360" w:lineRule="auto"/>
        <w:jc w:val="both"/>
        <w:rPr>
          <w:rFonts w:ascii="Arial" w:eastAsia="Calibri" w:hAnsi="Arial" w:cs="Arial"/>
          <w:sz w:val="24"/>
          <w:szCs w:val="24"/>
          <w:lang w:val="en-US"/>
        </w:rPr>
      </w:pPr>
      <w:r w:rsidRPr="00120E6F">
        <w:rPr>
          <w:rFonts w:ascii="Arial" w:hAnsi="Arial" w:cs="Arial"/>
          <w:sz w:val="24"/>
          <w:szCs w:val="24"/>
          <w:lang w:val="en-US"/>
        </w:rPr>
        <w:t>We reviewed a number of different sources:</w:t>
      </w:r>
    </w:p>
    <w:p w14:paraId="5816BDD0" w14:textId="4A24E051" w:rsidR="00120E6F" w:rsidRPr="00120E6F" w:rsidRDefault="00120E6F" w:rsidP="00120E6F">
      <w:pPr>
        <w:numPr>
          <w:ilvl w:val="0"/>
          <w:numId w:val="2"/>
        </w:numPr>
        <w:spacing w:after="0" w:line="360" w:lineRule="auto"/>
        <w:contextualSpacing/>
        <w:jc w:val="both"/>
        <w:rPr>
          <w:rFonts w:ascii="Arial" w:eastAsia="Calibri" w:hAnsi="Arial" w:cs="Arial"/>
          <w:sz w:val="24"/>
          <w:szCs w:val="24"/>
          <w:lang w:val="en-US"/>
        </w:rPr>
      </w:pPr>
      <w:r w:rsidRPr="00120E6F">
        <w:rPr>
          <w:rFonts w:ascii="Arial" w:hAnsi="Arial" w:cs="Arial"/>
          <w:sz w:val="24"/>
          <w:szCs w:val="24"/>
          <w:lang w:val="en-US"/>
        </w:rPr>
        <w:t>The data and findings from the NIHR-funded COCOA study.</w:t>
      </w:r>
      <w:r w:rsidR="003A22E0" w:rsidRPr="003A22E0">
        <w:rPr>
          <w:rFonts w:ascii="Arial" w:hAnsi="Arial" w:cs="Arial"/>
          <w:sz w:val="24"/>
          <w:szCs w:val="24"/>
          <w:vertAlign w:val="superscript"/>
          <w:lang w:val="en-US"/>
        </w:rPr>
        <w:t>1</w:t>
      </w:r>
    </w:p>
    <w:p w14:paraId="7B7CB032" w14:textId="7808DDDA" w:rsidR="00120E6F" w:rsidRPr="00120E6F" w:rsidRDefault="00120E6F" w:rsidP="00120E6F">
      <w:pPr>
        <w:numPr>
          <w:ilvl w:val="0"/>
          <w:numId w:val="2"/>
        </w:numPr>
        <w:spacing w:after="0" w:line="360" w:lineRule="auto"/>
        <w:contextualSpacing/>
        <w:jc w:val="both"/>
        <w:rPr>
          <w:rFonts w:ascii="Arial" w:eastAsia="Calibri" w:hAnsi="Arial" w:cs="Arial"/>
          <w:sz w:val="24"/>
          <w:szCs w:val="24"/>
          <w:lang w:val="en-US"/>
        </w:rPr>
      </w:pPr>
      <w:r w:rsidRPr="00120E6F">
        <w:rPr>
          <w:rFonts w:ascii="Arial" w:hAnsi="Arial" w:cs="Arial"/>
          <w:sz w:val="24"/>
          <w:szCs w:val="24"/>
          <w:lang w:val="en-US"/>
        </w:rPr>
        <w:t>Previous economic modelling of similar problems or prison populations by the Revolving Door Agency and the Home Office.</w:t>
      </w:r>
      <w:r w:rsidR="003A22E0">
        <w:rPr>
          <w:rFonts w:ascii="Arial" w:hAnsi="Arial" w:cs="Arial"/>
          <w:sz w:val="24"/>
          <w:szCs w:val="24"/>
          <w:vertAlign w:val="superscript"/>
          <w:lang w:val="en-US"/>
        </w:rPr>
        <w:t>2,3</w:t>
      </w:r>
    </w:p>
    <w:p w14:paraId="798073FC" w14:textId="77777777" w:rsidR="00120E6F" w:rsidRPr="00120E6F" w:rsidRDefault="00120E6F" w:rsidP="00120E6F">
      <w:pPr>
        <w:numPr>
          <w:ilvl w:val="0"/>
          <w:numId w:val="2"/>
        </w:numPr>
        <w:spacing w:after="0" w:line="360" w:lineRule="auto"/>
        <w:contextualSpacing/>
        <w:jc w:val="both"/>
        <w:rPr>
          <w:rFonts w:ascii="Arial" w:eastAsia="Calibri" w:hAnsi="Arial" w:cs="Arial"/>
          <w:sz w:val="24"/>
          <w:szCs w:val="24"/>
          <w:lang w:val="en-US"/>
        </w:rPr>
      </w:pPr>
      <w:r w:rsidRPr="00120E6F">
        <w:rPr>
          <w:rFonts w:ascii="Arial" w:hAnsi="Arial" w:cs="Arial"/>
          <w:sz w:val="24"/>
          <w:szCs w:val="24"/>
          <w:lang w:val="en-US"/>
        </w:rPr>
        <w:t>Economic evaluations of other health interventions in UK prison populations (for people with mental health problems, substance misuse or communicable diseases; based on a systematic review by Rachael Hunter, UCL).</w:t>
      </w:r>
    </w:p>
    <w:p w14:paraId="4FEE7445" w14:textId="5E8D8A70" w:rsidR="00120E6F" w:rsidRPr="00120E6F" w:rsidRDefault="00120E6F" w:rsidP="00120E6F">
      <w:pPr>
        <w:numPr>
          <w:ilvl w:val="0"/>
          <w:numId w:val="2"/>
        </w:numPr>
        <w:spacing w:after="0" w:line="360" w:lineRule="auto"/>
        <w:contextualSpacing/>
        <w:jc w:val="both"/>
        <w:rPr>
          <w:rFonts w:ascii="Arial" w:eastAsia="Calibri" w:hAnsi="Arial" w:cs="Arial"/>
          <w:sz w:val="24"/>
          <w:szCs w:val="24"/>
          <w:lang w:val="en-US"/>
        </w:rPr>
      </w:pPr>
      <w:r w:rsidRPr="00120E6F">
        <w:rPr>
          <w:rFonts w:ascii="Arial" w:hAnsi="Arial" w:cs="Arial"/>
          <w:sz w:val="24"/>
          <w:szCs w:val="24"/>
          <w:lang w:val="en-US"/>
        </w:rPr>
        <w:t>The realist review to inform the theory and development of the Engager intervention.</w:t>
      </w:r>
      <w:r w:rsidR="003F2159" w:rsidRPr="003F2159">
        <w:rPr>
          <w:rFonts w:ascii="Arial" w:hAnsi="Arial" w:cs="Arial"/>
          <w:sz w:val="24"/>
          <w:szCs w:val="24"/>
          <w:vertAlign w:val="superscript"/>
          <w:lang w:val="en-US"/>
        </w:rPr>
        <w:t>4</w:t>
      </w:r>
    </w:p>
    <w:p w14:paraId="09EF604C" w14:textId="0172EADB" w:rsidR="00120E6F" w:rsidRPr="00120E6F" w:rsidRDefault="00120E6F" w:rsidP="00120E6F">
      <w:pPr>
        <w:numPr>
          <w:ilvl w:val="0"/>
          <w:numId w:val="2"/>
        </w:numPr>
        <w:spacing w:after="0" w:line="360" w:lineRule="auto"/>
        <w:contextualSpacing/>
        <w:jc w:val="both"/>
        <w:rPr>
          <w:rFonts w:ascii="Arial" w:eastAsia="Calibri" w:hAnsi="Arial" w:cs="Arial"/>
          <w:sz w:val="24"/>
          <w:szCs w:val="24"/>
          <w:lang w:val="en-US"/>
        </w:rPr>
      </w:pPr>
      <w:r w:rsidRPr="00120E6F">
        <w:rPr>
          <w:rFonts w:ascii="Arial" w:hAnsi="Arial" w:cs="Arial"/>
          <w:sz w:val="24"/>
          <w:szCs w:val="24"/>
          <w:lang w:val="en-US"/>
        </w:rPr>
        <w:t>A recently published model-based economic evaluation of diversion and aftercare interventions in for prisoners identified as substance abusing.</w:t>
      </w:r>
      <w:r w:rsidR="00AE58B2" w:rsidRPr="00AE58B2">
        <w:rPr>
          <w:rFonts w:ascii="Arial" w:hAnsi="Arial" w:cs="Arial"/>
          <w:sz w:val="24"/>
          <w:szCs w:val="24"/>
          <w:vertAlign w:val="superscript"/>
          <w:lang w:val="en-US"/>
        </w:rPr>
        <w:t>5</w:t>
      </w:r>
    </w:p>
    <w:p w14:paraId="3F4E064C" w14:textId="77777777" w:rsidR="00120E6F" w:rsidRPr="00120E6F" w:rsidRDefault="00120E6F" w:rsidP="00120E6F">
      <w:pPr>
        <w:numPr>
          <w:ilvl w:val="0"/>
          <w:numId w:val="2"/>
        </w:numPr>
        <w:spacing w:after="0" w:line="360" w:lineRule="auto"/>
        <w:contextualSpacing/>
        <w:jc w:val="both"/>
        <w:rPr>
          <w:rFonts w:ascii="Arial" w:eastAsia="Calibri" w:hAnsi="Arial" w:cs="Arial"/>
          <w:sz w:val="24"/>
          <w:szCs w:val="24"/>
          <w:lang w:val="en-US"/>
        </w:rPr>
      </w:pPr>
      <w:r w:rsidRPr="00120E6F">
        <w:rPr>
          <w:rFonts w:ascii="Arial" w:hAnsi="Arial" w:cs="Arial"/>
          <w:sz w:val="24"/>
          <w:szCs w:val="24"/>
          <w:lang w:val="en-US"/>
        </w:rPr>
        <w:t xml:space="preserve">Other sources cited or referred to in </w:t>
      </w:r>
      <w:proofErr w:type="gramStart"/>
      <w:r w:rsidRPr="00120E6F">
        <w:rPr>
          <w:rFonts w:ascii="Arial" w:hAnsi="Arial" w:cs="Arial"/>
          <w:sz w:val="24"/>
          <w:szCs w:val="24"/>
          <w:lang w:val="en-US"/>
        </w:rPr>
        <w:t>these</w:t>
      </w:r>
      <w:proofErr w:type="gramEnd"/>
      <w:r w:rsidRPr="00120E6F">
        <w:rPr>
          <w:rFonts w:ascii="Arial" w:hAnsi="Arial" w:cs="Arial"/>
          <w:sz w:val="24"/>
          <w:szCs w:val="24"/>
          <w:lang w:val="en-US"/>
        </w:rPr>
        <w:t xml:space="preserve"> sources that looked relevant.</w:t>
      </w:r>
    </w:p>
    <w:p w14:paraId="2F545E6A" w14:textId="77777777" w:rsidR="00120E6F" w:rsidRPr="00120E6F" w:rsidRDefault="00120E6F" w:rsidP="00120E6F">
      <w:pPr>
        <w:spacing w:after="0" w:line="360" w:lineRule="auto"/>
        <w:ind w:left="720"/>
        <w:contextualSpacing/>
        <w:jc w:val="both"/>
        <w:rPr>
          <w:rFonts w:ascii="Arial" w:eastAsia="Calibri" w:hAnsi="Arial" w:cs="Arial"/>
          <w:sz w:val="24"/>
          <w:szCs w:val="24"/>
          <w:lang w:val="en-US"/>
        </w:rPr>
      </w:pPr>
    </w:p>
    <w:p w14:paraId="52B6C2F3" w14:textId="77777777" w:rsidR="00120E6F" w:rsidRPr="00120E6F" w:rsidRDefault="00120E6F" w:rsidP="00120E6F">
      <w:pPr>
        <w:spacing w:after="0" w:line="360" w:lineRule="auto"/>
        <w:jc w:val="both"/>
        <w:rPr>
          <w:rFonts w:ascii="Arial" w:eastAsia="Calibri" w:hAnsi="Arial" w:cs="Arial"/>
          <w:sz w:val="24"/>
          <w:szCs w:val="24"/>
          <w:lang w:val="en-US"/>
        </w:rPr>
      </w:pPr>
    </w:p>
    <w:p w14:paraId="4861D831" w14:textId="77777777" w:rsidR="00120E6F" w:rsidRPr="00120E6F" w:rsidRDefault="00120E6F" w:rsidP="00120E6F">
      <w:pPr>
        <w:spacing w:after="0" w:line="360" w:lineRule="auto"/>
        <w:jc w:val="both"/>
        <w:rPr>
          <w:rFonts w:ascii="Arial" w:eastAsia="Calibri" w:hAnsi="Arial" w:cs="Arial"/>
          <w:b/>
          <w:sz w:val="24"/>
          <w:szCs w:val="24"/>
          <w:lang w:val="en-US"/>
        </w:rPr>
      </w:pPr>
      <w:r w:rsidRPr="00120E6F">
        <w:rPr>
          <w:rFonts w:ascii="Arial" w:hAnsi="Arial" w:cs="Arial"/>
          <w:b/>
          <w:sz w:val="24"/>
          <w:szCs w:val="24"/>
          <w:lang w:val="en-US"/>
        </w:rPr>
        <w:t>Methods – developing and implementing the decision-oriented model</w:t>
      </w:r>
    </w:p>
    <w:p w14:paraId="6CAFA990" w14:textId="77777777" w:rsidR="00120E6F" w:rsidRPr="00120E6F" w:rsidRDefault="00120E6F" w:rsidP="00120E6F">
      <w:pPr>
        <w:spacing w:after="0" w:line="360" w:lineRule="auto"/>
        <w:jc w:val="both"/>
        <w:rPr>
          <w:rFonts w:ascii="Arial" w:eastAsia="Calibri" w:hAnsi="Arial" w:cs="Arial"/>
          <w:sz w:val="24"/>
          <w:szCs w:val="24"/>
          <w:lang w:val="en-US"/>
        </w:rPr>
      </w:pPr>
      <w:r w:rsidRPr="00120E6F">
        <w:rPr>
          <w:rFonts w:ascii="Arial" w:hAnsi="Arial" w:cs="Arial"/>
          <w:sz w:val="24"/>
          <w:szCs w:val="24"/>
          <w:lang w:val="en-US"/>
        </w:rPr>
        <w:t xml:space="preserve">The model has been developed to evaluate the potential value of the Engager intervention by comparing the costs and outcomes associated with a </w:t>
      </w:r>
      <w:proofErr w:type="gramStart"/>
      <w:r w:rsidRPr="00120E6F">
        <w:rPr>
          <w:rFonts w:ascii="Arial" w:hAnsi="Arial" w:cs="Arial"/>
          <w:sz w:val="24"/>
          <w:szCs w:val="24"/>
          <w:lang w:val="en-US"/>
        </w:rPr>
        <w:t>strategy which</w:t>
      </w:r>
      <w:proofErr w:type="gramEnd"/>
      <w:r w:rsidRPr="00120E6F">
        <w:rPr>
          <w:rFonts w:ascii="Arial" w:hAnsi="Arial" w:cs="Arial"/>
          <w:sz w:val="24"/>
          <w:szCs w:val="24"/>
          <w:lang w:val="en-US"/>
        </w:rPr>
        <w:t xml:space="preserve"> </w:t>
      </w:r>
      <w:r w:rsidRPr="00120E6F">
        <w:rPr>
          <w:rFonts w:ascii="Arial" w:hAnsi="Arial" w:cs="Arial"/>
          <w:sz w:val="24"/>
          <w:szCs w:val="24"/>
          <w:lang w:val="en-US"/>
        </w:rPr>
        <w:lastRenderedPageBreak/>
        <w:t>includes the Engager intervention with a strategy that does not include the Engager intervention, referred to as Current Practice.</w:t>
      </w:r>
    </w:p>
    <w:p w14:paraId="2A08EA62" w14:textId="77777777" w:rsidR="00120E6F" w:rsidRPr="00120E6F" w:rsidRDefault="00120E6F" w:rsidP="00120E6F">
      <w:pPr>
        <w:spacing w:after="0" w:line="360" w:lineRule="auto"/>
        <w:jc w:val="both"/>
        <w:rPr>
          <w:rFonts w:ascii="Arial" w:eastAsia="Calibri" w:hAnsi="Arial" w:cs="Arial"/>
          <w:sz w:val="24"/>
          <w:szCs w:val="24"/>
          <w:lang w:val="en-US"/>
        </w:rPr>
      </w:pPr>
      <w:r w:rsidRPr="00120E6F">
        <w:rPr>
          <w:rFonts w:ascii="Arial" w:hAnsi="Arial" w:cs="Arial"/>
          <w:sz w:val="24"/>
          <w:szCs w:val="24"/>
          <w:lang w:val="en-US"/>
        </w:rPr>
        <w:t xml:space="preserve">The pilot decision model aims to capture the health-related short-term impacts of the Engager intervention on offenders who </w:t>
      </w:r>
      <w:proofErr w:type="gramStart"/>
      <w:r w:rsidRPr="00120E6F">
        <w:rPr>
          <w:rFonts w:ascii="Arial" w:hAnsi="Arial" w:cs="Arial"/>
          <w:sz w:val="24"/>
          <w:szCs w:val="24"/>
          <w:lang w:val="en-US"/>
        </w:rPr>
        <w:t>are soon to be released</w:t>
      </w:r>
      <w:proofErr w:type="gramEnd"/>
      <w:r w:rsidRPr="00120E6F">
        <w:rPr>
          <w:rFonts w:ascii="Arial" w:hAnsi="Arial" w:cs="Arial"/>
          <w:sz w:val="24"/>
          <w:szCs w:val="24"/>
          <w:lang w:val="en-US"/>
        </w:rPr>
        <w:t xml:space="preserve">. The model </w:t>
      </w:r>
      <w:proofErr w:type="gramStart"/>
      <w:r w:rsidRPr="00120E6F">
        <w:rPr>
          <w:rFonts w:ascii="Arial" w:hAnsi="Arial" w:cs="Arial"/>
          <w:sz w:val="24"/>
          <w:szCs w:val="24"/>
          <w:lang w:val="en-US"/>
        </w:rPr>
        <w:t>will be expanded</w:t>
      </w:r>
      <w:proofErr w:type="gramEnd"/>
      <w:r w:rsidRPr="00120E6F">
        <w:rPr>
          <w:rFonts w:ascii="Arial" w:hAnsi="Arial" w:cs="Arial"/>
          <w:sz w:val="24"/>
          <w:szCs w:val="24"/>
          <w:lang w:val="en-US"/>
        </w:rPr>
        <w:t xml:space="preserve"> to account for longer-term health and non-health related impacts of the Engager intervention. Contact with GP, mental health, drug and other health services, and the costs of these contacts, </w:t>
      </w:r>
      <w:proofErr w:type="gramStart"/>
      <w:r w:rsidRPr="00120E6F">
        <w:rPr>
          <w:rFonts w:ascii="Arial" w:hAnsi="Arial" w:cs="Arial"/>
          <w:sz w:val="24"/>
          <w:szCs w:val="24"/>
          <w:lang w:val="en-US"/>
        </w:rPr>
        <w:t>are considered</w:t>
      </w:r>
      <w:proofErr w:type="gramEnd"/>
      <w:r w:rsidRPr="00120E6F">
        <w:rPr>
          <w:rFonts w:ascii="Arial" w:hAnsi="Arial" w:cs="Arial"/>
          <w:sz w:val="24"/>
          <w:szCs w:val="24"/>
          <w:lang w:val="en-US"/>
        </w:rPr>
        <w:t xml:space="preserve"> in the pilot model.</w:t>
      </w:r>
    </w:p>
    <w:p w14:paraId="331468D3" w14:textId="77777777" w:rsidR="00120E6F" w:rsidRPr="00120E6F" w:rsidRDefault="00120E6F" w:rsidP="00120E6F">
      <w:pPr>
        <w:spacing w:after="0" w:line="360" w:lineRule="auto"/>
        <w:jc w:val="both"/>
        <w:rPr>
          <w:rFonts w:ascii="Arial" w:eastAsia="Calibri" w:hAnsi="Arial" w:cs="Arial"/>
          <w:sz w:val="24"/>
          <w:szCs w:val="24"/>
          <w:lang w:val="en-US"/>
        </w:rPr>
      </w:pPr>
      <w:r w:rsidRPr="00120E6F">
        <w:rPr>
          <w:rFonts w:ascii="Arial" w:hAnsi="Arial" w:cs="Arial"/>
          <w:sz w:val="24"/>
          <w:szCs w:val="24"/>
          <w:lang w:val="en-US"/>
        </w:rPr>
        <w:t xml:space="preserve">A population of offenders who are 4 months from release and have common mental health problems </w:t>
      </w:r>
      <w:proofErr w:type="gramStart"/>
      <w:r w:rsidRPr="00120E6F">
        <w:rPr>
          <w:rFonts w:ascii="Arial" w:hAnsi="Arial" w:cs="Arial"/>
          <w:sz w:val="24"/>
          <w:szCs w:val="24"/>
          <w:lang w:val="en-US"/>
        </w:rPr>
        <w:t>are simulated</w:t>
      </w:r>
      <w:proofErr w:type="gramEnd"/>
      <w:r w:rsidRPr="00120E6F">
        <w:rPr>
          <w:rFonts w:ascii="Arial" w:hAnsi="Arial" w:cs="Arial"/>
          <w:sz w:val="24"/>
          <w:szCs w:val="24"/>
          <w:lang w:val="en-US"/>
        </w:rPr>
        <w:t xml:space="preserve"> in the model. Each individual may have a substance misuse problem and/or a physical health problem in addition to the common mental illness. As the model focusses on access to services and how that changes depending on the level of service contact and care that </w:t>
      </w:r>
      <w:proofErr w:type="gramStart"/>
      <w:r w:rsidRPr="00120E6F">
        <w:rPr>
          <w:rFonts w:ascii="Arial" w:hAnsi="Arial" w:cs="Arial"/>
          <w:sz w:val="24"/>
          <w:szCs w:val="24"/>
          <w:lang w:val="en-US"/>
        </w:rPr>
        <w:t>is received</w:t>
      </w:r>
      <w:proofErr w:type="gramEnd"/>
      <w:r w:rsidRPr="00120E6F">
        <w:rPr>
          <w:rFonts w:ascii="Arial" w:hAnsi="Arial" w:cs="Arial"/>
          <w:sz w:val="24"/>
          <w:szCs w:val="24"/>
          <w:lang w:val="en-US"/>
        </w:rPr>
        <w:t>, it is likely that many individuals will continue to have mental health problems, especially for the duration of the pilot model.</w:t>
      </w:r>
    </w:p>
    <w:p w14:paraId="31063B79" w14:textId="77777777" w:rsidR="00120E6F" w:rsidRPr="00120E6F" w:rsidRDefault="00120E6F" w:rsidP="00120E6F">
      <w:pPr>
        <w:spacing w:after="0" w:line="360" w:lineRule="auto"/>
        <w:jc w:val="both"/>
        <w:rPr>
          <w:rFonts w:ascii="Arial" w:eastAsia="Calibri" w:hAnsi="Arial" w:cs="Arial"/>
          <w:sz w:val="24"/>
          <w:szCs w:val="24"/>
          <w:lang w:val="en-US"/>
        </w:rPr>
      </w:pPr>
      <w:r w:rsidRPr="00120E6F">
        <w:rPr>
          <w:rFonts w:ascii="Arial" w:hAnsi="Arial" w:cs="Arial"/>
          <w:sz w:val="24"/>
          <w:szCs w:val="24"/>
          <w:lang w:val="en-US"/>
        </w:rPr>
        <w:t xml:space="preserve">Data on the characteristics of the simulated population </w:t>
      </w:r>
      <w:proofErr w:type="gramStart"/>
      <w:r w:rsidRPr="00120E6F">
        <w:rPr>
          <w:rFonts w:ascii="Arial" w:hAnsi="Arial" w:cs="Arial"/>
          <w:sz w:val="24"/>
          <w:szCs w:val="24"/>
          <w:lang w:val="en-US"/>
        </w:rPr>
        <w:t>will be informed</w:t>
      </w:r>
      <w:proofErr w:type="gramEnd"/>
      <w:r w:rsidRPr="00120E6F">
        <w:rPr>
          <w:rFonts w:ascii="Arial" w:hAnsi="Arial" w:cs="Arial"/>
          <w:sz w:val="24"/>
          <w:szCs w:val="24"/>
          <w:lang w:val="en-US"/>
        </w:rPr>
        <w:t xml:space="preserve"> by the Engager trial.</w:t>
      </w:r>
    </w:p>
    <w:p w14:paraId="57245C1C" w14:textId="77777777" w:rsidR="00120E6F" w:rsidRPr="00120E6F" w:rsidRDefault="00120E6F" w:rsidP="00120E6F">
      <w:pPr>
        <w:spacing w:after="0" w:line="360" w:lineRule="auto"/>
        <w:jc w:val="both"/>
        <w:rPr>
          <w:rFonts w:ascii="Arial" w:eastAsia="Calibri" w:hAnsi="Arial" w:cs="Arial"/>
          <w:sz w:val="24"/>
          <w:szCs w:val="24"/>
          <w:lang w:val="en-US"/>
        </w:rPr>
      </w:pPr>
      <w:r w:rsidRPr="00120E6F">
        <w:rPr>
          <w:rFonts w:ascii="Arial" w:hAnsi="Arial" w:cs="Arial"/>
          <w:sz w:val="24"/>
          <w:szCs w:val="24"/>
          <w:lang w:val="en-US"/>
        </w:rPr>
        <w:t xml:space="preserve">Individuals are 4 months from release at the start of the pilot model, and are followed for 6 months after release to coincide with the </w:t>
      </w:r>
      <w:proofErr w:type="gramStart"/>
      <w:r w:rsidRPr="00120E6F">
        <w:rPr>
          <w:rFonts w:ascii="Arial" w:hAnsi="Arial" w:cs="Arial"/>
          <w:sz w:val="24"/>
          <w:szCs w:val="24"/>
          <w:lang w:val="en-US"/>
        </w:rPr>
        <w:t>time period</w:t>
      </w:r>
      <w:proofErr w:type="gramEnd"/>
      <w:r w:rsidRPr="00120E6F">
        <w:rPr>
          <w:rFonts w:ascii="Arial" w:hAnsi="Arial" w:cs="Arial"/>
          <w:sz w:val="24"/>
          <w:szCs w:val="24"/>
          <w:lang w:val="en-US"/>
        </w:rPr>
        <w:t xml:space="preserve"> of the Engager trial. Thus, the current model has a time horizon of 10 months. This </w:t>
      </w:r>
      <w:proofErr w:type="gramStart"/>
      <w:r w:rsidRPr="00120E6F">
        <w:rPr>
          <w:rFonts w:ascii="Arial" w:hAnsi="Arial" w:cs="Arial"/>
          <w:sz w:val="24"/>
          <w:szCs w:val="24"/>
          <w:lang w:val="en-US"/>
        </w:rPr>
        <w:t>will be extended</w:t>
      </w:r>
      <w:proofErr w:type="gramEnd"/>
      <w:r w:rsidRPr="00120E6F">
        <w:rPr>
          <w:rFonts w:ascii="Arial" w:hAnsi="Arial" w:cs="Arial"/>
          <w:sz w:val="24"/>
          <w:szCs w:val="24"/>
          <w:lang w:val="en-US"/>
        </w:rPr>
        <w:t xml:space="preserve"> so that longer-term impacts of the Engager intervention can be captured.</w:t>
      </w:r>
    </w:p>
    <w:p w14:paraId="28EE7F21" w14:textId="77777777" w:rsidR="00120E6F" w:rsidRPr="00120E6F" w:rsidRDefault="00120E6F" w:rsidP="00120E6F">
      <w:pPr>
        <w:spacing w:after="0" w:line="360" w:lineRule="auto"/>
        <w:jc w:val="both"/>
        <w:rPr>
          <w:rFonts w:ascii="Arial" w:hAnsi="Arial" w:cs="Arial"/>
          <w:b/>
          <w:sz w:val="24"/>
          <w:szCs w:val="24"/>
          <w:lang w:val="en-US"/>
        </w:rPr>
      </w:pPr>
    </w:p>
    <w:p w14:paraId="608FF079" w14:textId="77777777" w:rsidR="00120E6F" w:rsidRPr="00120E6F" w:rsidRDefault="00120E6F" w:rsidP="00120E6F">
      <w:pPr>
        <w:spacing w:after="0" w:line="360" w:lineRule="auto"/>
        <w:jc w:val="both"/>
        <w:rPr>
          <w:rFonts w:ascii="Arial" w:eastAsia="Calibri" w:hAnsi="Arial" w:cs="Arial"/>
          <w:b/>
          <w:sz w:val="24"/>
          <w:szCs w:val="24"/>
          <w:lang w:val="en-US"/>
        </w:rPr>
      </w:pPr>
      <w:r w:rsidRPr="00120E6F">
        <w:rPr>
          <w:rFonts w:ascii="Arial" w:hAnsi="Arial" w:cs="Arial"/>
          <w:b/>
          <w:sz w:val="24"/>
          <w:szCs w:val="24"/>
          <w:lang w:val="en-US"/>
        </w:rPr>
        <w:t>Model structure/relationships</w:t>
      </w:r>
    </w:p>
    <w:p w14:paraId="0D0949D9" w14:textId="77777777" w:rsidR="00120E6F" w:rsidRPr="00120E6F" w:rsidRDefault="00120E6F" w:rsidP="00120E6F">
      <w:pPr>
        <w:spacing w:after="0" w:line="360" w:lineRule="auto"/>
        <w:jc w:val="both"/>
        <w:rPr>
          <w:rFonts w:ascii="Arial" w:eastAsia="Calibri" w:hAnsi="Arial" w:cs="Arial"/>
          <w:sz w:val="24"/>
          <w:szCs w:val="24"/>
          <w:lang w:val="en-US"/>
        </w:rPr>
      </w:pPr>
      <w:r w:rsidRPr="00120E6F">
        <w:rPr>
          <w:rFonts w:ascii="Arial" w:hAnsi="Arial" w:cs="Arial"/>
          <w:sz w:val="24"/>
          <w:szCs w:val="24"/>
          <w:lang w:val="en-US"/>
        </w:rPr>
        <w:t xml:space="preserve">The model </w:t>
      </w:r>
      <w:proofErr w:type="gramStart"/>
      <w:r w:rsidRPr="00120E6F">
        <w:rPr>
          <w:rFonts w:ascii="Arial" w:hAnsi="Arial" w:cs="Arial"/>
          <w:sz w:val="24"/>
          <w:szCs w:val="24"/>
          <w:lang w:val="en-US"/>
        </w:rPr>
        <w:t>is structured</w:t>
      </w:r>
      <w:proofErr w:type="gramEnd"/>
      <w:r w:rsidRPr="00120E6F">
        <w:rPr>
          <w:rFonts w:ascii="Arial" w:hAnsi="Arial" w:cs="Arial"/>
          <w:sz w:val="24"/>
          <w:szCs w:val="24"/>
          <w:lang w:val="en-US"/>
        </w:rPr>
        <w:t xml:space="preserve"> as a discrete event model, so that individuals can experience different events at different times, with some events occurring simultaneously. Events can be time-limited episodes (e.g. a hospital admission) or mark the transition to a different health state, e.g. from having a substance misuse problem to not having a substance misuse problem. This model structure is not necessarily important for the pilot </w:t>
      </w:r>
      <w:proofErr w:type="gramStart"/>
      <w:r w:rsidRPr="00120E6F">
        <w:rPr>
          <w:rFonts w:ascii="Arial" w:hAnsi="Arial" w:cs="Arial"/>
          <w:sz w:val="24"/>
          <w:szCs w:val="24"/>
          <w:lang w:val="en-US"/>
        </w:rPr>
        <w:t>model which</w:t>
      </w:r>
      <w:proofErr w:type="gramEnd"/>
      <w:r w:rsidRPr="00120E6F">
        <w:rPr>
          <w:rFonts w:ascii="Arial" w:hAnsi="Arial" w:cs="Arial"/>
          <w:sz w:val="24"/>
          <w:szCs w:val="24"/>
          <w:lang w:val="en-US"/>
        </w:rPr>
        <w:t xml:space="preserve"> only includes those short-term health events, but for the fully developed model which will consider longer-term health and non-health events, this structure will be important. For both treatment strategies, Engager and Current Practice, the model simulates an individual’s pathway through different events, recording the events experienced and calculating the total costs and outcomes associated with that pathway. Whether an individual experiences an event is </w:t>
      </w:r>
      <w:r w:rsidRPr="00120E6F">
        <w:rPr>
          <w:rFonts w:ascii="Arial" w:hAnsi="Arial" w:cs="Arial"/>
          <w:sz w:val="24"/>
          <w:szCs w:val="24"/>
          <w:lang w:val="en-US"/>
        </w:rPr>
        <w:lastRenderedPageBreak/>
        <w:t xml:space="preserve">determined by probability. A large number of individuals </w:t>
      </w:r>
      <w:proofErr w:type="gramStart"/>
      <w:r w:rsidRPr="00120E6F">
        <w:rPr>
          <w:rFonts w:ascii="Arial" w:hAnsi="Arial" w:cs="Arial"/>
          <w:sz w:val="24"/>
          <w:szCs w:val="24"/>
          <w:lang w:val="en-US"/>
        </w:rPr>
        <w:t>are simulated</w:t>
      </w:r>
      <w:proofErr w:type="gramEnd"/>
      <w:r w:rsidRPr="00120E6F">
        <w:rPr>
          <w:rFonts w:ascii="Arial" w:hAnsi="Arial" w:cs="Arial"/>
          <w:sz w:val="24"/>
          <w:szCs w:val="24"/>
          <w:lang w:val="en-US"/>
        </w:rPr>
        <w:t xml:space="preserve"> in the model to obtain variation in pathways and events.</w:t>
      </w:r>
    </w:p>
    <w:p w14:paraId="3862AEEC" w14:textId="77777777" w:rsidR="00120E6F" w:rsidRPr="00120E6F" w:rsidRDefault="00120E6F" w:rsidP="00120E6F">
      <w:pPr>
        <w:spacing w:after="0" w:line="360" w:lineRule="auto"/>
        <w:jc w:val="both"/>
        <w:rPr>
          <w:rFonts w:ascii="Arial" w:eastAsia="Calibri" w:hAnsi="Arial" w:cs="Arial"/>
          <w:sz w:val="24"/>
          <w:szCs w:val="24"/>
          <w:lang w:val="en-US"/>
        </w:rPr>
      </w:pPr>
      <w:r w:rsidRPr="00120E6F">
        <w:rPr>
          <w:rFonts w:ascii="Arial" w:hAnsi="Arial" w:cs="Arial"/>
          <w:sz w:val="24"/>
          <w:szCs w:val="24"/>
          <w:lang w:val="en-US"/>
        </w:rPr>
        <w:t xml:space="preserve">For the 4 months that individuals </w:t>
      </w:r>
      <w:proofErr w:type="gramStart"/>
      <w:r w:rsidRPr="00120E6F">
        <w:rPr>
          <w:rFonts w:ascii="Arial" w:hAnsi="Arial" w:cs="Arial"/>
          <w:sz w:val="24"/>
          <w:szCs w:val="24"/>
          <w:lang w:val="en-US"/>
        </w:rPr>
        <w:t>are assumed</w:t>
      </w:r>
      <w:proofErr w:type="gramEnd"/>
      <w:r w:rsidRPr="00120E6F">
        <w:rPr>
          <w:rFonts w:ascii="Arial" w:hAnsi="Arial" w:cs="Arial"/>
          <w:sz w:val="24"/>
          <w:szCs w:val="24"/>
          <w:lang w:val="en-US"/>
        </w:rPr>
        <w:t xml:space="preserve"> to be in prison, those not receiving the Engager intervention are assumed, for simplicity, to have no changes to their mental and physical health or substance misuse status. Therefore, if an individual has a substance abuse and/or physical health problem in addition to their mental health problem 4 months prior to release, they </w:t>
      </w:r>
      <w:proofErr w:type="gramStart"/>
      <w:r w:rsidRPr="00120E6F">
        <w:rPr>
          <w:rFonts w:ascii="Arial" w:hAnsi="Arial" w:cs="Arial"/>
          <w:sz w:val="24"/>
          <w:szCs w:val="24"/>
          <w:lang w:val="en-US"/>
        </w:rPr>
        <w:t>are assumed</w:t>
      </w:r>
      <w:proofErr w:type="gramEnd"/>
      <w:r w:rsidRPr="00120E6F">
        <w:rPr>
          <w:rFonts w:ascii="Arial" w:hAnsi="Arial" w:cs="Arial"/>
          <w:sz w:val="24"/>
          <w:szCs w:val="24"/>
          <w:lang w:val="en-US"/>
        </w:rPr>
        <w:t xml:space="preserve"> to still have the problem on release. Similarly, those individuals who do not have a substance abuse or physical health problem in addition to their mental health problem 4 months prior to release are assumed to remain without such health issues for the remainder of time in prison.</w:t>
      </w:r>
    </w:p>
    <w:p w14:paraId="3CDD6A34" w14:textId="77777777" w:rsidR="00120E6F" w:rsidRPr="00120E6F" w:rsidRDefault="00120E6F" w:rsidP="00120E6F">
      <w:pPr>
        <w:spacing w:after="0" w:line="360" w:lineRule="auto"/>
        <w:jc w:val="both"/>
        <w:rPr>
          <w:rFonts w:ascii="Arial" w:hAnsi="Arial" w:cs="Arial"/>
          <w:sz w:val="24"/>
          <w:szCs w:val="24"/>
          <w:lang w:val="en-US"/>
        </w:rPr>
      </w:pPr>
      <w:r w:rsidRPr="00120E6F">
        <w:rPr>
          <w:rFonts w:ascii="Arial" w:hAnsi="Arial" w:cs="Arial"/>
          <w:sz w:val="24"/>
          <w:szCs w:val="24"/>
          <w:lang w:val="en-US"/>
        </w:rPr>
        <w:t xml:space="preserve">Once an individual </w:t>
      </w:r>
      <w:proofErr w:type="gramStart"/>
      <w:r w:rsidRPr="00120E6F">
        <w:rPr>
          <w:rFonts w:ascii="Arial" w:hAnsi="Arial" w:cs="Arial"/>
          <w:sz w:val="24"/>
          <w:szCs w:val="24"/>
          <w:lang w:val="en-US"/>
        </w:rPr>
        <w:t>has been released</w:t>
      </w:r>
      <w:proofErr w:type="gramEnd"/>
      <w:r w:rsidRPr="00120E6F">
        <w:rPr>
          <w:rFonts w:ascii="Arial" w:hAnsi="Arial" w:cs="Arial"/>
          <w:sz w:val="24"/>
          <w:szCs w:val="24"/>
          <w:lang w:val="en-US"/>
        </w:rPr>
        <w:t>, their mental and physical health and any substance misuse problems can change.</w:t>
      </w:r>
    </w:p>
    <w:p w14:paraId="154017E6" w14:textId="77777777" w:rsidR="00120E6F" w:rsidRPr="00120E6F" w:rsidRDefault="00120E6F" w:rsidP="00120E6F">
      <w:pPr>
        <w:spacing w:after="0" w:line="360" w:lineRule="auto"/>
        <w:jc w:val="both"/>
        <w:rPr>
          <w:rFonts w:ascii="Arial" w:eastAsia="Calibri" w:hAnsi="Arial" w:cs="Arial"/>
          <w:sz w:val="24"/>
          <w:szCs w:val="24"/>
          <w:lang w:val="en-US"/>
        </w:rPr>
      </w:pPr>
    </w:p>
    <w:p w14:paraId="56E17F36" w14:textId="77777777" w:rsidR="00120E6F" w:rsidRPr="00120E6F" w:rsidRDefault="00120E6F" w:rsidP="00120E6F">
      <w:pPr>
        <w:spacing w:after="0" w:line="360" w:lineRule="auto"/>
        <w:jc w:val="both"/>
        <w:rPr>
          <w:rFonts w:ascii="Arial" w:eastAsia="Calibri" w:hAnsi="Arial" w:cs="Arial"/>
          <w:b/>
          <w:sz w:val="24"/>
          <w:szCs w:val="24"/>
          <w:lang w:val="en-US"/>
        </w:rPr>
      </w:pPr>
      <w:r w:rsidRPr="00120E6F">
        <w:rPr>
          <w:rFonts w:ascii="Arial" w:hAnsi="Arial" w:cs="Arial"/>
          <w:b/>
          <w:sz w:val="24"/>
          <w:szCs w:val="24"/>
          <w:lang w:val="en-US"/>
        </w:rPr>
        <w:t>Engager intervention</w:t>
      </w:r>
    </w:p>
    <w:p w14:paraId="23DA1E59" w14:textId="77777777" w:rsidR="00120E6F" w:rsidRPr="00120E6F" w:rsidRDefault="00120E6F" w:rsidP="00120E6F">
      <w:pPr>
        <w:spacing w:after="0" w:line="360" w:lineRule="auto"/>
        <w:jc w:val="both"/>
        <w:rPr>
          <w:rFonts w:ascii="Arial" w:eastAsia="Calibri" w:hAnsi="Arial" w:cs="Arial"/>
          <w:sz w:val="24"/>
          <w:szCs w:val="24"/>
          <w:lang w:val="en-US"/>
        </w:rPr>
      </w:pPr>
      <w:r w:rsidRPr="00120E6F">
        <w:rPr>
          <w:rFonts w:ascii="Arial" w:hAnsi="Arial" w:cs="Arial"/>
          <w:sz w:val="24"/>
          <w:szCs w:val="24"/>
          <w:lang w:val="en-US"/>
        </w:rPr>
        <w:t xml:space="preserve">The only difference between the Current Practice and Engager strategies is the introduction of the Engager intervention while individuals are still in prison. The model assumes that not all individuals start the Engager intervention at the same time before release. Instead, the Engager intervention </w:t>
      </w:r>
      <w:proofErr w:type="gramStart"/>
      <w:r w:rsidRPr="00120E6F">
        <w:rPr>
          <w:rFonts w:ascii="Arial" w:hAnsi="Arial" w:cs="Arial"/>
          <w:sz w:val="24"/>
          <w:szCs w:val="24"/>
          <w:lang w:val="en-US"/>
        </w:rPr>
        <w:t>is assumed</w:t>
      </w:r>
      <w:proofErr w:type="gramEnd"/>
      <w:r w:rsidRPr="00120E6F">
        <w:rPr>
          <w:rFonts w:ascii="Arial" w:hAnsi="Arial" w:cs="Arial"/>
          <w:sz w:val="24"/>
          <w:szCs w:val="24"/>
          <w:lang w:val="en-US"/>
        </w:rPr>
        <w:t xml:space="preserve"> to commence between 1 and 4 months prior to an individual’s release. Individuals may discontinue treatment at any time (before or after release), but for those continuing with treatment, the Engager intervention ends 3 months after release.</w:t>
      </w:r>
    </w:p>
    <w:p w14:paraId="01CB0D1C" w14:textId="77777777" w:rsidR="00120E6F" w:rsidRPr="00120E6F" w:rsidRDefault="00120E6F" w:rsidP="00120E6F">
      <w:pPr>
        <w:spacing w:after="0" w:line="360" w:lineRule="auto"/>
        <w:jc w:val="both"/>
        <w:rPr>
          <w:rFonts w:ascii="Arial" w:eastAsia="Calibri" w:hAnsi="Arial" w:cs="Arial"/>
          <w:sz w:val="24"/>
          <w:szCs w:val="24"/>
          <w:lang w:val="en-US"/>
        </w:rPr>
      </w:pPr>
      <w:r w:rsidRPr="00120E6F">
        <w:rPr>
          <w:rFonts w:ascii="Arial" w:hAnsi="Arial" w:cs="Arial"/>
          <w:sz w:val="24"/>
          <w:szCs w:val="24"/>
          <w:lang w:val="en-US"/>
        </w:rPr>
        <w:t>For those receiving the Engager intervention:</w:t>
      </w:r>
    </w:p>
    <w:p w14:paraId="65C2974D" w14:textId="77777777" w:rsidR="00120E6F" w:rsidRPr="00120E6F" w:rsidRDefault="00120E6F" w:rsidP="00120E6F">
      <w:pPr>
        <w:numPr>
          <w:ilvl w:val="0"/>
          <w:numId w:val="3"/>
        </w:numPr>
        <w:spacing w:after="0" w:line="360" w:lineRule="auto"/>
        <w:contextualSpacing/>
        <w:jc w:val="both"/>
        <w:rPr>
          <w:rFonts w:ascii="Arial" w:eastAsia="Calibri" w:hAnsi="Arial" w:cs="Arial"/>
          <w:sz w:val="24"/>
          <w:szCs w:val="24"/>
          <w:lang w:val="en-US"/>
        </w:rPr>
      </w:pPr>
      <w:r w:rsidRPr="00120E6F">
        <w:rPr>
          <w:rFonts w:ascii="Arial" w:hAnsi="Arial" w:cs="Arial"/>
          <w:sz w:val="24"/>
          <w:szCs w:val="24"/>
          <w:lang w:val="en-US"/>
        </w:rPr>
        <w:t xml:space="preserve">In </w:t>
      </w:r>
      <w:proofErr w:type="gramStart"/>
      <w:r w:rsidRPr="00120E6F">
        <w:rPr>
          <w:rFonts w:ascii="Arial" w:hAnsi="Arial" w:cs="Arial"/>
          <w:sz w:val="24"/>
          <w:szCs w:val="24"/>
          <w:lang w:val="en-US"/>
        </w:rPr>
        <w:t>prison</w:t>
      </w:r>
      <w:proofErr w:type="gramEnd"/>
      <w:r w:rsidRPr="00120E6F">
        <w:rPr>
          <w:rFonts w:ascii="Arial" w:hAnsi="Arial" w:cs="Arial"/>
          <w:sz w:val="24"/>
          <w:szCs w:val="24"/>
          <w:lang w:val="en-US"/>
        </w:rPr>
        <w:t xml:space="preserve"> there is a probability of an improvement to mental health once treatment with the Engager intervention starts. However this advantage of the Engager intervention on mental health only occurs in prison</w:t>
      </w:r>
    </w:p>
    <w:p w14:paraId="753364A6" w14:textId="77777777" w:rsidR="00120E6F" w:rsidRPr="00120E6F" w:rsidRDefault="00120E6F" w:rsidP="00120E6F">
      <w:pPr>
        <w:numPr>
          <w:ilvl w:val="0"/>
          <w:numId w:val="3"/>
        </w:numPr>
        <w:spacing w:after="0" w:line="360" w:lineRule="auto"/>
        <w:contextualSpacing/>
        <w:jc w:val="both"/>
        <w:rPr>
          <w:rFonts w:ascii="Arial" w:eastAsia="Calibri" w:hAnsi="Arial" w:cs="Arial"/>
          <w:sz w:val="24"/>
          <w:szCs w:val="24"/>
          <w:lang w:val="en-US"/>
        </w:rPr>
      </w:pPr>
      <w:r w:rsidRPr="00120E6F">
        <w:rPr>
          <w:rFonts w:ascii="Arial" w:hAnsi="Arial" w:cs="Arial"/>
          <w:sz w:val="24"/>
          <w:szCs w:val="24"/>
          <w:lang w:val="en-US"/>
        </w:rPr>
        <w:t>On release there is an increase in the probability of planned contact with health services (with probabilities differing depending on the type of health service), and therefore a subsequent decrease in the probability of unplanned contact with services after release.</w:t>
      </w:r>
    </w:p>
    <w:p w14:paraId="4FA938ED" w14:textId="77777777" w:rsidR="00120E6F" w:rsidRPr="00120E6F" w:rsidRDefault="00120E6F" w:rsidP="00120E6F">
      <w:pPr>
        <w:spacing w:after="0" w:line="360" w:lineRule="auto"/>
        <w:jc w:val="both"/>
        <w:rPr>
          <w:rFonts w:ascii="Arial" w:eastAsia="Calibri" w:hAnsi="Arial" w:cs="Arial"/>
          <w:sz w:val="24"/>
          <w:szCs w:val="24"/>
          <w:lang w:val="en-US"/>
        </w:rPr>
      </w:pPr>
      <w:r w:rsidRPr="00120E6F">
        <w:rPr>
          <w:rFonts w:ascii="Arial" w:hAnsi="Arial" w:cs="Arial"/>
          <w:sz w:val="24"/>
          <w:szCs w:val="24"/>
          <w:lang w:val="en-US"/>
        </w:rPr>
        <w:t>Thus in the model, the effectiveness of the Engager intervention is determined by a higher chance of improvement in mental health problems prior to release, and an increase in planned contact with health services on release, which translates to a decrease in unplanned contacts with health services.</w:t>
      </w:r>
    </w:p>
    <w:p w14:paraId="29F9C96B" w14:textId="77777777" w:rsidR="00120E6F" w:rsidRPr="00120E6F" w:rsidRDefault="00120E6F" w:rsidP="00120E6F">
      <w:pPr>
        <w:spacing w:after="0" w:line="360" w:lineRule="auto"/>
        <w:jc w:val="both"/>
        <w:rPr>
          <w:rFonts w:ascii="Arial" w:hAnsi="Arial" w:cs="Arial"/>
          <w:sz w:val="24"/>
          <w:szCs w:val="24"/>
          <w:lang w:val="en-US"/>
        </w:rPr>
      </w:pPr>
      <w:r w:rsidRPr="00120E6F">
        <w:rPr>
          <w:rFonts w:ascii="Arial" w:hAnsi="Arial" w:cs="Arial"/>
          <w:sz w:val="24"/>
          <w:szCs w:val="24"/>
          <w:lang w:val="en-US"/>
        </w:rPr>
        <w:lastRenderedPageBreak/>
        <w:t xml:space="preserve">This part of the model </w:t>
      </w:r>
      <w:proofErr w:type="gramStart"/>
      <w:r w:rsidRPr="00120E6F">
        <w:rPr>
          <w:rFonts w:ascii="Arial" w:hAnsi="Arial" w:cs="Arial"/>
          <w:sz w:val="24"/>
          <w:szCs w:val="24"/>
          <w:lang w:val="en-US"/>
        </w:rPr>
        <w:t>will be informed</w:t>
      </w:r>
      <w:proofErr w:type="gramEnd"/>
      <w:r w:rsidRPr="00120E6F">
        <w:rPr>
          <w:rFonts w:ascii="Arial" w:hAnsi="Arial" w:cs="Arial"/>
          <w:sz w:val="24"/>
          <w:szCs w:val="24"/>
          <w:lang w:val="en-US"/>
        </w:rPr>
        <w:t xml:space="preserve"> by data from the Engager trial.</w:t>
      </w:r>
    </w:p>
    <w:p w14:paraId="6EB0E83B" w14:textId="77777777" w:rsidR="00120E6F" w:rsidRPr="00120E6F" w:rsidRDefault="00120E6F" w:rsidP="00120E6F">
      <w:pPr>
        <w:spacing w:after="0" w:line="360" w:lineRule="auto"/>
        <w:jc w:val="both"/>
        <w:rPr>
          <w:rFonts w:ascii="Arial" w:eastAsia="Calibri" w:hAnsi="Arial" w:cs="Arial"/>
          <w:sz w:val="24"/>
          <w:szCs w:val="24"/>
          <w:lang w:val="en-US"/>
        </w:rPr>
      </w:pPr>
    </w:p>
    <w:p w14:paraId="13CA21E3" w14:textId="77777777" w:rsidR="00120E6F" w:rsidRPr="00120E6F" w:rsidRDefault="00120E6F" w:rsidP="00120E6F">
      <w:pPr>
        <w:spacing w:after="0" w:line="360" w:lineRule="auto"/>
        <w:jc w:val="both"/>
        <w:rPr>
          <w:rFonts w:ascii="Arial" w:eastAsia="Calibri" w:hAnsi="Arial" w:cs="Arial"/>
          <w:b/>
          <w:sz w:val="24"/>
          <w:szCs w:val="24"/>
          <w:lang w:val="en-US"/>
        </w:rPr>
      </w:pPr>
      <w:r w:rsidRPr="00120E6F">
        <w:rPr>
          <w:rFonts w:ascii="Arial" w:hAnsi="Arial" w:cs="Arial"/>
          <w:b/>
          <w:sz w:val="24"/>
          <w:szCs w:val="24"/>
          <w:lang w:val="en-US"/>
        </w:rPr>
        <w:t>Outcomes</w:t>
      </w:r>
    </w:p>
    <w:p w14:paraId="4C82BE15" w14:textId="77777777" w:rsidR="00120E6F" w:rsidRPr="00120E6F" w:rsidRDefault="00120E6F" w:rsidP="00120E6F">
      <w:pPr>
        <w:spacing w:after="0" w:line="360" w:lineRule="auto"/>
        <w:jc w:val="both"/>
        <w:rPr>
          <w:rFonts w:ascii="Arial" w:eastAsia="Calibri" w:hAnsi="Arial" w:cs="Arial"/>
          <w:sz w:val="24"/>
          <w:szCs w:val="24"/>
          <w:lang w:val="en-US"/>
        </w:rPr>
      </w:pPr>
      <w:r w:rsidRPr="00120E6F">
        <w:rPr>
          <w:rFonts w:ascii="Arial" w:hAnsi="Arial" w:cs="Arial"/>
          <w:sz w:val="24"/>
          <w:szCs w:val="24"/>
          <w:lang w:val="en-US"/>
        </w:rPr>
        <w:t>Outcomes from the model currently include:</w:t>
      </w:r>
    </w:p>
    <w:p w14:paraId="4EC30372" w14:textId="77777777" w:rsidR="00120E6F" w:rsidRPr="00120E6F" w:rsidRDefault="00120E6F" w:rsidP="00120E6F">
      <w:pPr>
        <w:numPr>
          <w:ilvl w:val="0"/>
          <w:numId w:val="4"/>
        </w:numPr>
        <w:spacing w:after="0" w:line="360" w:lineRule="auto"/>
        <w:contextualSpacing/>
        <w:jc w:val="both"/>
        <w:rPr>
          <w:rFonts w:ascii="Arial" w:eastAsia="Calibri" w:hAnsi="Arial" w:cs="Arial"/>
          <w:sz w:val="24"/>
          <w:szCs w:val="24"/>
          <w:lang w:val="en-US"/>
        </w:rPr>
      </w:pPr>
      <w:r w:rsidRPr="00120E6F">
        <w:rPr>
          <w:rFonts w:ascii="Arial" w:hAnsi="Arial" w:cs="Arial"/>
          <w:sz w:val="24"/>
          <w:szCs w:val="24"/>
          <w:lang w:val="en-US"/>
        </w:rPr>
        <w:t>proportion of individuals having planned and unplanned contact with health services (within prison and on release)</w:t>
      </w:r>
    </w:p>
    <w:p w14:paraId="2A6801C2" w14:textId="77777777" w:rsidR="00120E6F" w:rsidRPr="00120E6F" w:rsidRDefault="00120E6F" w:rsidP="00120E6F">
      <w:pPr>
        <w:numPr>
          <w:ilvl w:val="0"/>
          <w:numId w:val="4"/>
        </w:numPr>
        <w:spacing w:after="0" w:line="360" w:lineRule="auto"/>
        <w:contextualSpacing/>
        <w:jc w:val="both"/>
        <w:rPr>
          <w:rFonts w:ascii="Arial" w:eastAsia="Calibri" w:hAnsi="Arial" w:cs="Arial"/>
          <w:sz w:val="24"/>
          <w:szCs w:val="24"/>
          <w:lang w:val="en-US"/>
        </w:rPr>
      </w:pPr>
      <w:r w:rsidRPr="00120E6F">
        <w:rPr>
          <w:rFonts w:ascii="Arial" w:hAnsi="Arial" w:cs="Arial"/>
          <w:sz w:val="24"/>
          <w:szCs w:val="24"/>
          <w:lang w:val="en-US"/>
        </w:rPr>
        <w:t>number of planned and unplanned contacts per week/month with health services (within prison and on release)</w:t>
      </w:r>
    </w:p>
    <w:p w14:paraId="7318450B" w14:textId="77777777" w:rsidR="00120E6F" w:rsidRPr="00120E6F" w:rsidRDefault="00120E6F" w:rsidP="00120E6F">
      <w:pPr>
        <w:numPr>
          <w:ilvl w:val="0"/>
          <w:numId w:val="4"/>
        </w:numPr>
        <w:spacing w:after="0" w:line="360" w:lineRule="auto"/>
        <w:contextualSpacing/>
        <w:jc w:val="both"/>
        <w:rPr>
          <w:rFonts w:ascii="Arial" w:eastAsia="Calibri" w:hAnsi="Arial" w:cs="Arial"/>
          <w:sz w:val="24"/>
          <w:szCs w:val="24"/>
          <w:lang w:val="en-US"/>
        </w:rPr>
      </w:pPr>
      <w:r w:rsidRPr="00120E6F">
        <w:rPr>
          <w:rFonts w:ascii="Arial" w:hAnsi="Arial" w:cs="Arial"/>
          <w:sz w:val="24"/>
          <w:szCs w:val="24"/>
          <w:lang w:val="en-US"/>
        </w:rPr>
        <w:t>number of non-fatal self-harm events (within prison and on release)</w:t>
      </w:r>
    </w:p>
    <w:p w14:paraId="051DA179" w14:textId="77777777" w:rsidR="00120E6F" w:rsidRPr="00120E6F" w:rsidRDefault="00120E6F" w:rsidP="00120E6F">
      <w:pPr>
        <w:numPr>
          <w:ilvl w:val="0"/>
          <w:numId w:val="4"/>
        </w:numPr>
        <w:spacing w:after="0" w:line="360" w:lineRule="auto"/>
        <w:contextualSpacing/>
        <w:jc w:val="both"/>
        <w:rPr>
          <w:rFonts w:ascii="Arial" w:eastAsia="Calibri" w:hAnsi="Arial" w:cs="Arial"/>
          <w:sz w:val="24"/>
          <w:szCs w:val="24"/>
          <w:lang w:val="en-US"/>
        </w:rPr>
      </w:pPr>
      <w:r w:rsidRPr="00120E6F">
        <w:rPr>
          <w:rFonts w:ascii="Arial" w:hAnsi="Arial" w:cs="Arial"/>
          <w:sz w:val="24"/>
          <w:szCs w:val="24"/>
          <w:lang w:val="en-US"/>
        </w:rPr>
        <w:t>length of time with common mental health problem</w:t>
      </w:r>
    </w:p>
    <w:p w14:paraId="5CC856C7" w14:textId="77777777" w:rsidR="00120E6F" w:rsidRPr="00120E6F" w:rsidRDefault="00120E6F" w:rsidP="00120E6F">
      <w:pPr>
        <w:numPr>
          <w:ilvl w:val="0"/>
          <w:numId w:val="4"/>
        </w:numPr>
        <w:spacing w:after="0" w:line="360" w:lineRule="auto"/>
        <w:contextualSpacing/>
        <w:jc w:val="both"/>
        <w:rPr>
          <w:rFonts w:ascii="Arial" w:eastAsia="Calibri" w:hAnsi="Arial" w:cs="Arial"/>
          <w:sz w:val="24"/>
          <w:szCs w:val="24"/>
          <w:lang w:val="en-US"/>
        </w:rPr>
      </w:pPr>
      <w:r w:rsidRPr="00120E6F">
        <w:rPr>
          <w:rFonts w:ascii="Arial" w:hAnsi="Arial" w:cs="Arial"/>
          <w:sz w:val="24"/>
          <w:szCs w:val="24"/>
          <w:lang w:val="en-US"/>
        </w:rPr>
        <w:t>length of time with substance misuse problem (if individual has such a problem)</w:t>
      </w:r>
    </w:p>
    <w:p w14:paraId="0CB5F680" w14:textId="77777777" w:rsidR="00120E6F" w:rsidRPr="00120E6F" w:rsidRDefault="00120E6F" w:rsidP="00120E6F">
      <w:pPr>
        <w:numPr>
          <w:ilvl w:val="0"/>
          <w:numId w:val="4"/>
        </w:numPr>
        <w:spacing w:after="0" w:line="360" w:lineRule="auto"/>
        <w:contextualSpacing/>
        <w:jc w:val="both"/>
        <w:rPr>
          <w:rFonts w:ascii="Arial" w:eastAsia="Calibri" w:hAnsi="Arial" w:cs="Arial"/>
          <w:sz w:val="24"/>
          <w:szCs w:val="24"/>
          <w:lang w:val="en-US"/>
        </w:rPr>
      </w:pPr>
      <w:r w:rsidRPr="00120E6F">
        <w:rPr>
          <w:rFonts w:ascii="Arial" w:hAnsi="Arial" w:cs="Arial"/>
          <w:sz w:val="24"/>
          <w:szCs w:val="24"/>
          <w:lang w:val="en-US"/>
        </w:rPr>
        <w:t>costs of planned and unplanned contact with health services (within prison and on release)</w:t>
      </w:r>
    </w:p>
    <w:p w14:paraId="3BBE36AF" w14:textId="77777777" w:rsidR="00120E6F" w:rsidRPr="00120E6F" w:rsidRDefault="00120E6F" w:rsidP="00120E6F">
      <w:pPr>
        <w:numPr>
          <w:ilvl w:val="0"/>
          <w:numId w:val="4"/>
        </w:numPr>
        <w:spacing w:after="0" w:line="360" w:lineRule="auto"/>
        <w:contextualSpacing/>
        <w:jc w:val="both"/>
        <w:rPr>
          <w:rFonts w:ascii="Arial" w:eastAsia="Calibri" w:hAnsi="Arial" w:cs="Arial"/>
          <w:sz w:val="24"/>
          <w:szCs w:val="24"/>
          <w:lang w:val="en-US"/>
        </w:rPr>
      </w:pPr>
      <w:r w:rsidRPr="00120E6F">
        <w:rPr>
          <w:rFonts w:ascii="Arial" w:hAnsi="Arial" w:cs="Arial"/>
          <w:sz w:val="24"/>
          <w:szCs w:val="24"/>
          <w:lang w:val="en-US"/>
        </w:rPr>
        <w:t>quality of life, estimated as utility</w:t>
      </w:r>
    </w:p>
    <w:p w14:paraId="0B44BB88" w14:textId="77777777" w:rsidR="00120E6F" w:rsidRPr="00120E6F" w:rsidRDefault="00120E6F" w:rsidP="00120E6F">
      <w:pPr>
        <w:numPr>
          <w:ilvl w:val="0"/>
          <w:numId w:val="4"/>
        </w:numPr>
        <w:spacing w:after="0" w:line="360" w:lineRule="auto"/>
        <w:contextualSpacing/>
        <w:jc w:val="both"/>
        <w:rPr>
          <w:rFonts w:ascii="Arial" w:eastAsia="Calibri" w:hAnsi="Arial" w:cs="Arial"/>
          <w:sz w:val="24"/>
          <w:szCs w:val="24"/>
          <w:lang w:val="en-US"/>
        </w:rPr>
      </w:pPr>
      <w:proofErr w:type="gramStart"/>
      <w:r w:rsidRPr="00120E6F">
        <w:rPr>
          <w:rFonts w:ascii="Arial" w:hAnsi="Arial" w:cs="Arial"/>
          <w:sz w:val="24"/>
          <w:szCs w:val="24"/>
          <w:lang w:val="en-US"/>
        </w:rPr>
        <w:t>number</w:t>
      </w:r>
      <w:proofErr w:type="gramEnd"/>
      <w:r w:rsidRPr="00120E6F">
        <w:rPr>
          <w:rFonts w:ascii="Arial" w:hAnsi="Arial" w:cs="Arial"/>
          <w:sz w:val="24"/>
          <w:szCs w:val="24"/>
          <w:lang w:val="en-US"/>
        </w:rPr>
        <w:t xml:space="preserve"> of deaths.</w:t>
      </w:r>
    </w:p>
    <w:p w14:paraId="66DB0FB8" w14:textId="77777777" w:rsidR="00120E6F" w:rsidRPr="00120E6F" w:rsidRDefault="00120E6F" w:rsidP="00120E6F">
      <w:pPr>
        <w:spacing w:after="0" w:line="360" w:lineRule="auto"/>
        <w:jc w:val="both"/>
        <w:rPr>
          <w:rFonts w:ascii="Arial" w:hAnsi="Arial" w:cs="Arial"/>
          <w:sz w:val="24"/>
          <w:szCs w:val="24"/>
          <w:lang w:val="en-US"/>
        </w:rPr>
      </w:pPr>
    </w:p>
    <w:p w14:paraId="7CF6F256" w14:textId="77777777" w:rsidR="00120E6F" w:rsidRPr="00120E6F" w:rsidRDefault="00120E6F" w:rsidP="00120E6F">
      <w:pPr>
        <w:spacing w:after="0" w:line="360" w:lineRule="auto"/>
        <w:jc w:val="both"/>
        <w:rPr>
          <w:rFonts w:ascii="Arial" w:eastAsia="Calibri" w:hAnsi="Arial" w:cs="Arial"/>
          <w:sz w:val="24"/>
          <w:szCs w:val="24"/>
          <w:lang w:val="en-US"/>
        </w:rPr>
      </w:pPr>
      <w:r w:rsidRPr="00120E6F">
        <w:rPr>
          <w:rFonts w:ascii="Arial" w:hAnsi="Arial" w:cs="Arial"/>
          <w:sz w:val="24"/>
          <w:szCs w:val="24"/>
          <w:lang w:val="en-US"/>
        </w:rPr>
        <w:t xml:space="preserve">When the model </w:t>
      </w:r>
      <w:proofErr w:type="gramStart"/>
      <w:r w:rsidRPr="00120E6F">
        <w:rPr>
          <w:rFonts w:ascii="Arial" w:hAnsi="Arial" w:cs="Arial"/>
          <w:sz w:val="24"/>
          <w:szCs w:val="24"/>
          <w:lang w:val="en-US"/>
        </w:rPr>
        <w:t>is extended</w:t>
      </w:r>
      <w:proofErr w:type="gramEnd"/>
      <w:r w:rsidRPr="00120E6F">
        <w:rPr>
          <w:rFonts w:ascii="Arial" w:hAnsi="Arial" w:cs="Arial"/>
          <w:sz w:val="24"/>
          <w:szCs w:val="24"/>
          <w:lang w:val="en-US"/>
        </w:rPr>
        <w:t xml:space="preserve"> in time horizon, other social and economic outcomes can be incorporated, where data to inform the relevant causal relationships is reliable.</w:t>
      </w:r>
    </w:p>
    <w:p w14:paraId="28BBCE0C" w14:textId="77777777" w:rsidR="00120E6F" w:rsidRPr="00120E6F" w:rsidRDefault="00120E6F" w:rsidP="00120E6F">
      <w:pPr>
        <w:spacing w:after="0" w:line="360" w:lineRule="auto"/>
        <w:jc w:val="both"/>
        <w:rPr>
          <w:rFonts w:ascii="Arial" w:eastAsia="Calibri" w:hAnsi="Arial" w:cs="Arial"/>
          <w:sz w:val="24"/>
          <w:szCs w:val="24"/>
          <w:lang w:val="en-US"/>
        </w:rPr>
      </w:pPr>
      <w:r w:rsidRPr="00120E6F">
        <w:rPr>
          <w:rFonts w:ascii="Arial" w:hAnsi="Arial" w:cs="Arial"/>
          <w:sz w:val="24"/>
          <w:szCs w:val="24"/>
          <w:lang w:val="en-US"/>
        </w:rPr>
        <w:t xml:space="preserve">Each contact an individual may have with services </w:t>
      </w:r>
      <w:proofErr w:type="gramStart"/>
      <w:r w:rsidRPr="00120E6F">
        <w:rPr>
          <w:rFonts w:ascii="Arial" w:hAnsi="Arial" w:cs="Arial"/>
          <w:sz w:val="24"/>
          <w:szCs w:val="24"/>
          <w:lang w:val="en-US"/>
        </w:rPr>
        <w:t>is assigned</w:t>
      </w:r>
      <w:proofErr w:type="gramEnd"/>
      <w:r w:rsidRPr="00120E6F">
        <w:rPr>
          <w:rFonts w:ascii="Arial" w:hAnsi="Arial" w:cs="Arial"/>
          <w:sz w:val="24"/>
          <w:szCs w:val="24"/>
          <w:lang w:val="en-US"/>
        </w:rPr>
        <w:t xml:space="preserve"> a cost from the perspective of the NHS and personal social services (PSS). </w:t>
      </w:r>
      <w:proofErr w:type="spellStart"/>
      <w:r w:rsidRPr="00120E6F">
        <w:rPr>
          <w:rFonts w:ascii="Arial" w:hAnsi="Arial" w:cs="Arial"/>
          <w:sz w:val="24"/>
          <w:szCs w:val="24"/>
          <w:lang w:val="en-US"/>
        </w:rPr>
        <w:t>Hospitalisation</w:t>
      </w:r>
      <w:proofErr w:type="spellEnd"/>
      <w:r w:rsidRPr="00120E6F">
        <w:rPr>
          <w:rFonts w:ascii="Arial" w:hAnsi="Arial" w:cs="Arial"/>
          <w:sz w:val="24"/>
          <w:szCs w:val="24"/>
          <w:lang w:val="en-US"/>
        </w:rPr>
        <w:t xml:space="preserve"> costs resulting from a non-fatal self-harm event </w:t>
      </w:r>
      <w:proofErr w:type="gramStart"/>
      <w:r w:rsidRPr="00120E6F">
        <w:rPr>
          <w:rFonts w:ascii="Arial" w:hAnsi="Arial" w:cs="Arial"/>
          <w:sz w:val="24"/>
          <w:szCs w:val="24"/>
          <w:lang w:val="en-US"/>
        </w:rPr>
        <w:t>are accounted for,</w:t>
      </w:r>
      <w:proofErr w:type="gramEnd"/>
      <w:r w:rsidRPr="00120E6F">
        <w:rPr>
          <w:rFonts w:ascii="Arial" w:hAnsi="Arial" w:cs="Arial"/>
          <w:sz w:val="24"/>
          <w:szCs w:val="24"/>
          <w:lang w:val="en-US"/>
        </w:rPr>
        <w:t xml:space="preserve"> as are medication costs.</w:t>
      </w:r>
    </w:p>
    <w:p w14:paraId="47DC5F20" w14:textId="77777777" w:rsidR="00120E6F" w:rsidRPr="00120E6F" w:rsidRDefault="00120E6F" w:rsidP="00120E6F">
      <w:pPr>
        <w:spacing w:after="0" w:line="360" w:lineRule="auto"/>
        <w:jc w:val="both"/>
        <w:rPr>
          <w:rFonts w:ascii="Arial" w:eastAsia="Calibri" w:hAnsi="Arial" w:cs="Arial"/>
          <w:sz w:val="24"/>
          <w:szCs w:val="24"/>
          <w:lang w:val="en-US"/>
        </w:rPr>
      </w:pPr>
      <w:r w:rsidRPr="00120E6F">
        <w:rPr>
          <w:rFonts w:ascii="Arial" w:hAnsi="Arial" w:cs="Arial"/>
          <w:sz w:val="24"/>
          <w:szCs w:val="24"/>
          <w:lang w:val="en-US"/>
        </w:rPr>
        <w:t xml:space="preserve">Utilities (estimates of quality of life) </w:t>
      </w:r>
      <w:proofErr w:type="gramStart"/>
      <w:r w:rsidRPr="00120E6F">
        <w:rPr>
          <w:rFonts w:ascii="Arial" w:hAnsi="Arial" w:cs="Arial"/>
          <w:sz w:val="24"/>
          <w:szCs w:val="24"/>
          <w:lang w:val="en-US"/>
        </w:rPr>
        <w:t>are assigned</w:t>
      </w:r>
      <w:proofErr w:type="gramEnd"/>
      <w:r w:rsidRPr="00120E6F">
        <w:rPr>
          <w:rFonts w:ascii="Arial" w:hAnsi="Arial" w:cs="Arial"/>
          <w:sz w:val="24"/>
          <w:szCs w:val="24"/>
          <w:lang w:val="en-US"/>
        </w:rPr>
        <w:t xml:space="preserve"> to individuals and change depending on the health problems the individual may be experiencing. In the pilot model, it </w:t>
      </w:r>
      <w:proofErr w:type="gramStart"/>
      <w:r w:rsidRPr="00120E6F">
        <w:rPr>
          <w:rFonts w:ascii="Arial" w:hAnsi="Arial" w:cs="Arial"/>
          <w:sz w:val="24"/>
          <w:szCs w:val="24"/>
          <w:lang w:val="en-US"/>
        </w:rPr>
        <w:t>is assumed</w:t>
      </w:r>
      <w:proofErr w:type="gramEnd"/>
      <w:r w:rsidRPr="00120E6F">
        <w:rPr>
          <w:rFonts w:ascii="Arial" w:hAnsi="Arial" w:cs="Arial"/>
          <w:sz w:val="24"/>
          <w:szCs w:val="24"/>
          <w:lang w:val="en-US"/>
        </w:rPr>
        <w:t xml:space="preserve"> that a utility for a particular health state does not depend on whether the individual is being treated for that health issue. However, in reality, utilities </w:t>
      </w:r>
      <w:proofErr w:type="gramStart"/>
      <w:r w:rsidRPr="00120E6F">
        <w:rPr>
          <w:rFonts w:ascii="Arial" w:hAnsi="Arial" w:cs="Arial"/>
          <w:sz w:val="24"/>
          <w:szCs w:val="24"/>
          <w:lang w:val="en-US"/>
        </w:rPr>
        <w:t>may be expected</w:t>
      </w:r>
      <w:proofErr w:type="gramEnd"/>
      <w:r w:rsidRPr="00120E6F">
        <w:rPr>
          <w:rFonts w:ascii="Arial" w:hAnsi="Arial" w:cs="Arial"/>
          <w:sz w:val="24"/>
          <w:szCs w:val="24"/>
          <w:lang w:val="en-US"/>
        </w:rPr>
        <w:t xml:space="preserve"> to be lower for those individuals not being treated for their health problems. This </w:t>
      </w:r>
      <w:proofErr w:type="gramStart"/>
      <w:r w:rsidRPr="00120E6F">
        <w:rPr>
          <w:rFonts w:ascii="Arial" w:hAnsi="Arial" w:cs="Arial"/>
          <w:sz w:val="24"/>
          <w:szCs w:val="24"/>
          <w:lang w:val="en-US"/>
        </w:rPr>
        <w:t>will be further explored</w:t>
      </w:r>
      <w:proofErr w:type="gramEnd"/>
      <w:r w:rsidRPr="00120E6F">
        <w:rPr>
          <w:rFonts w:ascii="Arial" w:hAnsi="Arial" w:cs="Arial"/>
          <w:sz w:val="24"/>
          <w:szCs w:val="24"/>
          <w:lang w:val="en-US"/>
        </w:rPr>
        <w:t xml:space="preserve"> in the full model.</w:t>
      </w:r>
    </w:p>
    <w:p w14:paraId="6C3A3460" w14:textId="77777777" w:rsidR="00120E6F" w:rsidRPr="00120E6F" w:rsidRDefault="00120E6F" w:rsidP="00120E6F">
      <w:pPr>
        <w:spacing w:after="0" w:line="360" w:lineRule="auto"/>
        <w:jc w:val="both"/>
        <w:rPr>
          <w:rFonts w:ascii="Arial" w:eastAsia="Calibri" w:hAnsi="Arial" w:cs="Arial"/>
          <w:sz w:val="24"/>
          <w:szCs w:val="24"/>
          <w:lang w:val="en-US"/>
        </w:rPr>
      </w:pPr>
      <w:r w:rsidRPr="00120E6F">
        <w:rPr>
          <w:rFonts w:ascii="Arial" w:hAnsi="Arial" w:cs="Arial"/>
          <w:sz w:val="24"/>
          <w:szCs w:val="24"/>
          <w:lang w:val="en-US"/>
        </w:rPr>
        <w:t xml:space="preserve">The model </w:t>
      </w:r>
      <w:proofErr w:type="gramStart"/>
      <w:r w:rsidRPr="00120E6F">
        <w:rPr>
          <w:rFonts w:ascii="Arial" w:hAnsi="Arial" w:cs="Arial"/>
          <w:sz w:val="24"/>
          <w:szCs w:val="24"/>
          <w:lang w:val="en-US"/>
        </w:rPr>
        <w:t>was run</w:t>
      </w:r>
      <w:proofErr w:type="gramEnd"/>
      <w:r w:rsidRPr="00120E6F">
        <w:rPr>
          <w:rFonts w:ascii="Arial" w:hAnsi="Arial" w:cs="Arial"/>
          <w:sz w:val="24"/>
          <w:szCs w:val="24"/>
          <w:lang w:val="en-US"/>
        </w:rPr>
        <w:t xml:space="preserve"> with a sample of 5000 simulated individuals. The results for each strategy (Current Practice and Engager) </w:t>
      </w:r>
      <w:proofErr w:type="gramStart"/>
      <w:r w:rsidRPr="00120E6F">
        <w:rPr>
          <w:rFonts w:ascii="Arial" w:hAnsi="Arial" w:cs="Arial"/>
          <w:sz w:val="24"/>
          <w:szCs w:val="24"/>
          <w:lang w:val="en-US"/>
        </w:rPr>
        <w:t>are averaged and compared to estimate the incremental costs and effects of the Engager strategy compared to the Current Practice strategy</w:t>
      </w:r>
      <w:proofErr w:type="gramEnd"/>
      <w:r w:rsidRPr="00120E6F">
        <w:rPr>
          <w:rFonts w:ascii="Arial" w:hAnsi="Arial" w:cs="Arial"/>
          <w:sz w:val="24"/>
          <w:szCs w:val="24"/>
          <w:lang w:val="en-US"/>
        </w:rPr>
        <w:t xml:space="preserve">. Many of the parameter values currently used in the model are not evidence-based, but the full model </w:t>
      </w:r>
      <w:proofErr w:type="gramStart"/>
      <w:r w:rsidRPr="00120E6F">
        <w:rPr>
          <w:rFonts w:ascii="Arial" w:hAnsi="Arial" w:cs="Arial"/>
          <w:sz w:val="24"/>
          <w:szCs w:val="24"/>
          <w:lang w:val="en-US"/>
        </w:rPr>
        <w:t>will be informed</w:t>
      </w:r>
      <w:proofErr w:type="gramEnd"/>
      <w:r w:rsidRPr="00120E6F">
        <w:rPr>
          <w:rFonts w:ascii="Arial" w:hAnsi="Arial" w:cs="Arial"/>
          <w:sz w:val="24"/>
          <w:szCs w:val="24"/>
          <w:lang w:val="en-US"/>
        </w:rPr>
        <w:t xml:space="preserve"> by the Engager trial. Therefore, </w:t>
      </w:r>
      <w:r w:rsidRPr="00120E6F">
        <w:rPr>
          <w:rFonts w:ascii="Arial" w:hAnsi="Arial" w:cs="Arial"/>
          <w:sz w:val="24"/>
          <w:szCs w:val="24"/>
          <w:lang w:val="en-US"/>
        </w:rPr>
        <w:lastRenderedPageBreak/>
        <w:t xml:space="preserve">the results presented below from the pilot model are for illustration purposes only to show the minimum outcomes from the model. With further development, the model will also provide outcomes relevant to employment, accommodation, reoffending and conviction, and relationships, as well as longer-term health outcomes.  </w:t>
      </w:r>
    </w:p>
    <w:p w14:paraId="0FF83A58" w14:textId="77777777" w:rsidR="00120E6F" w:rsidRPr="00120E6F" w:rsidRDefault="00120E6F" w:rsidP="00120E6F">
      <w:pPr>
        <w:spacing w:after="0" w:line="360" w:lineRule="auto"/>
        <w:jc w:val="both"/>
        <w:rPr>
          <w:rFonts w:ascii="Arial" w:eastAsia="Calibri" w:hAnsi="Arial" w:cs="Arial"/>
          <w:sz w:val="24"/>
          <w:szCs w:val="24"/>
          <w:lang w:val="en-US"/>
        </w:rPr>
      </w:pPr>
      <w:r w:rsidRPr="00120E6F">
        <w:rPr>
          <w:rFonts w:ascii="Arial" w:hAnsi="Arial" w:cs="Arial"/>
          <w:sz w:val="24"/>
          <w:szCs w:val="24"/>
          <w:lang w:val="en-US"/>
        </w:rPr>
        <w:t xml:space="preserve">To illustrate the pilot model, the parameter values in the Appendix below </w:t>
      </w:r>
      <w:proofErr w:type="gramStart"/>
      <w:r w:rsidRPr="00120E6F">
        <w:rPr>
          <w:rFonts w:ascii="Arial" w:hAnsi="Arial" w:cs="Arial"/>
          <w:sz w:val="24"/>
          <w:szCs w:val="24"/>
          <w:lang w:val="en-US"/>
        </w:rPr>
        <w:t>were used</w:t>
      </w:r>
      <w:proofErr w:type="gramEnd"/>
      <w:r w:rsidRPr="00120E6F">
        <w:rPr>
          <w:rFonts w:ascii="Arial" w:hAnsi="Arial" w:cs="Arial"/>
          <w:sz w:val="24"/>
          <w:szCs w:val="24"/>
          <w:lang w:val="en-US"/>
        </w:rPr>
        <w:t xml:space="preserve">. The data sources for the pilot model </w:t>
      </w:r>
      <w:proofErr w:type="gramStart"/>
      <w:r w:rsidRPr="00120E6F">
        <w:rPr>
          <w:rFonts w:ascii="Arial" w:hAnsi="Arial" w:cs="Arial"/>
          <w:sz w:val="24"/>
          <w:szCs w:val="24"/>
          <w:lang w:val="en-US"/>
        </w:rPr>
        <w:t>are shown</w:t>
      </w:r>
      <w:proofErr w:type="gramEnd"/>
      <w:r w:rsidRPr="00120E6F">
        <w:rPr>
          <w:rFonts w:ascii="Arial" w:hAnsi="Arial" w:cs="Arial"/>
          <w:sz w:val="24"/>
          <w:szCs w:val="24"/>
          <w:lang w:val="en-US"/>
        </w:rPr>
        <w:t>, as well as the likely data sources for the fully developed model.</w:t>
      </w:r>
    </w:p>
    <w:p w14:paraId="40E2F200" w14:textId="77777777" w:rsidR="00120E6F" w:rsidRPr="00120E6F" w:rsidRDefault="00120E6F" w:rsidP="00120E6F">
      <w:pPr>
        <w:spacing w:after="0" w:line="360" w:lineRule="auto"/>
        <w:jc w:val="both"/>
        <w:rPr>
          <w:rFonts w:ascii="Arial" w:eastAsia="Calibri" w:hAnsi="Arial" w:cs="Arial"/>
          <w:b/>
          <w:sz w:val="24"/>
          <w:szCs w:val="24"/>
          <w:lang w:val="en-US"/>
        </w:rPr>
      </w:pPr>
    </w:p>
    <w:p w14:paraId="5D6AAE09" w14:textId="77777777" w:rsidR="00120E6F" w:rsidRPr="00120E6F" w:rsidRDefault="00120E6F" w:rsidP="00120E6F">
      <w:pPr>
        <w:spacing w:after="0" w:line="360" w:lineRule="auto"/>
        <w:rPr>
          <w:rFonts w:ascii="Arial" w:eastAsia="Calibri" w:hAnsi="Arial" w:cs="Arial"/>
          <w:b/>
          <w:sz w:val="24"/>
          <w:szCs w:val="24"/>
          <w:lang w:val="en-US"/>
        </w:rPr>
      </w:pPr>
      <w:r w:rsidRPr="00120E6F">
        <w:rPr>
          <w:rFonts w:ascii="Arial" w:hAnsi="Arial" w:cs="Arial"/>
          <w:b/>
          <w:sz w:val="24"/>
          <w:szCs w:val="24"/>
          <w:lang w:val="en-US"/>
        </w:rPr>
        <w:t>Reconsideration of feasibility and value of EVPI analysis</w:t>
      </w:r>
    </w:p>
    <w:p w14:paraId="60A36669" w14:textId="52879ACF" w:rsidR="00120E6F" w:rsidRPr="00120E6F" w:rsidRDefault="00120E6F" w:rsidP="00120E6F">
      <w:pPr>
        <w:spacing w:after="0" w:line="360" w:lineRule="auto"/>
        <w:jc w:val="both"/>
        <w:rPr>
          <w:rFonts w:ascii="Arial" w:eastAsia="Calibri" w:hAnsi="Arial" w:cs="Arial"/>
          <w:sz w:val="24"/>
          <w:szCs w:val="24"/>
          <w:lang w:val="en-US"/>
        </w:rPr>
      </w:pPr>
      <w:proofErr w:type="gramStart"/>
      <w:r w:rsidRPr="00120E6F">
        <w:rPr>
          <w:rFonts w:ascii="Arial" w:hAnsi="Arial" w:cs="Arial"/>
          <w:sz w:val="24"/>
          <w:szCs w:val="24"/>
          <w:lang w:val="en-US"/>
        </w:rPr>
        <w:t>In preparation for and to inform the design of definitive RCTs of health interventions,</w:t>
      </w:r>
      <w:proofErr w:type="gramEnd"/>
      <w:r w:rsidRPr="00120E6F">
        <w:rPr>
          <w:rFonts w:ascii="Arial" w:hAnsi="Arial" w:cs="Arial"/>
          <w:sz w:val="24"/>
          <w:szCs w:val="24"/>
          <w:lang w:val="en-US"/>
        </w:rPr>
        <w:t xml:space="preserve"> probabilistic decision modelling can be extended to explore which sets of parameters contribute the most to the decision uncertainty (Estimated Value of Perfect Information).  Combining the outputs of such analyses with data or assumptions about the research costs of reducing the uncertainty of different parameter estimates, such methods can be extended further to inform optimal research design (Estimated Value of Sampling Information). However, both these approaches are predicated on (a) the intervention primarily or only having an impact on health, and (b) there being an accepted societal willingness to pay for a single </w:t>
      </w:r>
      <w:proofErr w:type="gramStart"/>
      <w:r w:rsidRPr="00120E6F">
        <w:rPr>
          <w:rFonts w:ascii="Arial" w:hAnsi="Arial" w:cs="Arial"/>
          <w:sz w:val="24"/>
          <w:szCs w:val="24"/>
          <w:lang w:val="en-US"/>
        </w:rPr>
        <w:t>outcome which</w:t>
      </w:r>
      <w:proofErr w:type="gramEnd"/>
      <w:r w:rsidRPr="00120E6F">
        <w:rPr>
          <w:rFonts w:ascii="Arial" w:hAnsi="Arial" w:cs="Arial"/>
          <w:sz w:val="24"/>
          <w:szCs w:val="24"/>
          <w:lang w:val="en-US"/>
        </w:rPr>
        <w:t xml:space="preserve"> captures all health outcomes.  This explains why these methods </w:t>
      </w:r>
      <w:proofErr w:type="gramStart"/>
      <w:r w:rsidRPr="00120E6F">
        <w:rPr>
          <w:rFonts w:ascii="Arial" w:hAnsi="Arial" w:cs="Arial"/>
          <w:sz w:val="24"/>
          <w:szCs w:val="24"/>
          <w:lang w:val="en-US"/>
        </w:rPr>
        <w:t>have mainly been applied</w:t>
      </w:r>
      <w:proofErr w:type="gramEnd"/>
      <w:r w:rsidRPr="00120E6F">
        <w:rPr>
          <w:rFonts w:ascii="Arial" w:hAnsi="Arial" w:cs="Arial"/>
          <w:sz w:val="24"/>
          <w:szCs w:val="24"/>
          <w:lang w:val="en-US"/>
        </w:rPr>
        <w:t xml:space="preserve"> in the field of health technology assessment</w:t>
      </w:r>
      <w:r w:rsidR="00BE7D49">
        <w:rPr>
          <w:rFonts w:ascii="Arial" w:hAnsi="Arial" w:cs="Arial"/>
          <w:sz w:val="24"/>
          <w:szCs w:val="24"/>
          <w:vertAlign w:val="superscript"/>
          <w:lang w:val="en-US"/>
        </w:rPr>
        <w:t>6</w:t>
      </w:r>
      <w:r w:rsidRPr="00120E6F">
        <w:rPr>
          <w:rFonts w:ascii="Arial" w:hAnsi="Arial" w:cs="Arial"/>
          <w:sz w:val="24"/>
          <w:szCs w:val="24"/>
          <w:lang w:val="en-US"/>
        </w:rPr>
        <w:t xml:space="preserve"> where the cost-effectiveness of specific treatments for specific conditions can be plausibly captured by health-related quality-adjusted life-years.</w:t>
      </w:r>
    </w:p>
    <w:p w14:paraId="779CAD7F" w14:textId="48CA9315" w:rsidR="00120E6F" w:rsidRPr="00120E6F" w:rsidRDefault="00120E6F" w:rsidP="00120E6F">
      <w:pPr>
        <w:spacing w:after="0" w:line="360" w:lineRule="auto"/>
        <w:jc w:val="both"/>
        <w:rPr>
          <w:rFonts w:ascii="Arial" w:eastAsia="Calibri" w:hAnsi="Arial" w:cs="Arial"/>
          <w:sz w:val="24"/>
          <w:szCs w:val="24"/>
          <w:lang w:val="en-US"/>
        </w:rPr>
      </w:pPr>
      <w:r w:rsidRPr="00120E6F">
        <w:rPr>
          <w:rFonts w:ascii="Arial" w:hAnsi="Arial" w:cs="Arial"/>
          <w:sz w:val="24"/>
          <w:szCs w:val="24"/>
          <w:lang w:val="en-US"/>
        </w:rPr>
        <w:t xml:space="preserve">For many public health interventions, and almost certainly for the Engager intervention, the use of EVPI and EVSI methods are much more difficult to justify. </w:t>
      </w:r>
      <w:proofErr w:type="gramStart"/>
      <w:r w:rsidRPr="00120E6F">
        <w:rPr>
          <w:rFonts w:ascii="Arial" w:hAnsi="Arial" w:cs="Arial"/>
          <w:sz w:val="24"/>
          <w:szCs w:val="24"/>
          <w:lang w:val="en-US"/>
        </w:rPr>
        <w:t>This is because both the intended and the unintended effects of the intervention are expected to go beyond health</w:t>
      </w:r>
      <w:r w:rsidR="00BE7D49">
        <w:rPr>
          <w:rFonts w:ascii="Arial" w:hAnsi="Arial" w:cs="Arial"/>
          <w:sz w:val="24"/>
          <w:szCs w:val="24"/>
          <w:vertAlign w:val="superscript"/>
          <w:lang w:val="en-US"/>
        </w:rPr>
        <w:t>7,8</w:t>
      </w:r>
      <w:r w:rsidRPr="00120E6F">
        <w:rPr>
          <w:rFonts w:ascii="Arial" w:hAnsi="Arial" w:cs="Arial"/>
          <w:sz w:val="24"/>
          <w:szCs w:val="24"/>
          <w:lang w:val="en-US"/>
        </w:rPr>
        <w:t xml:space="preserve"> and also the budgetary impact of different patterns of service use is on multiple government sectors (in addition to the NHS, on the criminal justice system, but also social care, housing/local government)</w:t>
      </w:r>
      <w:r w:rsidR="00BE7D49">
        <w:rPr>
          <w:rFonts w:ascii="Arial" w:hAnsi="Arial" w:cs="Arial"/>
          <w:sz w:val="24"/>
          <w:szCs w:val="24"/>
          <w:vertAlign w:val="superscript"/>
          <w:lang w:val="en-US"/>
        </w:rPr>
        <w:t>9,8</w:t>
      </w:r>
      <w:r w:rsidRPr="00120E6F">
        <w:rPr>
          <w:rFonts w:ascii="Arial" w:hAnsi="Arial" w:cs="Arial"/>
          <w:sz w:val="24"/>
          <w:szCs w:val="24"/>
          <w:lang w:val="en-US"/>
        </w:rPr>
        <w:t xml:space="preserve"> In such a context, to base an analysis only on changes in health-related quality of life, and only on the opportunity costs of additional spending in the NHS (which is what NICE’s cost-effectiveness threshold should represent) would represent a very partial evaluation of the true potential value of further research.</w:t>
      </w:r>
      <w:r w:rsidR="00BE7D49" w:rsidRPr="00BE7D49">
        <w:rPr>
          <w:rFonts w:ascii="Arial" w:hAnsi="Arial" w:cs="Arial"/>
          <w:sz w:val="24"/>
          <w:szCs w:val="24"/>
          <w:vertAlign w:val="superscript"/>
          <w:lang w:val="en-US"/>
        </w:rPr>
        <w:t>9,10</w:t>
      </w:r>
      <w:proofErr w:type="gramEnd"/>
    </w:p>
    <w:p w14:paraId="50B8DBCB" w14:textId="03A4E7C6" w:rsidR="00120E6F" w:rsidRPr="00120E6F" w:rsidRDefault="00120E6F" w:rsidP="00120E6F">
      <w:pPr>
        <w:spacing w:after="0" w:line="360" w:lineRule="auto"/>
        <w:jc w:val="both"/>
        <w:rPr>
          <w:rFonts w:ascii="Arial" w:eastAsia="Calibri" w:hAnsi="Arial" w:cs="Arial"/>
          <w:sz w:val="24"/>
          <w:szCs w:val="24"/>
          <w:lang w:val="en-US"/>
        </w:rPr>
      </w:pPr>
      <w:r w:rsidRPr="00120E6F">
        <w:rPr>
          <w:rFonts w:ascii="Arial" w:hAnsi="Arial" w:cs="Arial"/>
          <w:sz w:val="24"/>
          <w:szCs w:val="24"/>
          <w:lang w:val="en-US"/>
        </w:rPr>
        <w:t>On the other hand, current methods of economic evaluation do not lend themselves to the appropriate consideration of health and non-health related outcomes and cross-</w:t>
      </w:r>
      <w:r w:rsidRPr="00120E6F">
        <w:rPr>
          <w:rFonts w:ascii="Arial" w:hAnsi="Arial" w:cs="Arial"/>
          <w:sz w:val="24"/>
          <w:szCs w:val="24"/>
          <w:lang w:val="en-US"/>
        </w:rPr>
        <w:lastRenderedPageBreak/>
        <w:t xml:space="preserve">sector costs when the perspective of the analysis goes beyond health. </w:t>
      </w:r>
      <w:proofErr w:type="spellStart"/>
      <w:r w:rsidRPr="00120E6F">
        <w:rPr>
          <w:rFonts w:ascii="Arial" w:hAnsi="Arial" w:cs="Arial"/>
          <w:sz w:val="24"/>
          <w:szCs w:val="24"/>
          <w:lang w:val="en-US"/>
        </w:rPr>
        <w:t>Weatherley</w:t>
      </w:r>
      <w:proofErr w:type="spellEnd"/>
      <w:r w:rsidRPr="00120E6F">
        <w:rPr>
          <w:rFonts w:ascii="Arial" w:hAnsi="Arial" w:cs="Arial"/>
          <w:sz w:val="24"/>
          <w:szCs w:val="24"/>
          <w:lang w:val="en-US"/>
        </w:rPr>
        <w:t xml:space="preserve"> </w:t>
      </w:r>
      <w:proofErr w:type="gramStart"/>
      <w:r w:rsidRPr="00120E6F">
        <w:rPr>
          <w:rFonts w:ascii="Arial" w:hAnsi="Arial" w:cs="Arial"/>
          <w:sz w:val="24"/>
          <w:szCs w:val="24"/>
          <w:lang w:val="en-US"/>
        </w:rPr>
        <w:t>et</w:t>
      </w:r>
      <w:proofErr w:type="gramEnd"/>
      <w:r w:rsidRPr="00120E6F">
        <w:rPr>
          <w:rFonts w:ascii="Arial" w:hAnsi="Arial" w:cs="Arial"/>
          <w:sz w:val="24"/>
          <w:szCs w:val="24"/>
          <w:lang w:val="en-US"/>
        </w:rPr>
        <w:t xml:space="preserve"> al</w:t>
      </w:r>
      <w:r w:rsidR="00B05B56" w:rsidRPr="00B05B56">
        <w:rPr>
          <w:rFonts w:ascii="Arial" w:hAnsi="Arial" w:cs="Arial"/>
          <w:sz w:val="24"/>
          <w:szCs w:val="24"/>
          <w:vertAlign w:val="superscript"/>
          <w:lang w:val="en-US"/>
        </w:rPr>
        <w:t>8</w:t>
      </w:r>
      <w:r w:rsidRPr="00120E6F">
        <w:rPr>
          <w:rFonts w:ascii="Arial" w:hAnsi="Arial" w:cs="Arial"/>
          <w:sz w:val="24"/>
          <w:szCs w:val="24"/>
          <w:lang w:val="en-US"/>
        </w:rPr>
        <w:t xml:space="preserve"> report that current methods are not sufficient to account for outcomes across different sectors and so investment into the development of different outcomes is needed. Similarly the practicalities of assuming that different sectors might compensate or transfer funds to other sectors also needs consideration</w:t>
      </w:r>
      <w:r w:rsidR="00B05B56" w:rsidRPr="00B05B56">
        <w:rPr>
          <w:rFonts w:ascii="Arial" w:hAnsi="Arial" w:cs="Arial"/>
          <w:sz w:val="24"/>
          <w:szCs w:val="24"/>
          <w:vertAlign w:val="superscript"/>
          <w:lang w:val="en-US"/>
        </w:rPr>
        <w:t>8</w:t>
      </w:r>
      <w:r w:rsidRPr="00120E6F">
        <w:rPr>
          <w:rFonts w:ascii="Arial" w:hAnsi="Arial" w:cs="Arial"/>
          <w:sz w:val="24"/>
          <w:szCs w:val="24"/>
          <w:lang w:val="en-US"/>
        </w:rPr>
        <w:t xml:space="preserve"> For instance,</w:t>
      </w:r>
      <w:r w:rsidR="00B05B56" w:rsidRPr="00B05B56">
        <w:rPr>
          <w:rFonts w:ascii="Arial" w:hAnsi="Arial" w:cs="Arial"/>
          <w:sz w:val="24"/>
          <w:szCs w:val="24"/>
          <w:vertAlign w:val="superscript"/>
          <w:lang w:val="en-US"/>
        </w:rPr>
        <w:t>9</w:t>
      </w:r>
      <w:r w:rsidRPr="00B05B56">
        <w:rPr>
          <w:rFonts w:ascii="Arial" w:hAnsi="Arial" w:cs="Arial"/>
          <w:sz w:val="24"/>
          <w:szCs w:val="24"/>
          <w:vertAlign w:val="superscript"/>
          <w:lang w:val="en-US"/>
        </w:rPr>
        <w:t xml:space="preserve"> </w:t>
      </w:r>
      <w:r w:rsidRPr="00120E6F">
        <w:rPr>
          <w:rFonts w:ascii="Arial" w:hAnsi="Arial" w:cs="Arial"/>
          <w:sz w:val="24"/>
          <w:szCs w:val="24"/>
          <w:lang w:val="en-US"/>
        </w:rPr>
        <w:t>state that such compensation or transfers may not be feasible in practice, e.g. if those making decisions about health technologies then become part responsible for public expenditure and allocation. However, even if issues surrounding the capture of all relevant health and non-health outcomes and the distribution of costs from different budgets were resolved, identifying a societal willingness to pay threshold on which funding decisions would be made is needed before such analyses can inform future research, as recent examples in the literature highlight</w:t>
      </w:r>
      <w:r w:rsidR="006F4379">
        <w:rPr>
          <w:rFonts w:ascii="Arial" w:hAnsi="Arial" w:cs="Arial"/>
          <w:sz w:val="24"/>
          <w:szCs w:val="24"/>
          <w:vertAlign w:val="superscript"/>
          <w:lang w:val="en-US"/>
        </w:rPr>
        <w:t>.10</w:t>
      </w:r>
      <w:proofErr w:type="gramStart"/>
      <w:r w:rsidR="006F4379">
        <w:rPr>
          <w:rFonts w:ascii="Arial" w:hAnsi="Arial" w:cs="Arial"/>
          <w:sz w:val="24"/>
          <w:szCs w:val="24"/>
          <w:vertAlign w:val="superscript"/>
          <w:lang w:val="en-US"/>
        </w:rPr>
        <w:t>,11</w:t>
      </w:r>
      <w:proofErr w:type="gramEnd"/>
    </w:p>
    <w:p w14:paraId="5ED4E1EC" w14:textId="77777777" w:rsidR="00120E6F" w:rsidRPr="00120E6F" w:rsidRDefault="00120E6F" w:rsidP="00120E6F">
      <w:pPr>
        <w:spacing w:after="0" w:line="360" w:lineRule="auto"/>
        <w:jc w:val="both"/>
        <w:rPr>
          <w:rFonts w:ascii="Arial" w:eastAsia="Calibri" w:hAnsi="Arial" w:cs="Arial"/>
          <w:sz w:val="24"/>
          <w:szCs w:val="24"/>
          <w:lang w:val="en-US"/>
        </w:rPr>
      </w:pPr>
      <w:r w:rsidRPr="00120E6F">
        <w:rPr>
          <w:rFonts w:ascii="Arial" w:hAnsi="Arial" w:cs="Arial"/>
          <w:sz w:val="24"/>
          <w:szCs w:val="24"/>
          <w:lang w:val="en-US"/>
        </w:rPr>
        <w:t xml:space="preserve">EVSI methods also assume some discretion over the size of a </w:t>
      </w:r>
      <w:proofErr w:type="spellStart"/>
      <w:r w:rsidRPr="00120E6F">
        <w:rPr>
          <w:rFonts w:ascii="Arial" w:hAnsi="Arial" w:cs="Arial"/>
          <w:sz w:val="24"/>
          <w:szCs w:val="24"/>
          <w:lang w:val="en-US"/>
        </w:rPr>
        <w:t>randomised</w:t>
      </w:r>
      <w:proofErr w:type="spellEnd"/>
      <w:r w:rsidRPr="00120E6F">
        <w:rPr>
          <w:rFonts w:ascii="Arial" w:hAnsi="Arial" w:cs="Arial"/>
          <w:sz w:val="24"/>
          <w:szCs w:val="24"/>
          <w:lang w:val="en-US"/>
        </w:rPr>
        <w:t xml:space="preserve"> trial, assuming a very large pool of patients who might participate.  The constraints on the roll out and evaluation of the Engager intervention, are at a more practical level such that whatever the scientific optimum trial size (and duration of recruitment etc.) factors inherent to the prison system, mental health care, and how they are </w:t>
      </w:r>
      <w:proofErr w:type="spellStart"/>
      <w:r w:rsidRPr="00120E6F">
        <w:rPr>
          <w:rFonts w:ascii="Arial" w:hAnsi="Arial" w:cs="Arial"/>
          <w:sz w:val="24"/>
          <w:szCs w:val="24"/>
          <w:lang w:val="en-US"/>
        </w:rPr>
        <w:t>organised</w:t>
      </w:r>
      <w:proofErr w:type="spellEnd"/>
      <w:r w:rsidRPr="00120E6F">
        <w:rPr>
          <w:rFonts w:ascii="Arial" w:hAnsi="Arial" w:cs="Arial"/>
          <w:sz w:val="24"/>
          <w:szCs w:val="24"/>
          <w:lang w:val="en-US"/>
        </w:rPr>
        <w:t xml:space="preserve"> will dominate many aspects of study design.</w:t>
      </w:r>
    </w:p>
    <w:p w14:paraId="27EBF925" w14:textId="53EBD23E" w:rsidR="00120E6F" w:rsidRDefault="00120E6F" w:rsidP="00120E6F">
      <w:pPr>
        <w:spacing w:after="0" w:line="360" w:lineRule="auto"/>
        <w:jc w:val="both"/>
        <w:rPr>
          <w:rFonts w:ascii="Arial" w:hAnsi="Arial" w:cs="Arial"/>
          <w:sz w:val="24"/>
          <w:szCs w:val="24"/>
          <w:lang w:val="en-US"/>
        </w:rPr>
      </w:pPr>
      <w:r w:rsidRPr="00120E6F">
        <w:rPr>
          <w:rFonts w:ascii="Arial" w:hAnsi="Arial" w:cs="Arial"/>
          <w:sz w:val="24"/>
          <w:szCs w:val="24"/>
          <w:lang w:val="en-US"/>
        </w:rPr>
        <w:t xml:space="preserve">For these reasons, and because of the enormous challenges that the cost-effectiveness modelling will already face in trying to capture both health and a range of non-health outcomes, and account for prevalent co-morbidities in this target group, we have decided not to pursue the EVPI element of the analysis.  Instead, we have designed a </w:t>
      </w:r>
      <w:r w:rsidR="004B0FA8" w:rsidRPr="00120E6F">
        <w:rPr>
          <w:rFonts w:ascii="Arial" w:hAnsi="Arial" w:cs="Arial"/>
          <w:sz w:val="24"/>
          <w:szCs w:val="24"/>
          <w:lang w:val="en-US"/>
        </w:rPr>
        <w:t>model, which by being a discrete event simulation is scalable,</w:t>
      </w:r>
      <w:r w:rsidRPr="00120E6F">
        <w:rPr>
          <w:rFonts w:ascii="Arial" w:hAnsi="Arial" w:cs="Arial"/>
          <w:sz w:val="24"/>
          <w:szCs w:val="24"/>
          <w:lang w:val="en-US"/>
        </w:rPr>
        <w:t xml:space="preserve"> both in terms of time horizon and morbidities/service use. This first stage of modelling has implemented a model with service use for mental health and drug misuse, as well as GP attendance. Where data exist about how certain co-morbidities multiply attendance rates, or where routine planned service use and monitoring for a problem leads to fewer acute episodes/relapses/re-offending, and therefore fewer unplanned attendances (or re-convictions). It </w:t>
      </w:r>
      <w:proofErr w:type="gramStart"/>
      <w:r w:rsidRPr="00120E6F">
        <w:rPr>
          <w:rFonts w:ascii="Arial" w:hAnsi="Arial" w:cs="Arial"/>
          <w:sz w:val="24"/>
          <w:szCs w:val="24"/>
          <w:lang w:val="en-US"/>
        </w:rPr>
        <w:t>has also been designed</w:t>
      </w:r>
      <w:proofErr w:type="gramEnd"/>
      <w:r w:rsidRPr="00120E6F">
        <w:rPr>
          <w:rFonts w:ascii="Arial" w:hAnsi="Arial" w:cs="Arial"/>
          <w:sz w:val="24"/>
          <w:szCs w:val="24"/>
          <w:lang w:val="en-US"/>
        </w:rPr>
        <w:t xml:space="preserve"> to make best use of the planned trial outcomes that will be measured.</w:t>
      </w:r>
    </w:p>
    <w:p w14:paraId="18ED6B98" w14:textId="16EB4710" w:rsidR="0038008E" w:rsidRDefault="0038008E" w:rsidP="00120E6F">
      <w:pPr>
        <w:spacing w:after="0" w:line="360" w:lineRule="auto"/>
        <w:jc w:val="both"/>
        <w:rPr>
          <w:rFonts w:ascii="Arial" w:hAnsi="Arial" w:cs="Arial"/>
          <w:sz w:val="24"/>
          <w:szCs w:val="24"/>
          <w:lang w:val="en-US"/>
        </w:rPr>
      </w:pPr>
    </w:p>
    <w:p w14:paraId="5B11F393" w14:textId="410992FB" w:rsidR="0038008E" w:rsidRDefault="0038008E" w:rsidP="00120E6F">
      <w:pPr>
        <w:spacing w:after="0" w:line="360" w:lineRule="auto"/>
        <w:jc w:val="both"/>
        <w:rPr>
          <w:rFonts w:ascii="Arial" w:hAnsi="Arial" w:cs="Arial"/>
          <w:sz w:val="24"/>
          <w:szCs w:val="24"/>
          <w:lang w:val="en-US"/>
        </w:rPr>
      </w:pPr>
    </w:p>
    <w:p w14:paraId="275889DE" w14:textId="77777777" w:rsidR="0038008E" w:rsidRDefault="0038008E" w:rsidP="00120E6F">
      <w:pPr>
        <w:spacing w:after="0" w:line="360" w:lineRule="auto"/>
        <w:jc w:val="both"/>
        <w:rPr>
          <w:rFonts w:ascii="Arial" w:hAnsi="Arial" w:cs="Arial"/>
          <w:sz w:val="24"/>
          <w:szCs w:val="24"/>
          <w:lang w:val="en-US"/>
        </w:rPr>
      </w:pPr>
    </w:p>
    <w:p w14:paraId="3E73B30C" w14:textId="130725A3" w:rsidR="0038008E" w:rsidRDefault="0038008E" w:rsidP="00120E6F">
      <w:pPr>
        <w:spacing w:after="0" w:line="360" w:lineRule="auto"/>
        <w:jc w:val="both"/>
        <w:rPr>
          <w:rFonts w:ascii="Arial" w:hAnsi="Arial" w:cs="Arial"/>
          <w:sz w:val="24"/>
          <w:szCs w:val="24"/>
          <w:lang w:val="en-US"/>
        </w:rPr>
      </w:pPr>
    </w:p>
    <w:p w14:paraId="143B8F4C" w14:textId="64D368A4" w:rsidR="0038008E" w:rsidRDefault="0038008E" w:rsidP="00120E6F">
      <w:pPr>
        <w:spacing w:after="0" w:line="360" w:lineRule="auto"/>
        <w:jc w:val="both"/>
        <w:rPr>
          <w:rFonts w:ascii="Arial" w:hAnsi="Arial" w:cs="Arial"/>
          <w:b/>
          <w:sz w:val="24"/>
          <w:szCs w:val="24"/>
          <w:lang w:val="en-US"/>
        </w:rPr>
      </w:pPr>
      <w:r w:rsidRPr="0038008E">
        <w:rPr>
          <w:rFonts w:ascii="Arial" w:hAnsi="Arial" w:cs="Arial"/>
          <w:b/>
          <w:sz w:val="24"/>
          <w:szCs w:val="24"/>
          <w:lang w:val="en-US"/>
        </w:rPr>
        <w:lastRenderedPageBreak/>
        <w:t>References</w:t>
      </w:r>
    </w:p>
    <w:p w14:paraId="1D625424" w14:textId="5633A2AC" w:rsidR="0038008E" w:rsidRDefault="0038008E" w:rsidP="00120E6F">
      <w:pPr>
        <w:spacing w:after="0" w:line="360" w:lineRule="auto"/>
        <w:jc w:val="both"/>
        <w:rPr>
          <w:rFonts w:ascii="Arial" w:hAnsi="Arial" w:cs="Arial"/>
          <w:b/>
          <w:sz w:val="24"/>
          <w:szCs w:val="24"/>
          <w:lang w:val="en-US"/>
        </w:rPr>
      </w:pPr>
    </w:p>
    <w:p w14:paraId="616F65F0" w14:textId="77777777" w:rsidR="00A251EB" w:rsidRDefault="00A251EB" w:rsidP="00A251EB">
      <w:pPr>
        <w:numPr>
          <w:ilvl w:val="0"/>
          <w:numId w:val="5"/>
        </w:numPr>
        <w:tabs>
          <w:tab w:val="left" w:pos="1965"/>
        </w:tabs>
        <w:autoSpaceDE w:val="0"/>
        <w:autoSpaceDN w:val="0"/>
        <w:adjustRightInd w:val="0"/>
        <w:spacing w:after="0" w:line="360" w:lineRule="auto"/>
        <w:rPr>
          <w:rFonts w:ascii="Arial" w:hAnsi="Arial" w:cs="Arial"/>
          <w:sz w:val="24"/>
          <w:szCs w:val="24"/>
        </w:rPr>
      </w:pPr>
      <w:r w:rsidRPr="009C293E">
        <w:rPr>
          <w:rFonts w:ascii="Arial" w:hAnsi="Arial" w:cs="Arial"/>
          <w:sz w:val="24"/>
          <w:szCs w:val="24"/>
        </w:rPr>
        <w:t xml:space="preserve">Byng, R., </w:t>
      </w:r>
      <w:proofErr w:type="spellStart"/>
      <w:r w:rsidRPr="009C293E">
        <w:rPr>
          <w:rFonts w:ascii="Arial" w:hAnsi="Arial" w:cs="Arial"/>
          <w:sz w:val="24"/>
          <w:szCs w:val="24"/>
        </w:rPr>
        <w:t>Weyer</w:t>
      </w:r>
      <w:proofErr w:type="spellEnd"/>
      <w:r w:rsidRPr="009C293E">
        <w:rPr>
          <w:rFonts w:ascii="Arial" w:hAnsi="Arial" w:cs="Arial"/>
          <w:sz w:val="24"/>
          <w:szCs w:val="24"/>
        </w:rPr>
        <w:t xml:space="preserve"> Brown, C., Sheaff, R., </w:t>
      </w:r>
      <w:proofErr w:type="spellStart"/>
      <w:r w:rsidRPr="009C293E">
        <w:rPr>
          <w:rFonts w:ascii="Arial" w:hAnsi="Arial" w:cs="Arial"/>
          <w:sz w:val="24"/>
          <w:szCs w:val="24"/>
        </w:rPr>
        <w:t>Samele</w:t>
      </w:r>
      <w:proofErr w:type="spellEnd"/>
      <w:r w:rsidRPr="009C293E">
        <w:rPr>
          <w:rFonts w:ascii="Arial" w:hAnsi="Arial" w:cs="Arial"/>
          <w:sz w:val="24"/>
          <w:szCs w:val="24"/>
        </w:rPr>
        <w:t>, C., Duggan, S., Harrison, D., et al.  Care for offenders: continuity of access, NIHR service delivery and organisation programme SDO project, 210. 2012.</w:t>
      </w:r>
    </w:p>
    <w:p w14:paraId="09A68F38" w14:textId="77777777" w:rsidR="00A251EB" w:rsidRDefault="00A251EB" w:rsidP="00A251EB">
      <w:pPr>
        <w:tabs>
          <w:tab w:val="left" w:pos="1965"/>
        </w:tabs>
        <w:autoSpaceDE w:val="0"/>
        <w:autoSpaceDN w:val="0"/>
        <w:adjustRightInd w:val="0"/>
        <w:spacing w:after="0" w:line="360" w:lineRule="auto"/>
        <w:rPr>
          <w:rFonts w:ascii="Arial" w:hAnsi="Arial" w:cs="Arial"/>
          <w:sz w:val="24"/>
          <w:szCs w:val="24"/>
        </w:rPr>
      </w:pPr>
    </w:p>
    <w:p w14:paraId="55D10174" w14:textId="77777777" w:rsidR="00A251EB" w:rsidRDefault="00A251EB" w:rsidP="00A251EB">
      <w:pPr>
        <w:numPr>
          <w:ilvl w:val="0"/>
          <w:numId w:val="5"/>
        </w:numPr>
        <w:tabs>
          <w:tab w:val="left" w:pos="1965"/>
        </w:tabs>
        <w:autoSpaceDE w:val="0"/>
        <w:autoSpaceDN w:val="0"/>
        <w:adjustRightInd w:val="0"/>
        <w:spacing w:after="0" w:line="360" w:lineRule="auto"/>
        <w:rPr>
          <w:rFonts w:ascii="Arial" w:hAnsi="Arial" w:cs="Arial"/>
          <w:sz w:val="24"/>
          <w:szCs w:val="24"/>
        </w:rPr>
      </w:pPr>
      <w:r w:rsidRPr="009C293E">
        <w:rPr>
          <w:rFonts w:ascii="Arial" w:hAnsi="Arial" w:cs="Arial"/>
          <w:sz w:val="24"/>
          <w:szCs w:val="24"/>
        </w:rPr>
        <w:t xml:space="preserve">Page, A. &amp; Rice, B. Counting the cost: the financial impact of supporting women with multiple needs in the criminal justice system. Findings from Revolving Door Agency’s women-specific </w:t>
      </w:r>
      <w:proofErr w:type="spellStart"/>
      <w:r w:rsidRPr="009C293E">
        <w:rPr>
          <w:rFonts w:ascii="Arial" w:hAnsi="Arial" w:cs="Arial"/>
          <w:sz w:val="24"/>
          <w:szCs w:val="24"/>
        </w:rPr>
        <w:t>Finanical</w:t>
      </w:r>
      <w:proofErr w:type="spellEnd"/>
      <w:r w:rsidRPr="009C293E">
        <w:rPr>
          <w:rFonts w:ascii="Arial" w:hAnsi="Arial" w:cs="Arial"/>
          <w:sz w:val="24"/>
          <w:szCs w:val="24"/>
        </w:rPr>
        <w:t xml:space="preserve"> Analysis Model. Revolving Door Agency. 2011.</w:t>
      </w:r>
    </w:p>
    <w:p w14:paraId="4E319C20" w14:textId="77777777" w:rsidR="00A251EB" w:rsidRDefault="00A251EB" w:rsidP="00A251EB">
      <w:pPr>
        <w:pStyle w:val="ListParagraph"/>
        <w:rPr>
          <w:rFonts w:ascii="Arial" w:hAnsi="Arial" w:cs="Arial"/>
          <w:sz w:val="24"/>
          <w:szCs w:val="24"/>
        </w:rPr>
      </w:pPr>
    </w:p>
    <w:p w14:paraId="603F616C" w14:textId="77777777" w:rsidR="00A251EB" w:rsidRDefault="00A251EB" w:rsidP="00A251EB">
      <w:pPr>
        <w:numPr>
          <w:ilvl w:val="0"/>
          <w:numId w:val="5"/>
        </w:numPr>
        <w:tabs>
          <w:tab w:val="left" w:pos="1965"/>
        </w:tabs>
        <w:autoSpaceDE w:val="0"/>
        <w:autoSpaceDN w:val="0"/>
        <w:adjustRightInd w:val="0"/>
        <w:spacing w:after="0" w:line="360" w:lineRule="auto"/>
        <w:rPr>
          <w:rFonts w:ascii="Arial" w:hAnsi="Arial" w:cs="Arial"/>
          <w:sz w:val="24"/>
          <w:szCs w:val="24"/>
        </w:rPr>
      </w:pPr>
      <w:proofErr w:type="spellStart"/>
      <w:r w:rsidRPr="009C293E">
        <w:rPr>
          <w:rFonts w:ascii="Arial" w:hAnsi="Arial" w:cs="Arial"/>
          <w:sz w:val="24"/>
          <w:szCs w:val="24"/>
        </w:rPr>
        <w:t>Dubourg</w:t>
      </w:r>
      <w:proofErr w:type="spellEnd"/>
      <w:r w:rsidRPr="009C293E">
        <w:rPr>
          <w:rFonts w:ascii="Arial" w:hAnsi="Arial" w:cs="Arial"/>
          <w:sz w:val="24"/>
          <w:szCs w:val="24"/>
        </w:rPr>
        <w:t xml:space="preserve">, R. &amp; </w:t>
      </w:r>
      <w:proofErr w:type="spellStart"/>
      <w:r w:rsidRPr="009C293E">
        <w:rPr>
          <w:rFonts w:ascii="Arial" w:hAnsi="Arial" w:cs="Arial"/>
          <w:sz w:val="24"/>
          <w:szCs w:val="24"/>
        </w:rPr>
        <w:t>Hamed</w:t>
      </w:r>
      <w:proofErr w:type="spellEnd"/>
      <w:r w:rsidRPr="009C293E">
        <w:rPr>
          <w:rFonts w:ascii="Arial" w:hAnsi="Arial" w:cs="Arial"/>
          <w:sz w:val="24"/>
          <w:szCs w:val="24"/>
        </w:rPr>
        <w:t xml:space="preserve">, J. The Economic and Social Costs of Crime against Individuals and Households 2003-04. Home Office Report 30/05, </w:t>
      </w:r>
      <w:proofErr w:type="spellStart"/>
      <w:r w:rsidRPr="009C293E">
        <w:rPr>
          <w:rFonts w:ascii="Arial" w:hAnsi="Arial" w:cs="Arial"/>
          <w:sz w:val="24"/>
          <w:szCs w:val="24"/>
        </w:rPr>
        <w:t>London</w:t>
      </w:r>
      <w:proofErr w:type="gramStart"/>
      <w:r w:rsidRPr="009C293E">
        <w:rPr>
          <w:rFonts w:ascii="Arial" w:hAnsi="Arial" w:cs="Arial"/>
          <w:sz w:val="24"/>
          <w:szCs w:val="24"/>
        </w:rPr>
        <w:t>:Research</w:t>
      </w:r>
      <w:proofErr w:type="spellEnd"/>
      <w:proofErr w:type="gramEnd"/>
      <w:r w:rsidRPr="009C293E">
        <w:rPr>
          <w:rFonts w:ascii="Arial" w:hAnsi="Arial" w:cs="Arial"/>
          <w:sz w:val="24"/>
          <w:szCs w:val="24"/>
        </w:rPr>
        <w:t>, Development and Statistics Directorate, Home Office. 2005.</w:t>
      </w:r>
    </w:p>
    <w:p w14:paraId="7A89585A" w14:textId="77777777" w:rsidR="00A251EB" w:rsidRDefault="00A251EB" w:rsidP="00A251EB">
      <w:pPr>
        <w:pStyle w:val="ListParagraph"/>
        <w:rPr>
          <w:rFonts w:ascii="Arial" w:hAnsi="Arial" w:cs="Arial"/>
          <w:sz w:val="24"/>
          <w:szCs w:val="24"/>
        </w:rPr>
      </w:pPr>
    </w:p>
    <w:p w14:paraId="020F7906" w14:textId="77777777" w:rsidR="00A251EB" w:rsidRDefault="00A251EB" w:rsidP="00A251EB">
      <w:pPr>
        <w:numPr>
          <w:ilvl w:val="0"/>
          <w:numId w:val="5"/>
        </w:numPr>
        <w:autoSpaceDE w:val="0"/>
        <w:autoSpaceDN w:val="0"/>
        <w:adjustRightInd w:val="0"/>
        <w:spacing w:after="0" w:line="360" w:lineRule="auto"/>
        <w:rPr>
          <w:rFonts w:ascii="Arial" w:hAnsi="Arial" w:cs="Arial"/>
          <w:sz w:val="24"/>
          <w:szCs w:val="24"/>
        </w:rPr>
      </w:pPr>
      <w:r w:rsidRPr="009C293E">
        <w:rPr>
          <w:rFonts w:ascii="Arial" w:hAnsi="Arial" w:cs="Arial"/>
          <w:sz w:val="24"/>
          <w:szCs w:val="24"/>
        </w:rPr>
        <w:t xml:space="preserve">Pearson, M., Brand, S.L., Quinn, C., Shaw, J., Maguire, M., </w:t>
      </w:r>
      <w:proofErr w:type="spellStart"/>
      <w:r w:rsidRPr="009C293E">
        <w:rPr>
          <w:rFonts w:ascii="Arial" w:hAnsi="Arial" w:cs="Arial"/>
          <w:sz w:val="24"/>
          <w:szCs w:val="24"/>
        </w:rPr>
        <w:t>Michie</w:t>
      </w:r>
      <w:proofErr w:type="spellEnd"/>
      <w:r w:rsidRPr="009C293E">
        <w:rPr>
          <w:rFonts w:ascii="Arial" w:hAnsi="Arial" w:cs="Arial"/>
          <w:sz w:val="24"/>
          <w:szCs w:val="24"/>
        </w:rPr>
        <w:t xml:space="preserve">, S., et al. Using realist review to inform intervention development: methodological illustration and conceptual platform for collaborative care in offender mental health. Implementation Science. 2015;10(134) </w:t>
      </w:r>
      <w:proofErr w:type="spellStart"/>
      <w:r w:rsidRPr="009C293E">
        <w:rPr>
          <w:rFonts w:ascii="Arial" w:hAnsi="Arial" w:cs="Arial"/>
          <w:sz w:val="24"/>
          <w:szCs w:val="24"/>
        </w:rPr>
        <w:t>Doi</w:t>
      </w:r>
      <w:proofErr w:type="spellEnd"/>
      <w:r w:rsidRPr="009C293E">
        <w:rPr>
          <w:rFonts w:ascii="Arial" w:hAnsi="Arial" w:cs="Arial"/>
          <w:sz w:val="24"/>
          <w:szCs w:val="24"/>
        </w:rPr>
        <w:t>: 10.1186/s13012-015-0321-2</w:t>
      </w:r>
    </w:p>
    <w:p w14:paraId="26A28644" w14:textId="77777777" w:rsidR="00A251EB" w:rsidRDefault="00A251EB" w:rsidP="00A251EB">
      <w:pPr>
        <w:pStyle w:val="ListParagraph"/>
        <w:rPr>
          <w:rFonts w:ascii="Arial" w:hAnsi="Arial" w:cs="Arial"/>
          <w:color w:val="000000"/>
          <w:sz w:val="24"/>
          <w:szCs w:val="24"/>
        </w:rPr>
      </w:pPr>
    </w:p>
    <w:p w14:paraId="4405A331" w14:textId="77777777" w:rsidR="00A251EB" w:rsidRDefault="00A251EB" w:rsidP="00A251EB">
      <w:pPr>
        <w:numPr>
          <w:ilvl w:val="0"/>
          <w:numId w:val="5"/>
        </w:numPr>
        <w:autoSpaceDE w:val="0"/>
        <w:autoSpaceDN w:val="0"/>
        <w:adjustRightInd w:val="0"/>
        <w:spacing w:after="0" w:line="360" w:lineRule="auto"/>
        <w:rPr>
          <w:rFonts w:ascii="Arial" w:hAnsi="Arial" w:cs="Arial"/>
          <w:sz w:val="24"/>
          <w:szCs w:val="24"/>
        </w:rPr>
      </w:pPr>
      <w:proofErr w:type="spellStart"/>
      <w:r w:rsidRPr="00D32A8D">
        <w:rPr>
          <w:rFonts w:ascii="Arial" w:hAnsi="Arial" w:cs="Arial"/>
          <w:color w:val="000000"/>
          <w:sz w:val="24"/>
          <w:szCs w:val="24"/>
        </w:rPr>
        <w:t>Hayhurst</w:t>
      </w:r>
      <w:proofErr w:type="spellEnd"/>
      <w:r w:rsidRPr="00D32A8D">
        <w:rPr>
          <w:rFonts w:ascii="Arial" w:hAnsi="Arial" w:cs="Arial"/>
          <w:color w:val="000000"/>
          <w:sz w:val="24"/>
          <w:szCs w:val="24"/>
        </w:rPr>
        <w:t xml:space="preserve"> K, </w:t>
      </w:r>
      <w:proofErr w:type="spellStart"/>
      <w:r w:rsidRPr="00D32A8D">
        <w:rPr>
          <w:rFonts w:ascii="Arial" w:hAnsi="Arial" w:cs="Arial"/>
          <w:color w:val="000000"/>
          <w:sz w:val="24"/>
          <w:szCs w:val="24"/>
        </w:rPr>
        <w:t>Leitner</w:t>
      </w:r>
      <w:proofErr w:type="spellEnd"/>
      <w:r w:rsidRPr="00D32A8D">
        <w:rPr>
          <w:rFonts w:ascii="Arial" w:hAnsi="Arial" w:cs="Arial"/>
          <w:color w:val="000000"/>
          <w:sz w:val="24"/>
          <w:szCs w:val="24"/>
        </w:rPr>
        <w:t xml:space="preserve"> M, Davies L, </w:t>
      </w:r>
      <w:proofErr w:type="spellStart"/>
      <w:r w:rsidRPr="00D32A8D">
        <w:rPr>
          <w:rFonts w:ascii="Arial" w:hAnsi="Arial" w:cs="Arial"/>
          <w:color w:val="000000"/>
          <w:sz w:val="24"/>
          <w:szCs w:val="24"/>
        </w:rPr>
        <w:t>Flentje</w:t>
      </w:r>
      <w:proofErr w:type="spellEnd"/>
      <w:r w:rsidRPr="00D32A8D">
        <w:rPr>
          <w:rFonts w:ascii="Arial" w:hAnsi="Arial" w:cs="Arial"/>
          <w:color w:val="000000"/>
          <w:sz w:val="24"/>
          <w:szCs w:val="24"/>
        </w:rPr>
        <w:t xml:space="preserve"> R, Millar T, Jones A, et al. The clinical and cost effectiveness of diversion and aftercare programmes for offenders using Class A drugs: a systematic review and economic evaluation. Health </w:t>
      </w:r>
      <w:proofErr w:type="spellStart"/>
      <w:r w:rsidRPr="00D32A8D">
        <w:rPr>
          <w:rFonts w:ascii="Arial" w:hAnsi="Arial" w:cs="Arial"/>
          <w:color w:val="000000"/>
          <w:sz w:val="24"/>
          <w:szCs w:val="24"/>
        </w:rPr>
        <w:t>Technol</w:t>
      </w:r>
      <w:proofErr w:type="spellEnd"/>
      <w:r w:rsidRPr="00D32A8D">
        <w:rPr>
          <w:rFonts w:ascii="Arial" w:hAnsi="Arial" w:cs="Arial"/>
          <w:color w:val="000000"/>
          <w:sz w:val="24"/>
          <w:szCs w:val="24"/>
        </w:rPr>
        <w:t xml:space="preserve"> Assess 2015;19(6) </w:t>
      </w:r>
      <w:hyperlink r:id="rId8" w:history="1">
        <w:r w:rsidRPr="00D32A8D">
          <w:rPr>
            <w:rFonts w:ascii="Arial" w:hAnsi="Arial" w:cs="Arial"/>
            <w:sz w:val="24"/>
            <w:szCs w:val="24"/>
          </w:rPr>
          <w:t>https://doi.org/10.3310/hta19060</w:t>
        </w:r>
      </w:hyperlink>
      <w:r>
        <w:rPr>
          <w:rFonts w:ascii="Arial" w:hAnsi="Arial" w:cs="Arial"/>
          <w:sz w:val="24"/>
          <w:szCs w:val="24"/>
        </w:rPr>
        <w:t xml:space="preserve"> </w:t>
      </w:r>
    </w:p>
    <w:p w14:paraId="27525A08" w14:textId="77777777" w:rsidR="00A251EB" w:rsidRDefault="00A251EB" w:rsidP="00A251EB">
      <w:pPr>
        <w:pStyle w:val="ListParagraph"/>
        <w:rPr>
          <w:rFonts w:ascii="Arial" w:hAnsi="Arial" w:cs="Arial"/>
          <w:color w:val="333333"/>
          <w:sz w:val="24"/>
          <w:szCs w:val="24"/>
          <w:highlight w:val="white"/>
        </w:rPr>
      </w:pPr>
    </w:p>
    <w:p w14:paraId="1D54A679" w14:textId="77777777" w:rsidR="00A251EB" w:rsidRDefault="00A251EB" w:rsidP="00A251EB">
      <w:pPr>
        <w:numPr>
          <w:ilvl w:val="0"/>
          <w:numId w:val="5"/>
        </w:numPr>
        <w:autoSpaceDE w:val="0"/>
        <w:autoSpaceDN w:val="0"/>
        <w:adjustRightInd w:val="0"/>
        <w:spacing w:after="0" w:line="360" w:lineRule="auto"/>
        <w:rPr>
          <w:rFonts w:ascii="Arial" w:hAnsi="Arial" w:cs="Arial"/>
          <w:sz w:val="24"/>
          <w:szCs w:val="24"/>
        </w:rPr>
      </w:pPr>
      <w:proofErr w:type="spellStart"/>
      <w:r w:rsidRPr="00D32A8D">
        <w:rPr>
          <w:rFonts w:ascii="Arial" w:hAnsi="Arial" w:cs="Arial"/>
          <w:sz w:val="24"/>
          <w:szCs w:val="24"/>
          <w:highlight w:val="white"/>
        </w:rPr>
        <w:t>Steuten</w:t>
      </w:r>
      <w:proofErr w:type="spellEnd"/>
      <w:r w:rsidRPr="00D32A8D">
        <w:rPr>
          <w:rFonts w:ascii="Arial" w:hAnsi="Arial" w:cs="Arial"/>
          <w:sz w:val="24"/>
          <w:szCs w:val="24"/>
          <w:highlight w:val="white"/>
        </w:rPr>
        <w:t xml:space="preserve">, L., van de </w:t>
      </w:r>
      <w:proofErr w:type="spellStart"/>
      <w:r w:rsidRPr="00D32A8D">
        <w:rPr>
          <w:rFonts w:ascii="Arial" w:hAnsi="Arial" w:cs="Arial"/>
          <w:sz w:val="24"/>
          <w:szCs w:val="24"/>
          <w:highlight w:val="white"/>
        </w:rPr>
        <w:t>Wetering</w:t>
      </w:r>
      <w:proofErr w:type="spellEnd"/>
      <w:r w:rsidRPr="00D32A8D">
        <w:rPr>
          <w:rFonts w:ascii="Arial" w:hAnsi="Arial" w:cs="Arial"/>
          <w:sz w:val="24"/>
          <w:szCs w:val="24"/>
          <w:highlight w:val="white"/>
        </w:rPr>
        <w:t xml:space="preserve">, G., </w:t>
      </w:r>
      <w:proofErr w:type="spellStart"/>
      <w:r w:rsidRPr="00D32A8D">
        <w:rPr>
          <w:rFonts w:ascii="Arial" w:hAnsi="Arial" w:cs="Arial"/>
          <w:sz w:val="24"/>
          <w:szCs w:val="24"/>
          <w:highlight w:val="white"/>
        </w:rPr>
        <w:t>Groothuis-Oudshoorn</w:t>
      </w:r>
      <w:proofErr w:type="spellEnd"/>
      <w:r w:rsidRPr="00D32A8D">
        <w:rPr>
          <w:rFonts w:ascii="Arial" w:hAnsi="Arial" w:cs="Arial"/>
          <w:sz w:val="24"/>
          <w:szCs w:val="24"/>
          <w:highlight w:val="white"/>
        </w:rPr>
        <w:t xml:space="preserve">, K., </w:t>
      </w:r>
      <w:proofErr w:type="spellStart"/>
      <w:r w:rsidRPr="00D32A8D">
        <w:rPr>
          <w:rFonts w:ascii="Arial" w:hAnsi="Arial" w:cs="Arial"/>
          <w:sz w:val="24"/>
          <w:szCs w:val="24"/>
          <w:highlight w:val="white"/>
        </w:rPr>
        <w:t>Retèl</w:t>
      </w:r>
      <w:proofErr w:type="spellEnd"/>
      <w:r w:rsidRPr="00D32A8D">
        <w:rPr>
          <w:rFonts w:ascii="Arial" w:hAnsi="Arial" w:cs="Arial"/>
          <w:sz w:val="24"/>
          <w:szCs w:val="24"/>
          <w:highlight w:val="white"/>
        </w:rPr>
        <w:t xml:space="preserve"> V</w:t>
      </w:r>
      <w:r w:rsidRPr="00D32A8D">
        <w:rPr>
          <w:rFonts w:ascii="Arial" w:hAnsi="Arial" w:cs="Arial"/>
          <w:i/>
          <w:iCs/>
          <w:sz w:val="24"/>
          <w:szCs w:val="24"/>
          <w:highlight w:val="white"/>
        </w:rPr>
        <w:t>.</w:t>
      </w:r>
      <w:r w:rsidRPr="00D32A8D">
        <w:rPr>
          <w:rFonts w:ascii="Arial" w:hAnsi="Arial" w:cs="Arial"/>
          <w:sz w:val="24"/>
          <w:szCs w:val="24"/>
          <w:highlight w:val="white"/>
        </w:rPr>
        <w:t> A Systematic and Critical Review of the Evolving Methods and Applications of Value of Information in Academia and Practice. </w:t>
      </w:r>
      <w:proofErr w:type="spellStart"/>
      <w:r w:rsidRPr="00D32A8D">
        <w:rPr>
          <w:rFonts w:ascii="Arial" w:hAnsi="Arial" w:cs="Arial"/>
          <w:i/>
          <w:iCs/>
          <w:sz w:val="24"/>
          <w:szCs w:val="24"/>
          <w:highlight w:val="white"/>
        </w:rPr>
        <w:t>PharmacoEconomics</w:t>
      </w:r>
      <w:proofErr w:type="spellEnd"/>
      <w:r w:rsidRPr="00D32A8D">
        <w:rPr>
          <w:rFonts w:ascii="Arial" w:hAnsi="Arial" w:cs="Arial"/>
          <w:sz w:val="24"/>
          <w:szCs w:val="24"/>
          <w:highlight w:val="white"/>
        </w:rPr>
        <w:t>. 2013</w:t>
      </w:r>
      <w:proofErr w:type="gramStart"/>
      <w:r w:rsidRPr="00D32A8D">
        <w:rPr>
          <w:rFonts w:ascii="Arial" w:hAnsi="Arial" w:cs="Arial"/>
          <w:sz w:val="24"/>
          <w:szCs w:val="24"/>
          <w:highlight w:val="white"/>
        </w:rPr>
        <w:t>;31</w:t>
      </w:r>
      <w:proofErr w:type="gramEnd"/>
      <w:r w:rsidRPr="00D32A8D">
        <w:rPr>
          <w:rFonts w:ascii="Arial" w:hAnsi="Arial" w:cs="Arial"/>
          <w:sz w:val="24"/>
          <w:szCs w:val="24"/>
          <w:highlight w:val="white"/>
        </w:rPr>
        <w:t xml:space="preserve">(1):25-48. </w:t>
      </w:r>
      <w:hyperlink r:id="rId9" w:history="1">
        <w:r w:rsidRPr="00D32A8D">
          <w:rPr>
            <w:rFonts w:ascii="Arial" w:hAnsi="Arial" w:cs="Arial"/>
            <w:sz w:val="24"/>
            <w:szCs w:val="24"/>
            <w:highlight w:val="white"/>
          </w:rPr>
          <w:t>https://doi.org/10.1007/s40273-012-0008-3</w:t>
        </w:r>
      </w:hyperlink>
    </w:p>
    <w:p w14:paraId="538320F6" w14:textId="77777777" w:rsidR="00A251EB" w:rsidRDefault="00A251EB" w:rsidP="00A251EB">
      <w:pPr>
        <w:pStyle w:val="ListParagraph"/>
        <w:rPr>
          <w:rFonts w:ascii="Arial" w:hAnsi="Arial" w:cs="Arial"/>
          <w:color w:val="333333"/>
          <w:sz w:val="24"/>
          <w:szCs w:val="24"/>
          <w:highlight w:val="white"/>
        </w:rPr>
      </w:pPr>
      <w:bookmarkStart w:id="2" w:name="_GoBack"/>
      <w:bookmarkEnd w:id="2"/>
    </w:p>
    <w:p w14:paraId="68944F43" w14:textId="77777777" w:rsidR="00A251EB" w:rsidRPr="00D61ADF" w:rsidRDefault="00A251EB" w:rsidP="00A251EB">
      <w:pPr>
        <w:numPr>
          <w:ilvl w:val="0"/>
          <w:numId w:val="5"/>
        </w:numPr>
        <w:autoSpaceDE w:val="0"/>
        <w:autoSpaceDN w:val="0"/>
        <w:adjustRightInd w:val="0"/>
        <w:spacing w:after="0" w:line="360" w:lineRule="auto"/>
        <w:rPr>
          <w:rFonts w:ascii="Arial" w:hAnsi="Arial" w:cs="Arial"/>
          <w:sz w:val="24"/>
          <w:szCs w:val="24"/>
        </w:rPr>
      </w:pPr>
      <w:proofErr w:type="spellStart"/>
      <w:r w:rsidRPr="00D61ADF">
        <w:rPr>
          <w:rFonts w:ascii="Arial" w:hAnsi="Arial" w:cs="Arial"/>
          <w:sz w:val="24"/>
          <w:szCs w:val="24"/>
          <w:highlight w:val="white"/>
        </w:rPr>
        <w:t>Chalkidou</w:t>
      </w:r>
      <w:proofErr w:type="spellEnd"/>
      <w:r w:rsidRPr="00D61ADF">
        <w:rPr>
          <w:rFonts w:ascii="Arial" w:hAnsi="Arial" w:cs="Arial"/>
          <w:sz w:val="24"/>
          <w:szCs w:val="24"/>
          <w:highlight w:val="white"/>
        </w:rPr>
        <w:t xml:space="preserve"> K, Lord J, </w:t>
      </w:r>
      <w:proofErr w:type="gramStart"/>
      <w:r w:rsidRPr="00D61ADF">
        <w:rPr>
          <w:rFonts w:ascii="Arial" w:hAnsi="Arial" w:cs="Arial"/>
          <w:sz w:val="24"/>
          <w:szCs w:val="24"/>
          <w:highlight w:val="white"/>
        </w:rPr>
        <w:t>Fischer</w:t>
      </w:r>
      <w:proofErr w:type="gramEnd"/>
      <w:r w:rsidRPr="00D61ADF">
        <w:rPr>
          <w:rFonts w:ascii="Arial" w:hAnsi="Arial" w:cs="Arial"/>
          <w:sz w:val="24"/>
          <w:szCs w:val="24"/>
          <w:highlight w:val="white"/>
        </w:rPr>
        <w:t xml:space="preserve"> A, </w:t>
      </w:r>
      <w:proofErr w:type="spellStart"/>
      <w:r w:rsidRPr="00D61ADF">
        <w:rPr>
          <w:rFonts w:ascii="Arial" w:hAnsi="Arial" w:cs="Arial"/>
          <w:sz w:val="24"/>
          <w:szCs w:val="24"/>
          <w:highlight w:val="white"/>
        </w:rPr>
        <w:t>Littlejohns</w:t>
      </w:r>
      <w:proofErr w:type="spellEnd"/>
      <w:r w:rsidRPr="00D61ADF">
        <w:rPr>
          <w:rFonts w:ascii="Arial" w:hAnsi="Arial" w:cs="Arial"/>
          <w:sz w:val="24"/>
          <w:szCs w:val="24"/>
          <w:highlight w:val="white"/>
        </w:rPr>
        <w:t xml:space="preserve"> P. Evidence-based decision making: when should we wait for more information? Health </w:t>
      </w:r>
      <w:proofErr w:type="spellStart"/>
      <w:r w:rsidRPr="00D61ADF">
        <w:rPr>
          <w:rFonts w:ascii="Arial" w:hAnsi="Arial" w:cs="Arial"/>
          <w:sz w:val="24"/>
          <w:szCs w:val="24"/>
          <w:highlight w:val="white"/>
        </w:rPr>
        <w:t>Aff</w:t>
      </w:r>
      <w:proofErr w:type="spellEnd"/>
      <w:r w:rsidRPr="00D61ADF">
        <w:rPr>
          <w:rFonts w:ascii="Arial" w:hAnsi="Arial" w:cs="Arial"/>
          <w:sz w:val="24"/>
          <w:szCs w:val="24"/>
          <w:highlight w:val="white"/>
        </w:rPr>
        <w:t xml:space="preserve"> (</w:t>
      </w:r>
      <w:proofErr w:type="spellStart"/>
      <w:r w:rsidRPr="00D61ADF">
        <w:rPr>
          <w:rFonts w:ascii="Arial" w:hAnsi="Arial" w:cs="Arial"/>
          <w:sz w:val="24"/>
          <w:szCs w:val="24"/>
          <w:highlight w:val="white"/>
        </w:rPr>
        <w:t>Milwood</w:t>
      </w:r>
      <w:proofErr w:type="spellEnd"/>
      <w:r w:rsidRPr="00D61ADF">
        <w:rPr>
          <w:rFonts w:ascii="Arial" w:hAnsi="Arial" w:cs="Arial"/>
          <w:sz w:val="24"/>
          <w:szCs w:val="24"/>
          <w:highlight w:val="white"/>
        </w:rPr>
        <w:t>). 2008</w:t>
      </w:r>
      <w:proofErr w:type="gramStart"/>
      <w:r w:rsidRPr="00D61ADF">
        <w:rPr>
          <w:rFonts w:ascii="Arial" w:hAnsi="Arial" w:cs="Arial"/>
          <w:sz w:val="24"/>
          <w:szCs w:val="24"/>
          <w:highlight w:val="white"/>
        </w:rPr>
        <w:t>;27</w:t>
      </w:r>
      <w:proofErr w:type="gramEnd"/>
      <w:r w:rsidRPr="00D61ADF">
        <w:rPr>
          <w:rFonts w:ascii="Arial" w:hAnsi="Arial" w:cs="Arial"/>
          <w:sz w:val="24"/>
          <w:szCs w:val="24"/>
          <w:highlight w:val="white"/>
        </w:rPr>
        <w:t xml:space="preserve">(6):1642-53. </w:t>
      </w:r>
      <w:hyperlink r:id="rId10" w:history="1">
        <w:r w:rsidRPr="00D61ADF">
          <w:rPr>
            <w:rFonts w:ascii="Arial" w:hAnsi="Arial" w:cs="Arial"/>
            <w:sz w:val="24"/>
            <w:szCs w:val="24"/>
            <w:highlight w:val="white"/>
          </w:rPr>
          <w:t>https://doi.org/10.1377/hlthaff.27.6.1642</w:t>
        </w:r>
      </w:hyperlink>
    </w:p>
    <w:p w14:paraId="1CB1ABA3" w14:textId="77777777" w:rsidR="00A251EB" w:rsidRDefault="00A251EB" w:rsidP="00A251EB">
      <w:pPr>
        <w:pStyle w:val="ListParagraph"/>
        <w:rPr>
          <w:rFonts w:ascii="Arial" w:hAnsi="Arial" w:cs="Arial"/>
          <w:sz w:val="24"/>
          <w:szCs w:val="24"/>
        </w:rPr>
      </w:pPr>
    </w:p>
    <w:p w14:paraId="67124E13" w14:textId="77777777" w:rsidR="00A251EB" w:rsidRDefault="00A251EB" w:rsidP="00A251EB">
      <w:pPr>
        <w:numPr>
          <w:ilvl w:val="0"/>
          <w:numId w:val="5"/>
        </w:numPr>
        <w:autoSpaceDE w:val="0"/>
        <w:autoSpaceDN w:val="0"/>
        <w:adjustRightInd w:val="0"/>
        <w:spacing w:after="0" w:line="360" w:lineRule="auto"/>
        <w:rPr>
          <w:rFonts w:ascii="Arial" w:hAnsi="Arial" w:cs="Arial"/>
          <w:sz w:val="24"/>
          <w:szCs w:val="24"/>
        </w:rPr>
      </w:pPr>
      <w:r w:rsidRPr="00D32A8D">
        <w:rPr>
          <w:rFonts w:ascii="Arial" w:hAnsi="Arial" w:cs="Arial"/>
          <w:sz w:val="24"/>
          <w:szCs w:val="24"/>
        </w:rPr>
        <w:lastRenderedPageBreak/>
        <w:t>Weatherly H, Drummond M, Claxton K, Cookson R, Ferguson B, Godfrey C, et al. Methods for assessing the cost-effectiveness of public health interventions: key challenges and recommendations. Health Policy. 2009</w:t>
      </w:r>
      <w:proofErr w:type="gramStart"/>
      <w:r w:rsidRPr="00D32A8D">
        <w:rPr>
          <w:rFonts w:ascii="Arial" w:hAnsi="Arial" w:cs="Arial"/>
          <w:sz w:val="24"/>
          <w:szCs w:val="24"/>
        </w:rPr>
        <w:t>;93</w:t>
      </w:r>
      <w:proofErr w:type="gramEnd"/>
      <w:r w:rsidRPr="00D32A8D">
        <w:rPr>
          <w:rFonts w:ascii="Arial" w:hAnsi="Arial" w:cs="Arial"/>
          <w:sz w:val="24"/>
          <w:szCs w:val="24"/>
        </w:rPr>
        <w:t xml:space="preserve">(2-3):85-92. </w:t>
      </w:r>
      <w:hyperlink r:id="rId11" w:history="1">
        <w:r w:rsidRPr="00D32A8D">
          <w:rPr>
            <w:rFonts w:ascii="Arial" w:hAnsi="Arial" w:cs="Arial"/>
            <w:sz w:val="24"/>
            <w:szCs w:val="24"/>
          </w:rPr>
          <w:t>https://doi.org/10.1016/j.healthpol.2009.07.012</w:t>
        </w:r>
      </w:hyperlink>
    </w:p>
    <w:p w14:paraId="444A2224" w14:textId="77777777" w:rsidR="00A251EB" w:rsidRDefault="00A251EB" w:rsidP="00A251EB">
      <w:pPr>
        <w:pStyle w:val="ListParagraph"/>
        <w:rPr>
          <w:rFonts w:ascii="Arial" w:hAnsi="Arial" w:cs="Arial"/>
          <w:sz w:val="24"/>
          <w:szCs w:val="24"/>
        </w:rPr>
      </w:pPr>
    </w:p>
    <w:p w14:paraId="6B0CA6DA" w14:textId="77777777" w:rsidR="00A251EB" w:rsidRDefault="00A251EB" w:rsidP="00A251EB">
      <w:pPr>
        <w:numPr>
          <w:ilvl w:val="0"/>
          <w:numId w:val="5"/>
        </w:numPr>
        <w:autoSpaceDE w:val="0"/>
        <w:autoSpaceDN w:val="0"/>
        <w:adjustRightInd w:val="0"/>
        <w:spacing w:after="0" w:line="360" w:lineRule="auto"/>
        <w:rPr>
          <w:rFonts w:ascii="Arial" w:hAnsi="Arial" w:cs="Arial"/>
          <w:sz w:val="24"/>
          <w:szCs w:val="24"/>
        </w:rPr>
      </w:pPr>
      <w:r w:rsidRPr="00D32A8D">
        <w:rPr>
          <w:rFonts w:ascii="Arial" w:hAnsi="Arial" w:cs="Arial"/>
          <w:sz w:val="24"/>
          <w:szCs w:val="24"/>
        </w:rPr>
        <w:t xml:space="preserve">Claxton </w:t>
      </w:r>
      <w:proofErr w:type="gramStart"/>
      <w:r w:rsidRPr="00D32A8D">
        <w:rPr>
          <w:rFonts w:ascii="Arial" w:hAnsi="Arial" w:cs="Arial"/>
          <w:sz w:val="24"/>
          <w:szCs w:val="24"/>
        </w:rPr>
        <w:t>KP.,</w:t>
      </w:r>
      <w:proofErr w:type="gramEnd"/>
      <w:r w:rsidRPr="00D32A8D">
        <w:rPr>
          <w:rFonts w:ascii="Arial" w:hAnsi="Arial" w:cs="Arial"/>
          <w:sz w:val="24"/>
          <w:szCs w:val="24"/>
        </w:rPr>
        <w:t xml:space="preserve"> </w:t>
      </w:r>
      <w:proofErr w:type="spellStart"/>
      <w:r w:rsidRPr="00D32A8D">
        <w:rPr>
          <w:rFonts w:ascii="Arial" w:hAnsi="Arial" w:cs="Arial"/>
          <w:sz w:val="24"/>
          <w:szCs w:val="24"/>
        </w:rPr>
        <w:t>Sculpher</w:t>
      </w:r>
      <w:proofErr w:type="spellEnd"/>
      <w:r w:rsidRPr="00D32A8D">
        <w:rPr>
          <w:rFonts w:ascii="Arial" w:hAnsi="Arial" w:cs="Arial"/>
          <w:sz w:val="24"/>
          <w:szCs w:val="24"/>
        </w:rPr>
        <w:t xml:space="preserve"> MJ., Culver, AJ. Mark versus Luke? Appropriate methods for the evaluation of public health interventions. Centre for Health Economics. 2007.</w:t>
      </w:r>
      <w:r w:rsidRPr="00D32A8D">
        <w:rPr>
          <w:rFonts w:ascii="Arial" w:hAnsi="Arial" w:cs="Arial"/>
          <w:color w:val="0000FF"/>
          <w:sz w:val="24"/>
          <w:szCs w:val="24"/>
          <w:u w:val="single"/>
          <w:lang w:val="en-US"/>
        </w:rPr>
        <w:t xml:space="preserve"> </w:t>
      </w:r>
      <w:hyperlink r:id="rId12" w:history="1">
        <w:r w:rsidRPr="00D32A8D">
          <w:rPr>
            <w:rFonts w:ascii="Arial" w:hAnsi="Arial" w:cs="Arial"/>
            <w:sz w:val="24"/>
            <w:szCs w:val="24"/>
            <w:lang w:val="en-US"/>
          </w:rPr>
          <w:t>https://www.york.ac.uk/che/pdf/rp31.pdf</w:t>
        </w:r>
      </w:hyperlink>
      <w:r w:rsidRPr="00D32A8D">
        <w:rPr>
          <w:rFonts w:ascii="Arial" w:hAnsi="Arial" w:cs="Arial"/>
          <w:color w:val="0563C1"/>
          <w:sz w:val="24"/>
          <w:szCs w:val="24"/>
          <w:u w:val="single"/>
          <w:lang w:val="en-US"/>
        </w:rPr>
        <w:t xml:space="preserve"> </w:t>
      </w:r>
    </w:p>
    <w:p w14:paraId="5F69E8FD" w14:textId="77777777" w:rsidR="00A251EB" w:rsidRDefault="00A251EB" w:rsidP="00A251EB">
      <w:pPr>
        <w:pStyle w:val="ListParagraph"/>
        <w:rPr>
          <w:rFonts w:ascii="Arial" w:hAnsi="Arial" w:cs="Arial"/>
          <w:sz w:val="24"/>
          <w:szCs w:val="24"/>
        </w:rPr>
      </w:pPr>
    </w:p>
    <w:p w14:paraId="7D1C0C0C" w14:textId="77777777" w:rsidR="00A251EB" w:rsidRDefault="00A251EB" w:rsidP="00A251EB">
      <w:pPr>
        <w:numPr>
          <w:ilvl w:val="0"/>
          <w:numId w:val="5"/>
        </w:numPr>
        <w:autoSpaceDE w:val="0"/>
        <w:autoSpaceDN w:val="0"/>
        <w:adjustRightInd w:val="0"/>
        <w:spacing w:after="0" w:line="360" w:lineRule="auto"/>
        <w:rPr>
          <w:rFonts w:ascii="Arial" w:hAnsi="Arial" w:cs="Arial"/>
          <w:sz w:val="24"/>
          <w:szCs w:val="24"/>
        </w:rPr>
      </w:pPr>
      <w:proofErr w:type="spellStart"/>
      <w:r w:rsidRPr="00D32A8D">
        <w:rPr>
          <w:rFonts w:ascii="Arial" w:hAnsi="Arial" w:cs="Arial"/>
          <w:sz w:val="24"/>
          <w:szCs w:val="24"/>
        </w:rPr>
        <w:t>Mohseninejad</w:t>
      </w:r>
      <w:proofErr w:type="spellEnd"/>
      <w:r w:rsidRPr="00D32A8D">
        <w:rPr>
          <w:rFonts w:ascii="Arial" w:hAnsi="Arial" w:cs="Arial"/>
          <w:sz w:val="24"/>
          <w:szCs w:val="24"/>
        </w:rPr>
        <w:t xml:space="preserve"> L., van Ball PH, van den Berg M, </w:t>
      </w:r>
      <w:proofErr w:type="spellStart"/>
      <w:r w:rsidRPr="00D32A8D">
        <w:rPr>
          <w:rFonts w:ascii="Arial" w:hAnsi="Arial" w:cs="Arial"/>
          <w:sz w:val="24"/>
          <w:szCs w:val="24"/>
        </w:rPr>
        <w:t>Buskens</w:t>
      </w:r>
      <w:proofErr w:type="spellEnd"/>
      <w:r w:rsidRPr="00D32A8D">
        <w:rPr>
          <w:rFonts w:ascii="Arial" w:hAnsi="Arial" w:cs="Arial"/>
          <w:sz w:val="24"/>
          <w:szCs w:val="24"/>
        </w:rPr>
        <w:t xml:space="preserve"> E, </w:t>
      </w:r>
      <w:proofErr w:type="spellStart"/>
      <w:r w:rsidRPr="00D32A8D">
        <w:rPr>
          <w:rFonts w:ascii="Arial" w:hAnsi="Arial" w:cs="Arial"/>
          <w:sz w:val="24"/>
          <w:szCs w:val="24"/>
        </w:rPr>
        <w:t>Feenstra</w:t>
      </w:r>
      <w:proofErr w:type="spellEnd"/>
      <w:r w:rsidRPr="00D32A8D">
        <w:rPr>
          <w:rFonts w:ascii="Arial" w:hAnsi="Arial" w:cs="Arial"/>
          <w:sz w:val="24"/>
          <w:szCs w:val="24"/>
        </w:rPr>
        <w:t xml:space="preserve"> T. Value of information analysis from a societal perspective: a case study in prevention of major depression. Value Health. 2013</w:t>
      </w:r>
      <w:proofErr w:type="gramStart"/>
      <w:r w:rsidRPr="00D32A8D">
        <w:rPr>
          <w:rFonts w:ascii="Arial" w:hAnsi="Arial" w:cs="Arial"/>
          <w:sz w:val="24"/>
          <w:szCs w:val="24"/>
        </w:rPr>
        <w:t>;16</w:t>
      </w:r>
      <w:proofErr w:type="gramEnd"/>
      <w:r w:rsidRPr="00D32A8D">
        <w:rPr>
          <w:rFonts w:ascii="Arial" w:hAnsi="Arial" w:cs="Arial"/>
          <w:sz w:val="24"/>
          <w:szCs w:val="24"/>
        </w:rPr>
        <w:t xml:space="preserve">(4):490-7. </w:t>
      </w:r>
      <w:hyperlink r:id="rId13" w:history="1">
        <w:r w:rsidRPr="00D32A8D">
          <w:rPr>
            <w:rFonts w:ascii="Arial" w:hAnsi="Arial" w:cs="Arial"/>
            <w:sz w:val="24"/>
            <w:szCs w:val="24"/>
          </w:rPr>
          <w:t>https://doi.org/10.1016/j.jval.2012.12.007</w:t>
        </w:r>
      </w:hyperlink>
    </w:p>
    <w:p w14:paraId="380715E8" w14:textId="77777777" w:rsidR="00A251EB" w:rsidRDefault="00A251EB" w:rsidP="00A251EB">
      <w:pPr>
        <w:pStyle w:val="ListParagraph"/>
        <w:rPr>
          <w:rFonts w:ascii="Arial" w:hAnsi="Arial" w:cs="Arial"/>
          <w:sz w:val="24"/>
          <w:szCs w:val="24"/>
        </w:rPr>
      </w:pPr>
    </w:p>
    <w:p w14:paraId="02E02E57" w14:textId="77777777" w:rsidR="00A251EB" w:rsidRPr="00D32A8D" w:rsidRDefault="00A251EB" w:rsidP="00A251EB">
      <w:pPr>
        <w:numPr>
          <w:ilvl w:val="0"/>
          <w:numId w:val="5"/>
        </w:numPr>
        <w:autoSpaceDE w:val="0"/>
        <w:autoSpaceDN w:val="0"/>
        <w:adjustRightInd w:val="0"/>
        <w:spacing w:after="0" w:line="360" w:lineRule="auto"/>
        <w:rPr>
          <w:rFonts w:ascii="Arial" w:hAnsi="Arial" w:cs="Arial"/>
          <w:sz w:val="24"/>
          <w:szCs w:val="24"/>
        </w:rPr>
      </w:pPr>
      <w:proofErr w:type="spellStart"/>
      <w:r w:rsidRPr="009C293E">
        <w:rPr>
          <w:rFonts w:ascii="Arial" w:hAnsi="Arial" w:cs="Arial"/>
          <w:sz w:val="24"/>
          <w:szCs w:val="24"/>
        </w:rPr>
        <w:t>Eeren</w:t>
      </w:r>
      <w:proofErr w:type="spellEnd"/>
      <w:r w:rsidRPr="009C293E">
        <w:rPr>
          <w:rFonts w:ascii="Arial" w:hAnsi="Arial" w:cs="Arial"/>
          <w:sz w:val="24"/>
          <w:szCs w:val="24"/>
        </w:rPr>
        <w:t xml:space="preserve"> HV, </w:t>
      </w:r>
      <w:proofErr w:type="spellStart"/>
      <w:r w:rsidRPr="009C293E">
        <w:rPr>
          <w:rFonts w:ascii="Arial" w:hAnsi="Arial" w:cs="Arial"/>
          <w:sz w:val="24"/>
          <w:szCs w:val="24"/>
        </w:rPr>
        <w:t>Spreeuwenberg</w:t>
      </w:r>
      <w:proofErr w:type="spellEnd"/>
      <w:r w:rsidRPr="009C293E">
        <w:rPr>
          <w:rFonts w:ascii="Arial" w:hAnsi="Arial" w:cs="Arial"/>
          <w:sz w:val="24"/>
          <w:szCs w:val="24"/>
        </w:rPr>
        <w:t xml:space="preserve"> MD, </w:t>
      </w:r>
      <w:proofErr w:type="spellStart"/>
      <w:r w:rsidRPr="009C293E">
        <w:rPr>
          <w:rFonts w:ascii="Arial" w:hAnsi="Arial" w:cs="Arial"/>
          <w:sz w:val="24"/>
          <w:szCs w:val="24"/>
        </w:rPr>
        <w:t>Bartak</w:t>
      </w:r>
      <w:proofErr w:type="spellEnd"/>
      <w:r w:rsidRPr="009C293E">
        <w:rPr>
          <w:rFonts w:ascii="Arial" w:hAnsi="Arial" w:cs="Arial"/>
          <w:sz w:val="24"/>
          <w:szCs w:val="24"/>
        </w:rPr>
        <w:t xml:space="preserve"> A, de </w:t>
      </w:r>
      <w:proofErr w:type="spellStart"/>
      <w:r w:rsidRPr="009C293E">
        <w:rPr>
          <w:rFonts w:ascii="Arial" w:hAnsi="Arial" w:cs="Arial"/>
          <w:sz w:val="24"/>
          <w:szCs w:val="24"/>
        </w:rPr>
        <w:t>Rooji</w:t>
      </w:r>
      <w:proofErr w:type="spellEnd"/>
      <w:r w:rsidRPr="009C293E">
        <w:rPr>
          <w:rFonts w:ascii="Arial" w:hAnsi="Arial" w:cs="Arial"/>
          <w:sz w:val="24"/>
          <w:szCs w:val="24"/>
        </w:rPr>
        <w:t xml:space="preserve"> M, </w:t>
      </w:r>
      <w:proofErr w:type="spellStart"/>
      <w:r w:rsidRPr="009C293E">
        <w:rPr>
          <w:rFonts w:ascii="Arial" w:hAnsi="Arial" w:cs="Arial"/>
          <w:sz w:val="24"/>
          <w:szCs w:val="24"/>
        </w:rPr>
        <w:t>Busschbach</w:t>
      </w:r>
      <w:proofErr w:type="spellEnd"/>
      <w:r w:rsidRPr="009C293E">
        <w:rPr>
          <w:rFonts w:ascii="Arial" w:hAnsi="Arial" w:cs="Arial"/>
          <w:sz w:val="24"/>
          <w:szCs w:val="24"/>
        </w:rPr>
        <w:t xml:space="preserve"> JJ. Estimating subgroup effects using the propensity score method: a practical application in outcomes research. Med Care. 2015</w:t>
      </w:r>
      <w:proofErr w:type="gramStart"/>
      <w:r w:rsidRPr="009C293E">
        <w:rPr>
          <w:rFonts w:ascii="Arial" w:hAnsi="Arial" w:cs="Arial"/>
          <w:sz w:val="24"/>
          <w:szCs w:val="24"/>
        </w:rPr>
        <w:t>;53</w:t>
      </w:r>
      <w:proofErr w:type="gramEnd"/>
      <w:r w:rsidRPr="009C293E">
        <w:rPr>
          <w:rFonts w:ascii="Arial" w:hAnsi="Arial" w:cs="Arial"/>
          <w:sz w:val="24"/>
          <w:szCs w:val="24"/>
        </w:rPr>
        <w:t xml:space="preserve">(4):366-73. </w:t>
      </w:r>
      <w:hyperlink r:id="rId14" w:history="1">
        <w:r w:rsidRPr="009C293E">
          <w:rPr>
            <w:rFonts w:ascii="Arial" w:hAnsi="Arial" w:cs="Arial"/>
            <w:sz w:val="24"/>
            <w:szCs w:val="24"/>
          </w:rPr>
          <w:t>http://dx.doi.org/10.1097/MLR.0000000000000325</w:t>
        </w:r>
      </w:hyperlink>
    </w:p>
    <w:p w14:paraId="15F490F4" w14:textId="77777777" w:rsidR="0038008E" w:rsidRPr="0038008E" w:rsidRDefault="0038008E" w:rsidP="00120E6F">
      <w:pPr>
        <w:spacing w:after="0" w:line="360" w:lineRule="auto"/>
        <w:jc w:val="both"/>
        <w:rPr>
          <w:rFonts w:ascii="Arial" w:hAnsi="Arial" w:cs="Arial"/>
          <w:b/>
          <w:sz w:val="24"/>
          <w:szCs w:val="24"/>
          <w:lang w:val="en-US"/>
        </w:rPr>
      </w:pPr>
    </w:p>
    <w:p w14:paraId="22C1D530" w14:textId="77777777" w:rsidR="00120E6F" w:rsidRPr="00120E6F" w:rsidRDefault="00120E6F" w:rsidP="00120E6F">
      <w:pPr>
        <w:spacing w:after="0" w:line="360" w:lineRule="auto"/>
        <w:jc w:val="both"/>
        <w:rPr>
          <w:rFonts w:ascii="Arial" w:eastAsia="Calibri" w:hAnsi="Arial" w:cs="Arial"/>
          <w:sz w:val="24"/>
          <w:szCs w:val="24"/>
          <w:lang w:val="en-US"/>
        </w:rPr>
      </w:pPr>
    </w:p>
    <w:p w14:paraId="011C56A0" w14:textId="77777777" w:rsidR="003A3CEF" w:rsidRDefault="003A3CEF"/>
    <w:sectPr w:rsidR="003A3C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C08E2"/>
    <w:multiLevelType w:val="hybridMultilevel"/>
    <w:tmpl w:val="D98A3E28"/>
    <w:lvl w:ilvl="0" w:tplc="9AA2C138">
      <w:start w:val="1"/>
      <w:numFmt w:val="bullet"/>
      <w:lvlText w:val=""/>
      <w:lvlJc w:val="left"/>
      <w:pPr>
        <w:ind w:left="720" w:hanging="360"/>
      </w:pPr>
      <w:rPr>
        <w:rFonts w:ascii="Symbol" w:hAnsi="Symbol" w:hint="default"/>
      </w:rPr>
    </w:lvl>
    <w:lvl w:ilvl="1" w:tplc="0736E90A" w:tentative="1">
      <w:start w:val="1"/>
      <w:numFmt w:val="bullet"/>
      <w:lvlText w:val="o"/>
      <w:lvlJc w:val="left"/>
      <w:pPr>
        <w:ind w:left="1440" w:hanging="360"/>
      </w:pPr>
      <w:rPr>
        <w:rFonts w:ascii="Courier New" w:hAnsi="Courier New" w:cs="Courier New" w:hint="default"/>
      </w:rPr>
    </w:lvl>
    <w:lvl w:ilvl="2" w:tplc="ADDA0812" w:tentative="1">
      <w:start w:val="1"/>
      <w:numFmt w:val="bullet"/>
      <w:lvlText w:val=""/>
      <w:lvlJc w:val="left"/>
      <w:pPr>
        <w:ind w:left="2160" w:hanging="360"/>
      </w:pPr>
      <w:rPr>
        <w:rFonts w:ascii="Wingdings" w:hAnsi="Wingdings" w:hint="default"/>
      </w:rPr>
    </w:lvl>
    <w:lvl w:ilvl="3" w:tplc="1D4EC430" w:tentative="1">
      <w:start w:val="1"/>
      <w:numFmt w:val="bullet"/>
      <w:lvlText w:val=""/>
      <w:lvlJc w:val="left"/>
      <w:pPr>
        <w:ind w:left="2880" w:hanging="360"/>
      </w:pPr>
      <w:rPr>
        <w:rFonts w:ascii="Symbol" w:hAnsi="Symbol" w:hint="default"/>
      </w:rPr>
    </w:lvl>
    <w:lvl w:ilvl="4" w:tplc="194CD034" w:tentative="1">
      <w:start w:val="1"/>
      <w:numFmt w:val="bullet"/>
      <w:lvlText w:val="o"/>
      <w:lvlJc w:val="left"/>
      <w:pPr>
        <w:ind w:left="3600" w:hanging="360"/>
      </w:pPr>
      <w:rPr>
        <w:rFonts w:ascii="Courier New" w:hAnsi="Courier New" w:cs="Courier New" w:hint="default"/>
      </w:rPr>
    </w:lvl>
    <w:lvl w:ilvl="5" w:tplc="FB720A72" w:tentative="1">
      <w:start w:val="1"/>
      <w:numFmt w:val="bullet"/>
      <w:lvlText w:val=""/>
      <w:lvlJc w:val="left"/>
      <w:pPr>
        <w:ind w:left="4320" w:hanging="360"/>
      </w:pPr>
      <w:rPr>
        <w:rFonts w:ascii="Wingdings" w:hAnsi="Wingdings" w:hint="default"/>
      </w:rPr>
    </w:lvl>
    <w:lvl w:ilvl="6" w:tplc="1A9E6F56" w:tentative="1">
      <w:start w:val="1"/>
      <w:numFmt w:val="bullet"/>
      <w:lvlText w:val=""/>
      <w:lvlJc w:val="left"/>
      <w:pPr>
        <w:ind w:left="5040" w:hanging="360"/>
      </w:pPr>
      <w:rPr>
        <w:rFonts w:ascii="Symbol" w:hAnsi="Symbol" w:hint="default"/>
      </w:rPr>
    </w:lvl>
    <w:lvl w:ilvl="7" w:tplc="C18A8404" w:tentative="1">
      <w:start w:val="1"/>
      <w:numFmt w:val="bullet"/>
      <w:lvlText w:val="o"/>
      <w:lvlJc w:val="left"/>
      <w:pPr>
        <w:ind w:left="5760" w:hanging="360"/>
      </w:pPr>
      <w:rPr>
        <w:rFonts w:ascii="Courier New" w:hAnsi="Courier New" w:cs="Courier New" w:hint="default"/>
      </w:rPr>
    </w:lvl>
    <w:lvl w:ilvl="8" w:tplc="F8A0D8A0" w:tentative="1">
      <w:start w:val="1"/>
      <w:numFmt w:val="bullet"/>
      <w:lvlText w:val=""/>
      <w:lvlJc w:val="left"/>
      <w:pPr>
        <w:ind w:left="6480" w:hanging="360"/>
      </w:pPr>
      <w:rPr>
        <w:rFonts w:ascii="Wingdings" w:hAnsi="Wingdings" w:hint="default"/>
      </w:rPr>
    </w:lvl>
  </w:abstractNum>
  <w:abstractNum w:abstractNumId="1" w15:restartNumberingAfterBreak="0">
    <w:nsid w:val="3E230285"/>
    <w:multiLevelType w:val="hybridMultilevel"/>
    <w:tmpl w:val="E324960E"/>
    <w:lvl w:ilvl="0" w:tplc="E3027862">
      <w:start w:val="1"/>
      <w:numFmt w:val="decimal"/>
      <w:lvlText w:val="%1."/>
      <w:lvlJc w:val="left"/>
      <w:pPr>
        <w:ind w:left="720" w:hanging="360"/>
      </w:pPr>
    </w:lvl>
    <w:lvl w:ilvl="1" w:tplc="B3AC638C" w:tentative="1">
      <w:start w:val="1"/>
      <w:numFmt w:val="lowerLetter"/>
      <w:lvlText w:val="%2."/>
      <w:lvlJc w:val="left"/>
      <w:pPr>
        <w:ind w:left="1440" w:hanging="360"/>
      </w:pPr>
    </w:lvl>
    <w:lvl w:ilvl="2" w:tplc="76DC4A5A" w:tentative="1">
      <w:start w:val="1"/>
      <w:numFmt w:val="lowerRoman"/>
      <w:lvlText w:val="%3."/>
      <w:lvlJc w:val="right"/>
      <w:pPr>
        <w:ind w:left="2160" w:hanging="180"/>
      </w:pPr>
    </w:lvl>
    <w:lvl w:ilvl="3" w:tplc="D89C6C7E" w:tentative="1">
      <w:start w:val="1"/>
      <w:numFmt w:val="decimal"/>
      <w:lvlText w:val="%4."/>
      <w:lvlJc w:val="left"/>
      <w:pPr>
        <w:ind w:left="2880" w:hanging="360"/>
      </w:pPr>
    </w:lvl>
    <w:lvl w:ilvl="4" w:tplc="A96C3F38" w:tentative="1">
      <w:start w:val="1"/>
      <w:numFmt w:val="lowerLetter"/>
      <w:lvlText w:val="%5."/>
      <w:lvlJc w:val="left"/>
      <w:pPr>
        <w:ind w:left="3600" w:hanging="360"/>
      </w:pPr>
    </w:lvl>
    <w:lvl w:ilvl="5" w:tplc="97202CD6" w:tentative="1">
      <w:start w:val="1"/>
      <w:numFmt w:val="lowerRoman"/>
      <w:lvlText w:val="%6."/>
      <w:lvlJc w:val="right"/>
      <w:pPr>
        <w:ind w:left="4320" w:hanging="180"/>
      </w:pPr>
    </w:lvl>
    <w:lvl w:ilvl="6" w:tplc="54444BA6" w:tentative="1">
      <w:start w:val="1"/>
      <w:numFmt w:val="decimal"/>
      <w:lvlText w:val="%7."/>
      <w:lvlJc w:val="left"/>
      <w:pPr>
        <w:ind w:left="5040" w:hanging="360"/>
      </w:pPr>
    </w:lvl>
    <w:lvl w:ilvl="7" w:tplc="99D863E6" w:tentative="1">
      <w:start w:val="1"/>
      <w:numFmt w:val="lowerLetter"/>
      <w:lvlText w:val="%8."/>
      <w:lvlJc w:val="left"/>
      <w:pPr>
        <w:ind w:left="5760" w:hanging="360"/>
      </w:pPr>
    </w:lvl>
    <w:lvl w:ilvl="8" w:tplc="E474F426" w:tentative="1">
      <w:start w:val="1"/>
      <w:numFmt w:val="lowerRoman"/>
      <w:lvlText w:val="%9."/>
      <w:lvlJc w:val="right"/>
      <w:pPr>
        <w:ind w:left="6480" w:hanging="180"/>
      </w:pPr>
    </w:lvl>
  </w:abstractNum>
  <w:abstractNum w:abstractNumId="2" w15:restartNumberingAfterBreak="0">
    <w:nsid w:val="591E2EBD"/>
    <w:multiLevelType w:val="hybridMultilevel"/>
    <w:tmpl w:val="9BB27BAE"/>
    <w:lvl w:ilvl="0" w:tplc="5E766DA4">
      <w:start w:val="1"/>
      <w:numFmt w:val="decimal"/>
      <w:lvlText w:val="%1."/>
      <w:lvlJc w:val="left"/>
      <w:pPr>
        <w:ind w:left="765" w:hanging="360"/>
      </w:pPr>
    </w:lvl>
    <w:lvl w:ilvl="1" w:tplc="92E4D124" w:tentative="1">
      <w:start w:val="1"/>
      <w:numFmt w:val="lowerLetter"/>
      <w:lvlText w:val="%2."/>
      <w:lvlJc w:val="left"/>
      <w:pPr>
        <w:ind w:left="1485" w:hanging="360"/>
      </w:pPr>
    </w:lvl>
    <w:lvl w:ilvl="2" w:tplc="F722932A" w:tentative="1">
      <w:start w:val="1"/>
      <w:numFmt w:val="lowerRoman"/>
      <w:lvlText w:val="%3."/>
      <w:lvlJc w:val="right"/>
      <w:pPr>
        <w:ind w:left="2205" w:hanging="180"/>
      </w:pPr>
    </w:lvl>
    <w:lvl w:ilvl="3" w:tplc="2FAAEA5C" w:tentative="1">
      <w:start w:val="1"/>
      <w:numFmt w:val="decimal"/>
      <w:lvlText w:val="%4."/>
      <w:lvlJc w:val="left"/>
      <w:pPr>
        <w:ind w:left="2925" w:hanging="360"/>
      </w:pPr>
    </w:lvl>
    <w:lvl w:ilvl="4" w:tplc="533822B2" w:tentative="1">
      <w:start w:val="1"/>
      <w:numFmt w:val="lowerLetter"/>
      <w:lvlText w:val="%5."/>
      <w:lvlJc w:val="left"/>
      <w:pPr>
        <w:ind w:left="3645" w:hanging="360"/>
      </w:pPr>
    </w:lvl>
    <w:lvl w:ilvl="5" w:tplc="851016DC" w:tentative="1">
      <w:start w:val="1"/>
      <w:numFmt w:val="lowerRoman"/>
      <w:lvlText w:val="%6."/>
      <w:lvlJc w:val="right"/>
      <w:pPr>
        <w:ind w:left="4365" w:hanging="180"/>
      </w:pPr>
    </w:lvl>
    <w:lvl w:ilvl="6" w:tplc="6076169E" w:tentative="1">
      <w:start w:val="1"/>
      <w:numFmt w:val="decimal"/>
      <w:lvlText w:val="%7."/>
      <w:lvlJc w:val="left"/>
      <w:pPr>
        <w:ind w:left="5085" w:hanging="360"/>
      </w:pPr>
    </w:lvl>
    <w:lvl w:ilvl="7" w:tplc="2FCAC612" w:tentative="1">
      <w:start w:val="1"/>
      <w:numFmt w:val="lowerLetter"/>
      <w:lvlText w:val="%8."/>
      <w:lvlJc w:val="left"/>
      <w:pPr>
        <w:ind w:left="5805" w:hanging="360"/>
      </w:pPr>
    </w:lvl>
    <w:lvl w:ilvl="8" w:tplc="264C83A6" w:tentative="1">
      <w:start w:val="1"/>
      <w:numFmt w:val="lowerRoman"/>
      <w:lvlText w:val="%9."/>
      <w:lvlJc w:val="right"/>
      <w:pPr>
        <w:ind w:left="6525" w:hanging="180"/>
      </w:pPr>
    </w:lvl>
  </w:abstractNum>
  <w:abstractNum w:abstractNumId="3" w15:restartNumberingAfterBreak="0">
    <w:nsid w:val="644D276D"/>
    <w:multiLevelType w:val="singleLevel"/>
    <w:tmpl w:val="673CF1C0"/>
    <w:lvl w:ilvl="0">
      <w:start w:val="1"/>
      <w:numFmt w:val="decimal"/>
      <w:lvlText w:val="%1."/>
      <w:legacy w:legacy="1" w:legacySpace="0" w:legacyIndent="360"/>
      <w:lvlJc w:val="left"/>
      <w:rPr>
        <w:rFonts w:ascii="Arial" w:hAnsi="Arial" w:cs="Arial" w:hint="default"/>
      </w:rPr>
    </w:lvl>
  </w:abstractNum>
  <w:abstractNum w:abstractNumId="4" w15:restartNumberingAfterBreak="0">
    <w:nsid w:val="6673244C"/>
    <w:multiLevelType w:val="hybridMultilevel"/>
    <w:tmpl w:val="804A2A8A"/>
    <w:lvl w:ilvl="0" w:tplc="A80C74BA">
      <w:start w:val="1"/>
      <w:numFmt w:val="bullet"/>
      <w:lvlText w:val=""/>
      <w:lvlJc w:val="left"/>
      <w:pPr>
        <w:ind w:left="1440" w:hanging="360"/>
      </w:pPr>
      <w:rPr>
        <w:rFonts w:ascii="Symbol" w:hAnsi="Symbol" w:hint="default"/>
      </w:rPr>
    </w:lvl>
    <w:lvl w:ilvl="1" w:tplc="852EC604" w:tentative="1">
      <w:start w:val="1"/>
      <w:numFmt w:val="bullet"/>
      <w:lvlText w:val="o"/>
      <w:lvlJc w:val="left"/>
      <w:pPr>
        <w:ind w:left="2160" w:hanging="360"/>
      </w:pPr>
      <w:rPr>
        <w:rFonts w:ascii="Courier New" w:hAnsi="Courier New" w:cs="Courier New" w:hint="default"/>
      </w:rPr>
    </w:lvl>
    <w:lvl w:ilvl="2" w:tplc="410A6AC0" w:tentative="1">
      <w:start w:val="1"/>
      <w:numFmt w:val="bullet"/>
      <w:lvlText w:val=""/>
      <w:lvlJc w:val="left"/>
      <w:pPr>
        <w:ind w:left="2880" w:hanging="360"/>
      </w:pPr>
      <w:rPr>
        <w:rFonts w:ascii="Wingdings" w:hAnsi="Wingdings" w:hint="default"/>
      </w:rPr>
    </w:lvl>
    <w:lvl w:ilvl="3" w:tplc="D9A07F1A" w:tentative="1">
      <w:start w:val="1"/>
      <w:numFmt w:val="bullet"/>
      <w:lvlText w:val=""/>
      <w:lvlJc w:val="left"/>
      <w:pPr>
        <w:ind w:left="3600" w:hanging="360"/>
      </w:pPr>
      <w:rPr>
        <w:rFonts w:ascii="Symbol" w:hAnsi="Symbol" w:hint="default"/>
      </w:rPr>
    </w:lvl>
    <w:lvl w:ilvl="4" w:tplc="89AAB99E" w:tentative="1">
      <w:start w:val="1"/>
      <w:numFmt w:val="bullet"/>
      <w:lvlText w:val="o"/>
      <w:lvlJc w:val="left"/>
      <w:pPr>
        <w:ind w:left="4320" w:hanging="360"/>
      </w:pPr>
      <w:rPr>
        <w:rFonts w:ascii="Courier New" w:hAnsi="Courier New" w:cs="Courier New" w:hint="default"/>
      </w:rPr>
    </w:lvl>
    <w:lvl w:ilvl="5" w:tplc="94DC3B54" w:tentative="1">
      <w:start w:val="1"/>
      <w:numFmt w:val="bullet"/>
      <w:lvlText w:val=""/>
      <w:lvlJc w:val="left"/>
      <w:pPr>
        <w:ind w:left="5040" w:hanging="360"/>
      </w:pPr>
      <w:rPr>
        <w:rFonts w:ascii="Wingdings" w:hAnsi="Wingdings" w:hint="default"/>
      </w:rPr>
    </w:lvl>
    <w:lvl w:ilvl="6" w:tplc="5432588E" w:tentative="1">
      <w:start w:val="1"/>
      <w:numFmt w:val="bullet"/>
      <w:lvlText w:val=""/>
      <w:lvlJc w:val="left"/>
      <w:pPr>
        <w:ind w:left="5760" w:hanging="360"/>
      </w:pPr>
      <w:rPr>
        <w:rFonts w:ascii="Symbol" w:hAnsi="Symbol" w:hint="default"/>
      </w:rPr>
    </w:lvl>
    <w:lvl w:ilvl="7" w:tplc="94C4CC60" w:tentative="1">
      <w:start w:val="1"/>
      <w:numFmt w:val="bullet"/>
      <w:lvlText w:val="o"/>
      <w:lvlJc w:val="left"/>
      <w:pPr>
        <w:ind w:left="6480" w:hanging="360"/>
      </w:pPr>
      <w:rPr>
        <w:rFonts w:ascii="Courier New" w:hAnsi="Courier New" w:cs="Courier New" w:hint="default"/>
      </w:rPr>
    </w:lvl>
    <w:lvl w:ilvl="8" w:tplc="1604D6BE"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E6F"/>
    <w:rsid w:val="00120E6F"/>
    <w:rsid w:val="0038008E"/>
    <w:rsid w:val="003A22E0"/>
    <w:rsid w:val="003A3CEF"/>
    <w:rsid w:val="003F2159"/>
    <w:rsid w:val="004B0FA8"/>
    <w:rsid w:val="005F63D6"/>
    <w:rsid w:val="006F4379"/>
    <w:rsid w:val="00A251EB"/>
    <w:rsid w:val="00AE58B2"/>
    <w:rsid w:val="00B05B56"/>
    <w:rsid w:val="00BE7D49"/>
    <w:rsid w:val="00C47731"/>
    <w:rsid w:val="00D61ADF"/>
    <w:rsid w:val="00E82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7A2F0"/>
  <w15:chartTrackingRefBased/>
  <w15:docId w15:val="{734706F6-9852-4F59-86FE-36889081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1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10/hta19060" TargetMode="External"/><Relationship Id="rId13" Type="http://schemas.openxmlformats.org/officeDocument/2006/relationships/hyperlink" Target="https://doi.org/10.1016/j.jval.2012.12.00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rk.ac.uk/che/pdf/rp3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16/j.healthpol.2009.07.01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i.org/10.1377/hlthaff.27.6.1642" TargetMode="External"/><Relationship Id="rId4" Type="http://schemas.openxmlformats.org/officeDocument/2006/relationships/numbering" Target="numbering.xml"/><Relationship Id="rId9" Type="http://schemas.openxmlformats.org/officeDocument/2006/relationships/hyperlink" Target="https://doi.org/10.1007/s40273-012-0008-3" TargetMode="External"/><Relationship Id="rId14" Type="http://schemas.openxmlformats.org/officeDocument/2006/relationships/hyperlink" Target="http://dx.doi.org/10.1097/MLR.0000000000000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34AC1E9EDCB44D922FABE125B95319" ma:contentTypeVersion="10" ma:contentTypeDescription="Create a new document." ma:contentTypeScope="" ma:versionID="ed8e615fd1469aa3df8f74d1106b6b2b">
  <xsd:schema xmlns:xsd="http://www.w3.org/2001/XMLSchema" xmlns:xs="http://www.w3.org/2001/XMLSchema" xmlns:p="http://schemas.microsoft.com/office/2006/metadata/properties" xmlns:ns3="f36f9b69-2006-42c7-9a90-7cab2c2880e3" targetNamespace="http://schemas.microsoft.com/office/2006/metadata/properties" ma:root="true" ma:fieldsID="010e630031728b0ebd7375d19deff2c7" ns3:_="">
    <xsd:import namespace="f36f9b69-2006-42c7-9a90-7cab2c2880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f9b69-2006-42c7-9a90-7cab2c288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BB143-F66A-4F30-A12A-412F1BE5BBA0}">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f36f9b69-2006-42c7-9a90-7cab2c2880e3"/>
    <ds:schemaRef ds:uri="http://www.w3.org/XML/1998/namespace"/>
  </ds:schemaRefs>
</ds:datastoreItem>
</file>

<file path=customXml/itemProps2.xml><?xml version="1.0" encoding="utf-8"?>
<ds:datastoreItem xmlns:ds="http://schemas.openxmlformats.org/officeDocument/2006/customXml" ds:itemID="{73D3A33B-9F99-4DA2-9F8F-24A9479D8E83}">
  <ds:schemaRefs>
    <ds:schemaRef ds:uri="http://schemas.microsoft.com/sharepoint/v3/contenttype/forms"/>
  </ds:schemaRefs>
</ds:datastoreItem>
</file>

<file path=customXml/itemProps3.xml><?xml version="1.0" encoding="utf-8"?>
<ds:datastoreItem xmlns:ds="http://schemas.openxmlformats.org/officeDocument/2006/customXml" ds:itemID="{54963129-B6F6-44E9-9F80-F5A3440CA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f9b69-2006-42c7-9a90-7cab2c288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2499</Words>
  <Characters>14249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Plymouth University</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Quinn</dc:creator>
  <cp:keywords/>
  <dc:description/>
  <cp:lastModifiedBy>Caroline Quinn</cp:lastModifiedBy>
  <cp:revision>15</cp:revision>
  <dcterms:created xsi:type="dcterms:W3CDTF">2022-02-22T11:02:00Z</dcterms:created>
  <dcterms:modified xsi:type="dcterms:W3CDTF">2022-02-22T20:12:00Z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0x0101008734AC1E9EDCB44D922FABE125B95319</vt:lpwstr>
  </property>
</Properties>
</file>