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44" w:rsidRPr="007C3F44" w:rsidRDefault="00E92F95" w:rsidP="007C3F4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Supplementary Material2</w:t>
      </w:r>
      <w:r w:rsidR="007C3F44" w:rsidRPr="007C3F44">
        <w:rPr>
          <w:rFonts w:ascii="Arial" w:hAnsi="Arial" w:cs="Arial"/>
          <w:b/>
          <w:sz w:val="24"/>
          <w:szCs w:val="24"/>
          <w:lang w:val="en-US"/>
        </w:rPr>
        <w:t xml:space="preserve">: Protocol amendments </w:t>
      </w:r>
    </w:p>
    <w:p w:rsidR="007C3F44" w:rsidRPr="00C374DC" w:rsidRDefault="007C3F44" w:rsidP="007C3F4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7C3F44" w:rsidRDefault="007C3F44" w:rsidP="007C3F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Number of Phase 1 hospitals increased from 18 to 24</w:t>
      </w:r>
    </w:p>
    <w:p w:rsidR="007C3F44" w:rsidRDefault="007C3F44" w:rsidP="007C3F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Number of Ph</w:t>
      </w:r>
      <w:r w:rsidR="00972EFA">
        <w:rPr>
          <w:rFonts w:ascii="Arial" w:hAnsi="Arial" w:cs="Arial"/>
          <w:sz w:val="20"/>
          <w:szCs w:val="20"/>
          <w:lang w:val="en-US"/>
        </w:rPr>
        <w:t>ase 2 hospitals increased from four  to seven</w:t>
      </w:r>
    </w:p>
    <w:p w:rsidR="007C3F44" w:rsidRPr="00431C7B" w:rsidRDefault="007C3F44" w:rsidP="007C3F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431C7B">
        <w:rPr>
          <w:rFonts w:ascii="Arial" w:hAnsi="Arial" w:cs="Arial"/>
          <w:sz w:val="20"/>
          <w:szCs w:val="20"/>
          <w:lang w:val="en-US"/>
        </w:rPr>
        <w:t xml:space="preserve">Change of inclusion criteria </w:t>
      </w:r>
      <w:r>
        <w:rPr>
          <w:rFonts w:ascii="Arial" w:hAnsi="Arial" w:cs="Arial"/>
          <w:sz w:val="20"/>
          <w:szCs w:val="20"/>
          <w:lang w:val="en-US"/>
        </w:rPr>
        <w:t xml:space="preserve">– </w:t>
      </w:r>
      <w:r w:rsidRPr="00431C7B">
        <w:rPr>
          <w:rFonts w:ascii="ArialMT" w:eastAsia="Times New Roman" w:hAnsi="ArialMT"/>
          <w:sz w:val="18"/>
          <w:szCs w:val="18"/>
        </w:rPr>
        <w:t>the num</w:t>
      </w:r>
      <w:r w:rsidR="00972EFA">
        <w:rPr>
          <w:rFonts w:ascii="ArialMT" w:eastAsia="Times New Roman" w:hAnsi="ArialMT"/>
          <w:sz w:val="18"/>
          <w:szCs w:val="18"/>
        </w:rPr>
        <w:t>ber of nights in hospital from three  to a range of one-three</w:t>
      </w:r>
      <w:r w:rsidRPr="00431C7B">
        <w:rPr>
          <w:rFonts w:ascii="ArialMT" w:eastAsia="Times New Roman" w:hAnsi="ArialMT"/>
          <w:sz w:val="18"/>
          <w:szCs w:val="18"/>
        </w:rPr>
        <w:t xml:space="preserve"> </w:t>
      </w:r>
    </w:p>
    <w:p w:rsidR="007C3F44" w:rsidRDefault="007C3F44" w:rsidP="007C3F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Change of matching from 1:1 children with LD to children without LD to 2:1 </w:t>
      </w:r>
    </w:p>
    <w:p w:rsidR="007C3F44" w:rsidRDefault="007C3F44" w:rsidP="007C3F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Matching criteria widened as shown in Table 1 </w:t>
      </w:r>
    </w:p>
    <w:p w:rsidR="007C3F44" w:rsidRPr="00431C7B" w:rsidRDefault="007C3F44" w:rsidP="007C3F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431C7B">
        <w:rPr>
          <w:rFonts w:ascii="ArialMT" w:eastAsia="Times New Roman" w:hAnsi="ArialMT" w:cs="Times New Roman"/>
          <w:sz w:val="20"/>
          <w:szCs w:val="20"/>
        </w:rPr>
        <w:t xml:space="preserve">Where a </w:t>
      </w:r>
      <w:r>
        <w:rPr>
          <w:rFonts w:ascii="ArialMT" w:eastAsia="Times New Roman" w:hAnsi="ArialMT" w:cs="Times New Roman"/>
          <w:sz w:val="20"/>
          <w:szCs w:val="20"/>
        </w:rPr>
        <w:t>child</w:t>
      </w:r>
      <w:r w:rsidRPr="00431C7B">
        <w:rPr>
          <w:rFonts w:ascii="ArialMT" w:eastAsia="Times New Roman" w:hAnsi="ArialMT" w:cs="Times New Roman"/>
          <w:sz w:val="20"/>
          <w:szCs w:val="20"/>
        </w:rPr>
        <w:t xml:space="preserve">/parent </w:t>
      </w:r>
      <w:r>
        <w:rPr>
          <w:rFonts w:ascii="ArialMT" w:eastAsia="Times New Roman" w:hAnsi="ArialMT" w:cs="Times New Roman"/>
          <w:sz w:val="20"/>
          <w:szCs w:val="20"/>
        </w:rPr>
        <w:t>was</w:t>
      </w:r>
      <w:r w:rsidRPr="00431C7B">
        <w:rPr>
          <w:rFonts w:ascii="ArialMT" w:eastAsia="Times New Roman" w:hAnsi="ArialMT" w:cs="Times New Roman"/>
          <w:sz w:val="20"/>
          <w:szCs w:val="20"/>
        </w:rPr>
        <w:t xml:space="preserve"> consented but discharged from hospital earlier than their expected discharge dated, </w:t>
      </w:r>
      <w:r>
        <w:rPr>
          <w:rFonts w:ascii="ArialMT" w:eastAsia="Times New Roman" w:hAnsi="ArialMT" w:cs="Times New Roman"/>
          <w:sz w:val="20"/>
          <w:szCs w:val="20"/>
        </w:rPr>
        <w:t>the</w:t>
      </w:r>
      <w:r w:rsidRPr="00431C7B">
        <w:rPr>
          <w:rFonts w:ascii="ArialMT" w:eastAsia="Times New Roman" w:hAnsi="ArialMT" w:cs="Times New Roman"/>
          <w:sz w:val="20"/>
          <w:szCs w:val="20"/>
        </w:rPr>
        <w:t xml:space="preserve"> </w:t>
      </w:r>
      <w:r>
        <w:rPr>
          <w:rFonts w:ascii="ArialMT" w:eastAsia="Times New Roman" w:hAnsi="ArialMT" w:cs="Times New Roman"/>
          <w:sz w:val="20"/>
          <w:szCs w:val="20"/>
        </w:rPr>
        <w:t xml:space="preserve">child will be given the opportunity to carry out </w:t>
      </w:r>
      <w:r w:rsidRPr="00431C7B">
        <w:rPr>
          <w:rFonts w:ascii="ArialMT" w:eastAsia="Times New Roman" w:hAnsi="ArialMT" w:cs="Times New Roman"/>
          <w:sz w:val="20"/>
          <w:szCs w:val="20"/>
        </w:rPr>
        <w:t xml:space="preserve">data collection </w:t>
      </w:r>
      <w:r>
        <w:rPr>
          <w:rFonts w:ascii="ArialMT" w:eastAsia="Times New Roman" w:hAnsi="ArialMT" w:cs="Times New Roman"/>
          <w:sz w:val="20"/>
          <w:szCs w:val="20"/>
        </w:rPr>
        <w:t>at home</w:t>
      </w:r>
      <w:r w:rsidRPr="00431C7B">
        <w:rPr>
          <w:rFonts w:ascii="ArialMT" w:eastAsia="Times New Roman" w:hAnsi="ArialMT" w:cs="Times New Roman"/>
          <w:sz w:val="20"/>
          <w:szCs w:val="20"/>
        </w:rPr>
        <w:t xml:space="preserve"> within one week of discharge</w:t>
      </w:r>
      <w:r>
        <w:rPr>
          <w:rFonts w:ascii="ArialMT" w:eastAsia="Times New Roman" w:hAnsi="ArialMT" w:cs="Times New Roman"/>
          <w:sz w:val="20"/>
          <w:szCs w:val="20"/>
        </w:rPr>
        <w:t xml:space="preserve">, where the child is seen to have sufficient recall ability </w:t>
      </w:r>
    </w:p>
    <w:p w:rsidR="007C3F44" w:rsidRDefault="007C3F44" w:rsidP="007C3F4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/>
        </w:rPr>
      </w:pPr>
    </w:p>
    <w:p w:rsidR="007C3F44" w:rsidRPr="00C374DC" w:rsidRDefault="007C3F44" w:rsidP="007C3F4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Table 1: </w:t>
      </w:r>
      <w:r w:rsidRPr="00C374DC">
        <w:rPr>
          <w:rFonts w:ascii="Arial" w:hAnsi="Arial" w:cs="Arial"/>
          <w:b/>
          <w:sz w:val="20"/>
          <w:szCs w:val="20"/>
          <w:lang w:val="en-US"/>
        </w:rPr>
        <w:t xml:space="preserve">Original and revised matching criteria </w:t>
      </w:r>
    </w:p>
    <w:p w:rsidR="007C3F44" w:rsidRDefault="007C3F44" w:rsidP="007C3F4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1701"/>
        <w:gridCol w:w="4161"/>
      </w:tblGrid>
      <w:tr w:rsidR="007C3F44" w:rsidRPr="00375668" w:rsidTr="00545AD8">
        <w:tc>
          <w:tcPr>
            <w:tcW w:w="2552" w:type="dxa"/>
          </w:tcPr>
          <w:p w:rsidR="007C3F44" w:rsidRPr="00C374DC" w:rsidRDefault="007C3F44" w:rsidP="00545A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4DC">
              <w:rPr>
                <w:rFonts w:ascii="Arial" w:hAnsi="Arial" w:cs="Arial"/>
                <w:b/>
                <w:sz w:val="20"/>
                <w:szCs w:val="20"/>
              </w:rPr>
              <w:t xml:space="preserve">Domain </w:t>
            </w:r>
          </w:p>
        </w:tc>
        <w:tc>
          <w:tcPr>
            <w:tcW w:w="1701" w:type="dxa"/>
          </w:tcPr>
          <w:p w:rsidR="007C3F44" w:rsidRPr="00C374DC" w:rsidRDefault="007C3F44" w:rsidP="00545A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4DC">
              <w:rPr>
                <w:rFonts w:ascii="Arial" w:hAnsi="Arial" w:cs="Arial"/>
                <w:b/>
                <w:sz w:val="20"/>
                <w:szCs w:val="20"/>
              </w:rPr>
              <w:t>Original</w:t>
            </w:r>
          </w:p>
        </w:tc>
        <w:tc>
          <w:tcPr>
            <w:tcW w:w="4161" w:type="dxa"/>
          </w:tcPr>
          <w:p w:rsidR="007C3F44" w:rsidRPr="00C374DC" w:rsidRDefault="007C3F44" w:rsidP="00545A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4DC">
              <w:rPr>
                <w:rFonts w:ascii="Arial" w:hAnsi="Arial" w:cs="Arial"/>
                <w:b/>
                <w:sz w:val="20"/>
                <w:szCs w:val="20"/>
              </w:rPr>
              <w:t xml:space="preserve">Revised </w:t>
            </w:r>
          </w:p>
        </w:tc>
      </w:tr>
      <w:tr w:rsidR="007C3F44" w:rsidRPr="00375668" w:rsidTr="00545AD8">
        <w:tc>
          <w:tcPr>
            <w:tcW w:w="2552" w:type="dxa"/>
          </w:tcPr>
          <w:p w:rsidR="007C3F44" w:rsidRPr="00375668" w:rsidRDefault="007C3F44" w:rsidP="00545AD8">
            <w:pPr>
              <w:rPr>
                <w:rFonts w:ascii="Arial" w:hAnsi="Arial" w:cs="Arial"/>
                <w:sz w:val="20"/>
                <w:szCs w:val="20"/>
              </w:rPr>
            </w:pPr>
            <w:r w:rsidRPr="00375668">
              <w:rPr>
                <w:rFonts w:ascii="Arial" w:hAnsi="Arial" w:cs="Arial"/>
                <w:sz w:val="20"/>
                <w:szCs w:val="20"/>
              </w:rPr>
              <w:t xml:space="preserve">Age </w:t>
            </w:r>
          </w:p>
        </w:tc>
        <w:tc>
          <w:tcPr>
            <w:tcW w:w="1701" w:type="dxa"/>
          </w:tcPr>
          <w:p w:rsidR="007C3F44" w:rsidRPr="00375668" w:rsidRDefault="007C3F44" w:rsidP="00545AD8">
            <w:pPr>
              <w:rPr>
                <w:rFonts w:ascii="Arial" w:hAnsi="Arial" w:cs="Arial"/>
                <w:sz w:val="20"/>
                <w:szCs w:val="20"/>
              </w:rPr>
            </w:pPr>
            <w:r w:rsidRPr="00375668">
              <w:rPr>
                <w:rFonts w:ascii="Arial" w:hAnsi="Arial" w:cs="Arial"/>
                <w:sz w:val="20"/>
                <w:szCs w:val="20"/>
              </w:rPr>
              <w:t>Within 1 year</w:t>
            </w:r>
          </w:p>
        </w:tc>
        <w:tc>
          <w:tcPr>
            <w:tcW w:w="4161" w:type="dxa"/>
          </w:tcPr>
          <w:p w:rsidR="007C3F44" w:rsidRPr="00375668" w:rsidRDefault="007C3F44" w:rsidP="00545A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5-7 years, 8-11 years or 12-15 years</w:t>
            </w:r>
          </w:p>
        </w:tc>
      </w:tr>
      <w:tr w:rsidR="007C3F44" w:rsidRPr="00375668" w:rsidTr="00545AD8">
        <w:tc>
          <w:tcPr>
            <w:tcW w:w="2552" w:type="dxa"/>
          </w:tcPr>
          <w:p w:rsidR="007C3F44" w:rsidRPr="00375668" w:rsidRDefault="007C3F44" w:rsidP="00545AD8">
            <w:pPr>
              <w:rPr>
                <w:rFonts w:ascii="Arial" w:hAnsi="Arial" w:cs="Arial"/>
                <w:sz w:val="20"/>
                <w:szCs w:val="20"/>
              </w:rPr>
            </w:pPr>
            <w:r w:rsidRPr="00375668"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 w:rsidRPr="0037566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of </w:t>
            </w:r>
            <w:r w:rsidRPr="00375668">
              <w:rPr>
                <w:rFonts w:ascii="Arial" w:hAnsi="Arial" w:cs="Arial"/>
                <w:sz w:val="20"/>
                <w:szCs w:val="20"/>
              </w:rPr>
              <w:t xml:space="preserve">co-morbidities </w:t>
            </w:r>
          </w:p>
        </w:tc>
        <w:tc>
          <w:tcPr>
            <w:tcW w:w="1701" w:type="dxa"/>
          </w:tcPr>
          <w:p w:rsidR="007C3F44" w:rsidRPr="00C374DC" w:rsidRDefault="007C3F44" w:rsidP="0054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 1 or 2</w:t>
            </w:r>
          </w:p>
        </w:tc>
        <w:tc>
          <w:tcPr>
            <w:tcW w:w="4161" w:type="dxa"/>
          </w:tcPr>
          <w:p w:rsidR="007C3F44" w:rsidRPr="00375668" w:rsidRDefault="007C3F44" w:rsidP="0054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Within 3-4  </w:t>
            </w:r>
          </w:p>
        </w:tc>
      </w:tr>
      <w:tr w:rsidR="007C3F44" w:rsidRPr="00375668" w:rsidTr="00545AD8">
        <w:tc>
          <w:tcPr>
            <w:tcW w:w="2552" w:type="dxa"/>
          </w:tcPr>
          <w:p w:rsidR="007C3F44" w:rsidRPr="00375668" w:rsidRDefault="007C3F44" w:rsidP="00545AD8">
            <w:pPr>
              <w:rPr>
                <w:rFonts w:ascii="Arial" w:hAnsi="Arial" w:cs="Arial"/>
                <w:sz w:val="20"/>
                <w:szCs w:val="20"/>
              </w:rPr>
            </w:pPr>
            <w:r w:rsidRPr="00375668">
              <w:rPr>
                <w:rFonts w:ascii="Arial" w:hAnsi="Arial" w:cs="Arial"/>
                <w:sz w:val="20"/>
                <w:szCs w:val="20"/>
              </w:rPr>
              <w:t xml:space="preserve">Expected length of stay </w:t>
            </w:r>
          </w:p>
        </w:tc>
        <w:tc>
          <w:tcPr>
            <w:tcW w:w="1701" w:type="dxa"/>
          </w:tcPr>
          <w:p w:rsidR="007C3F44" w:rsidRPr="00C374DC" w:rsidRDefault="007C3F44" w:rsidP="00545AD8">
            <w:pPr>
              <w:rPr>
                <w:rFonts w:ascii="Arial" w:hAnsi="Arial" w:cs="Arial"/>
                <w:sz w:val="20"/>
                <w:szCs w:val="20"/>
              </w:rPr>
            </w:pPr>
            <w:r w:rsidRPr="00C374DC">
              <w:rPr>
                <w:rFonts w:ascii="Arial" w:hAnsi="Arial" w:cs="Arial"/>
                <w:sz w:val="20"/>
                <w:szCs w:val="20"/>
              </w:rPr>
              <w:t>Exact match</w:t>
            </w:r>
          </w:p>
        </w:tc>
        <w:tc>
          <w:tcPr>
            <w:tcW w:w="4161" w:type="dxa"/>
          </w:tcPr>
          <w:p w:rsidR="007C3F44" w:rsidRPr="00375668" w:rsidRDefault="007C3F44" w:rsidP="00545AD8">
            <w:pPr>
              <w:rPr>
                <w:rFonts w:ascii="Arial" w:hAnsi="Arial" w:cs="Arial"/>
                <w:sz w:val="20"/>
                <w:szCs w:val="20"/>
              </w:rPr>
            </w:pPr>
            <w:r w:rsidRPr="00375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Short: 1-2 nights; Medium: 3-7 nights; Long: 8 nights and over</w:t>
            </w:r>
          </w:p>
        </w:tc>
      </w:tr>
      <w:tr w:rsidR="007C3F44" w:rsidRPr="00375668" w:rsidTr="00545AD8">
        <w:tc>
          <w:tcPr>
            <w:tcW w:w="2552" w:type="dxa"/>
          </w:tcPr>
          <w:p w:rsidR="007C3F44" w:rsidRPr="00375668" w:rsidRDefault="007C3F44" w:rsidP="00545AD8">
            <w:pPr>
              <w:rPr>
                <w:rFonts w:ascii="Arial" w:hAnsi="Arial" w:cs="Arial"/>
                <w:sz w:val="20"/>
                <w:szCs w:val="20"/>
              </w:rPr>
            </w:pPr>
            <w:r w:rsidRPr="00375668">
              <w:rPr>
                <w:rFonts w:ascii="Arial" w:hAnsi="Arial" w:cs="Arial"/>
                <w:sz w:val="20"/>
                <w:szCs w:val="20"/>
              </w:rPr>
              <w:t>Reason for admission</w:t>
            </w:r>
          </w:p>
        </w:tc>
        <w:tc>
          <w:tcPr>
            <w:tcW w:w="1701" w:type="dxa"/>
          </w:tcPr>
          <w:p w:rsidR="007C3F44" w:rsidRPr="00C374DC" w:rsidRDefault="007C3F44" w:rsidP="00545AD8">
            <w:pPr>
              <w:rPr>
                <w:rFonts w:ascii="Arial" w:hAnsi="Arial" w:cs="Arial"/>
                <w:sz w:val="20"/>
                <w:szCs w:val="20"/>
              </w:rPr>
            </w:pPr>
            <w:r w:rsidRPr="00C374DC">
              <w:rPr>
                <w:rFonts w:ascii="Arial" w:hAnsi="Arial" w:cs="Arial"/>
                <w:sz w:val="20"/>
                <w:szCs w:val="20"/>
              </w:rPr>
              <w:t>Same specialty</w:t>
            </w:r>
          </w:p>
        </w:tc>
        <w:tc>
          <w:tcPr>
            <w:tcW w:w="4161" w:type="dxa"/>
          </w:tcPr>
          <w:p w:rsidR="007C3F44" w:rsidRPr="00375668" w:rsidRDefault="007C3F44" w:rsidP="00545AD8">
            <w:pPr>
              <w:rPr>
                <w:rFonts w:ascii="Arial" w:hAnsi="Arial" w:cs="Arial"/>
                <w:sz w:val="20"/>
                <w:szCs w:val="20"/>
              </w:rPr>
            </w:pPr>
            <w:r w:rsidRPr="00375668">
              <w:rPr>
                <w:rFonts w:ascii="Arial" w:hAnsi="Arial" w:cs="Arial"/>
                <w:sz w:val="20"/>
                <w:szCs w:val="20"/>
              </w:rPr>
              <w:t xml:space="preserve">Surgical, medical or tests </w:t>
            </w:r>
          </w:p>
        </w:tc>
      </w:tr>
    </w:tbl>
    <w:p w:rsidR="00F529E7" w:rsidRDefault="00F529E7">
      <w:bookmarkStart w:id="0" w:name="_GoBack"/>
      <w:bookmarkEnd w:id="0"/>
    </w:p>
    <w:sectPr w:rsidR="00F52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34E68"/>
    <w:multiLevelType w:val="hybridMultilevel"/>
    <w:tmpl w:val="F410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44"/>
    <w:rsid w:val="007C3F44"/>
    <w:rsid w:val="00972EFA"/>
    <w:rsid w:val="00E92F95"/>
    <w:rsid w:val="00F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2B1B"/>
  <w15:chartTrackingRefBased/>
  <w15:docId w15:val="{93373888-4AEF-4DD2-A23A-237B1B1D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oultok</dc:creator>
  <cp:keywords/>
  <dc:description/>
  <cp:lastModifiedBy>oultok</cp:lastModifiedBy>
  <cp:revision>3</cp:revision>
  <dcterms:created xsi:type="dcterms:W3CDTF">2020-10-20T08:55:00Z</dcterms:created>
  <dcterms:modified xsi:type="dcterms:W3CDTF">2020-11-02T19:16:00Z</dcterms:modified>
</cp:coreProperties>
</file>