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5548E" w14:textId="77777777" w:rsidR="00180BD3" w:rsidRPr="00080894" w:rsidRDefault="002D7551" w:rsidP="00180BD3">
      <w:pPr>
        <w:pStyle w:val="Caption"/>
        <w:rPr>
          <w:vertAlign w:val="superscript"/>
        </w:rPr>
      </w:pPr>
      <w:r>
        <w:t xml:space="preserve">Supplementary File 11: </w:t>
      </w:r>
      <w:r w:rsidR="00180BD3" w:rsidRPr="00180BD3">
        <w:t>Dissemination pathways representing who currently receives feedback from a national comparative audit of blood transfusion. (from Gould et al. 2018)</w:t>
      </w:r>
      <w:r w:rsidR="00180BD3" w:rsidRPr="00180BD3">
        <w:rPr>
          <w:vertAlign w:val="superscript"/>
        </w:rPr>
        <w:t>1</w:t>
      </w:r>
    </w:p>
    <w:p w14:paraId="58E9ACFE" w14:textId="77777777" w:rsidR="00180BD3" w:rsidRPr="00080894" w:rsidRDefault="00180BD3" w:rsidP="00180BD3"/>
    <w:p w14:paraId="179E6B36" w14:textId="77777777" w:rsidR="00180BD3" w:rsidRPr="002B613D" w:rsidRDefault="00180BD3" w:rsidP="00180BD3">
      <w:r w:rsidRPr="00080894">
        <w:t xml:space="preserve">  </w:t>
      </w:r>
      <w:r w:rsidRPr="000F095F">
        <w:rPr>
          <w:noProof/>
          <w:lang w:eastAsia="en-GB"/>
        </w:rPr>
        <w:drawing>
          <wp:inline distT="0" distB="0" distL="0" distR="0" wp14:anchorId="07D97B88" wp14:editId="3D64B951">
            <wp:extent cx="3275879" cy="19964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6634" cy="2045655"/>
                    </a:xfrm>
                    <a:prstGeom prst="rect">
                      <a:avLst/>
                    </a:prstGeom>
                    <a:noFill/>
                  </pic:spPr>
                </pic:pic>
              </a:graphicData>
            </a:graphic>
          </wp:inline>
        </w:drawing>
      </w:r>
      <w:r w:rsidRPr="002B613D">
        <w:t xml:space="preserve">     </w:t>
      </w:r>
      <w:r w:rsidRPr="000F095F">
        <w:rPr>
          <w:noProof/>
          <w:lang w:eastAsia="en-GB"/>
        </w:rPr>
        <w:drawing>
          <wp:inline distT="0" distB="0" distL="0" distR="0" wp14:anchorId="5C263902" wp14:editId="4165E0BC">
            <wp:extent cx="3147060" cy="18907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8725" cy="1909778"/>
                    </a:xfrm>
                    <a:prstGeom prst="rect">
                      <a:avLst/>
                    </a:prstGeom>
                    <a:noFill/>
                  </pic:spPr>
                </pic:pic>
              </a:graphicData>
            </a:graphic>
          </wp:inline>
        </w:drawing>
      </w:r>
    </w:p>
    <w:p w14:paraId="3383AF6A" w14:textId="77777777" w:rsidR="00180BD3" w:rsidRPr="002B613D" w:rsidRDefault="00180BD3" w:rsidP="00180BD3">
      <w:r w:rsidRPr="000F095F">
        <w:rPr>
          <w:noProof/>
          <w:lang w:eastAsia="en-GB"/>
        </w:rPr>
        <w:drawing>
          <wp:inline distT="0" distB="0" distL="0" distR="0" wp14:anchorId="7C6B726C" wp14:editId="4111892D">
            <wp:extent cx="3253740" cy="179248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5045" cy="1809730"/>
                    </a:xfrm>
                    <a:prstGeom prst="rect">
                      <a:avLst/>
                    </a:prstGeom>
                    <a:noFill/>
                  </pic:spPr>
                </pic:pic>
              </a:graphicData>
            </a:graphic>
          </wp:inline>
        </w:drawing>
      </w:r>
      <w:r w:rsidRPr="002B613D">
        <w:t xml:space="preserve">  </w:t>
      </w:r>
      <w:r w:rsidRPr="00441E20">
        <w:t xml:space="preserve">   </w:t>
      </w:r>
      <w:r w:rsidRPr="000F095F">
        <w:rPr>
          <w:noProof/>
          <w:lang w:eastAsia="en-GB"/>
        </w:rPr>
        <w:drawing>
          <wp:inline distT="0" distB="0" distL="0" distR="0" wp14:anchorId="58C86B92" wp14:editId="1BD3B348">
            <wp:extent cx="3223260" cy="193962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995" cy="1971361"/>
                    </a:xfrm>
                    <a:prstGeom prst="rect">
                      <a:avLst/>
                    </a:prstGeom>
                    <a:noFill/>
                  </pic:spPr>
                </pic:pic>
              </a:graphicData>
            </a:graphic>
          </wp:inline>
        </w:drawing>
      </w:r>
    </w:p>
    <w:p w14:paraId="5DED4335" w14:textId="77777777" w:rsidR="00180BD3" w:rsidRPr="00080894" w:rsidRDefault="00180BD3" w:rsidP="00180BD3">
      <w:pPr>
        <w:spacing w:line="240" w:lineRule="auto"/>
        <w:rPr>
          <w:rFonts w:ascii="Times New Roman" w:hAnsi="Times New Roman" w:cs="Times New Roman"/>
        </w:rPr>
      </w:pPr>
      <w:r w:rsidRPr="00441E20">
        <w:rPr>
          <w:rFonts w:ascii="Times New Roman" w:hAnsi="Times New Roman" w:cs="Times New Roman"/>
          <w:u w:val="single"/>
        </w:rPr>
        <w:t xml:space="preserve">Note. </w:t>
      </w:r>
      <w:r w:rsidRPr="00080894">
        <w:rPr>
          <w:rFonts w:ascii="Times New Roman" w:hAnsi="Times New Roman" w:cs="Times New Roman"/>
        </w:rPr>
        <w:t>A&amp;E = Accident &amp; Emergency</w:t>
      </w:r>
      <w:r w:rsidRPr="00080894">
        <w:rPr>
          <w:rFonts w:ascii="Times New Roman" w:hAnsi="Times New Roman" w:cs="Times New Roman"/>
          <w:u w:val="single"/>
        </w:rPr>
        <w:t xml:space="preserve">; </w:t>
      </w:r>
      <w:r w:rsidRPr="00080894">
        <w:rPr>
          <w:rFonts w:ascii="Times New Roman" w:hAnsi="Times New Roman" w:cs="Times New Roman"/>
        </w:rPr>
        <w:t>HTC = Hospital Transfusion Committee; ICU=Intensive Care Unit; NCA=National Comparative Audit; NHS=National Health Service; TP=Transfusion Practitioner</w:t>
      </w:r>
    </w:p>
    <w:p w14:paraId="72382FF4" w14:textId="77777777" w:rsidR="00180BD3" w:rsidRPr="00080894" w:rsidRDefault="00180BD3" w:rsidP="00180BD3"/>
    <w:p w14:paraId="70948C76" w14:textId="77777777" w:rsidR="00180BD3" w:rsidRPr="00080894" w:rsidRDefault="00180BD3" w:rsidP="00180BD3">
      <w:pPr>
        <w:rPr>
          <w:color w:val="222222"/>
          <w:sz w:val="20"/>
          <w:szCs w:val="20"/>
          <w:shd w:val="clear" w:color="auto" w:fill="FFFFFF"/>
        </w:rPr>
        <w:sectPr w:rsidR="00180BD3" w:rsidRPr="00080894" w:rsidSect="00BD544A">
          <w:pgSz w:w="16838" w:h="11906" w:orient="landscape"/>
          <w:pgMar w:top="1440" w:right="1440" w:bottom="1440" w:left="1440" w:header="708" w:footer="708" w:gutter="0"/>
          <w:cols w:space="708"/>
          <w:docGrid w:linePitch="360"/>
        </w:sectPr>
      </w:pPr>
      <w:r w:rsidRPr="00080894">
        <w:rPr>
          <w:vertAlign w:val="superscript"/>
        </w:rPr>
        <w:lastRenderedPageBreak/>
        <w:t>1</w:t>
      </w:r>
      <w:r w:rsidRPr="00080894">
        <w:rPr>
          <w:color w:val="222222"/>
          <w:sz w:val="20"/>
          <w:szCs w:val="20"/>
          <w:shd w:val="clear" w:color="auto" w:fill="FFFFFF"/>
        </w:rPr>
        <w:t>Gould NJ, Lorencatto F, During C, Rowley M, Glidewell L, Walwyn R, Michie S, Foy R, Stanworth SJ, Grimshaw JM, Francis JJ. How do hospitals respond to feedback about blood transfusion practice? A multiple case study investigation. PloS one. 2018 Nov 1;13(11):e0206676.</w:t>
      </w:r>
    </w:p>
    <w:p w14:paraId="0DDD8F92" w14:textId="77777777" w:rsidR="005B0D14" w:rsidRPr="002A237B" w:rsidRDefault="005B0D14" w:rsidP="002A237B"/>
    <w:sectPr w:rsidR="005B0D14" w:rsidRPr="002A237B" w:rsidSect="00180B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D3"/>
    <w:rsid w:val="000A395C"/>
    <w:rsid w:val="00180BD3"/>
    <w:rsid w:val="001C2F45"/>
    <w:rsid w:val="002258FE"/>
    <w:rsid w:val="0024759E"/>
    <w:rsid w:val="00273123"/>
    <w:rsid w:val="002A237B"/>
    <w:rsid w:val="002D7551"/>
    <w:rsid w:val="00330467"/>
    <w:rsid w:val="003400F1"/>
    <w:rsid w:val="003D0373"/>
    <w:rsid w:val="00416AA0"/>
    <w:rsid w:val="004B3814"/>
    <w:rsid w:val="0056264E"/>
    <w:rsid w:val="005B0D14"/>
    <w:rsid w:val="005C161B"/>
    <w:rsid w:val="006422C8"/>
    <w:rsid w:val="006F163E"/>
    <w:rsid w:val="00873D7B"/>
    <w:rsid w:val="00880119"/>
    <w:rsid w:val="00890E90"/>
    <w:rsid w:val="0091059B"/>
    <w:rsid w:val="00930117"/>
    <w:rsid w:val="00A36CF5"/>
    <w:rsid w:val="00AD1B4C"/>
    <w:rsid w:val="00AD3173"/>
    <w:rsid w:val="00B23E4E"/>
    <w:rsid w:val="00B3772F"/>
    <w:rsid w:val="00B47923"/>
    <w:rsid w:val="00B73992"/>
    <w:rsid w:val="00B7564E"/>
    <w:rsid w:val="00BF7C01"/>
    <w:rsid w:val="00C43089"/>
    <w:rsid w:val="00CA19CD"/>
    <w:rsid w:val="00D00D33"/>
    <w:rsid w:val="00D516EC"/>
    <w:rsid w:val="00E057DF"/>
    <w:rsid w:val="00E209F2"/>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B479"/>
  <w15:chartTrackingRefBased/>
  <w15:docId w15:val="{5FC5B2EE-2370-4562-A5F4-829F0F5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BD3"/>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Mairi Hull</cp:lastModifiedBy>
  <cp:revision>2</cp:revision>
  <dcterms:created xsi:type="dcterms:W3CDTF">2021-06-29T13:49:00Z</dcterms:created>
  <dcterms:modified xsi:type="dcterms:W3CDTF">2021-06-29T13:49:00Z</dcterms:modified>
</cp:coreProperties>
</file>