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14" w:rsidRDefault="002A0D8C" w:rsidP="002A237B">
      <w:pPr>
        <w:rPr>
          <w:b/>
        </w:rPr>
      </w:pPr>
      <w:r>
        <w:rPr>
          <w:b/>
        </w:rPr>
        <w:t>Supplementary File 12: WS1B Themes from interviews with healthcare professionals</w:t>
      </w:r>
      <w:r w:rsidR="00C57324" w:rsidRPr="00C57324">
        <w:t xml:space="preserve"> </w:t>
      </w:r>
      <w:proofErr w:type="spellStart"/>
      <w:r w:rsidR="00C57324" w:rsidRPr="00C57324">
        <w:rPr>
          <w:b/>
        </w:rPr>
        <w:t>professionals</w:t>
      </w:r>
      <w:proofErr w:type="spellEnd"/>
      <w:r w:rsidR="00C57324" w:rsidRPr="00C57324">
        <w:rPr>
          <w:b/>
        </w:rPr>
        <w:t xml:space="preserve"> from four case study hospitals regarding barriers and enablers to responding to feedback and implementing change in light of feedback (Table 3 from Gould et al. 2018).</w:t>
      </w:r>
      <w:r w:rsidR="00C57324" w:rsidRPr="00C57324">
        <w:rPr>
          <w:b/>
          <w:vertAlign w:val="superscript"/>
        </w:rPr>
        <w:t>1</w:t>
      </w:r>
      <w:r w:rsidR="00C57324" w:rsidRPr="00C57324">
        <w:rPr>
          <w:b/>
        </w:rPr>
        <w:t xml:space="preserve"> Presented according to corresponding domains from the Theoretical Domains Framework.</w:t>
      </w:r>
      <w:r w:rsidR="00C57324" w:rsidRPr="00C57324">
        <w:rPr>
          <w:b/>
          <w:vertAlign w:val="superscript"/>
        </w:rPr>
        <w:t>2</w:t>
      </w:r>
    </w:p>
    <w:p w:rsidR="002A0D8C" w:rsidRPr="00BD544A" w:rsidRDefault="002A0D8C" w:rsidP="002A0D8C">
      <w:pPr>
        <w:pStyle w:val="Caption"/>
        <w:rPr>
          <w:vertAlign w:val="superscript"/>
        </w:rPr>
      </w:pPr>
      <w:bookmarkStart w:id="0" w:name="_GoBack"/>
      <w:bookmarkEnd w:id="0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806"/>
        <w:gridCol w:w="1191"/>
        <w:gridCol w:w="1191"/>
        <w:gridCol w:w="1191"/>
        <w:gridCol w:w="1191"/>
        <w:gridCol w:w="1191"/>
        <w:gridCol w:w="2187"/>
      </w:tblGrid>
      <w:tr w:rsidR="002A0D8C" w:rsidRPr="003451E6" w:rsidTr="00C60019">
        <w:trPr>
          <w:trHeight w:val="254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 w:rsidRPr="003451E6">
              <w:rPr>
                <w:rFonts w:ascii="Calibri" w:hAnsi="Calibri"/>
                <w:b/>
                <w:sz w:val="20"/>
                <w:szCs w:val="21"/>
              </w:rPr>
              <w:t>Theme</w:t>
            </w:r>
          </w:p>
        </w:tc>
        <w:tc>
          <w:tcPr>
            <w:tcW w:w="2135" w:type="pct"/>
            <w:gridSpan w:val="5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Frequency of participants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Theoretical Domain</w:t>
            </w:r>
          </w:p>
        </w:tc>
      </w:tr>
      <w:tr w:rsidR="002A0D8C" w:rsidRPr="003451E6" w:rsidTr="00C60019">
        <w:trPr>
          <w:trHeight w:val="274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b/>
                <w:sz w:val="20"/>
                <w:szCs w:val="21"/>
              </w:rPr>
            </w:pP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Case 1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(n=7)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Case 2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(n=6)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Case 3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(n=7)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Case 4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(n=5)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Total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b/>
                <w:sz w:val="20"/>
                <w:szCs w:val="21"/>
              </w:rPr>
              <w:t>(n=25)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b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Feedback is (not) shared and discussed with the relevant staff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 xml:space="preserve">7*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(2+/5=)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 xml:space="preserve">6*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(3+/1-/2=)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 xml:space="preserve">7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(2+/5=)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 xml:space="preserve">5*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(2+/3=)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 xml:space="preserve">25 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(9+/1-/15=)</w:t>
            </w:r>
          </w:p>
        </w:tc>
        <w:tc>
          <w:tcPr>
            <w:tcW w:w="784" w:type="pct"/>
            <w:vMerge w:val="restar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Social influences</w:t>
            </w:r>
          </w:p>
        </w:tc>
      </w:tr>
      <w:tr w:rsidR="002A0D8C" w:rsidRPr="003451E6" w:rsidTr="00C60019">
        <w:trPr>
          <w:trHeight w:val="333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Feedback should come from someone whom staff know or respect, to influence change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5*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18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I (do not) have influence over practice change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 xml:space="preserve">7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(3+/1-/3=)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 xml:space="preserve">6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(+)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 xml:space="preserve">7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(6+/1-)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 xml:space="preserve">4 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(+)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24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(19+/2-/3=)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510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Comparing our performance against national performance is (not) useful for identifying areas for improvement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(3-/3=)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6*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(1+/2-/3=)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7*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(4+/1-/2=)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4*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(3+/1=)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23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(8+/6-/9=)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260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We have to amend the feedback to make it relevant to our hospital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4*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19</w:t>
            </w:r>
          </w:p>
        </w:tc>
        <w:tc>
          <w:tcPr>
            <w:tcW w:w="784" w:type="pct"/>
            <w:vMerge w:val="restar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Behavioural regulation</w:t>
            </w:r>
          </w:p>
        </w:tc>
      </w:tr>
      <w:tr w:rsidR="002A0D8C" w:rsidRPr="003451E6" w:rsidTr="00C60019">
        <w:trPr>
          <w:trHeight w:val="333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lastRenderedPageBreak/>
              <w:t>We try to monitor practice by re-auditing, re-feeding back and following up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7*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22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We (do not) set goals or make action plans as a team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6*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(3+/1-/2=)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(4+/2=)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(3+/1-/2=)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4*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(+)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22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(14+/2-/6=)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Support materials could be useful for some staff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7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24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We need or use strategies to remind staff of actions and recommendations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20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It is clear who is responsible for audit and feedback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22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Social/professional role &amp; identity</w:t>
            </w: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sz w:val="20"/>
                <w:szCs w:val="21"/>
              </w:rPr>
              <w:t>Staff (do not) know about NCA audits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7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(4+/3-)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(2+/3-)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7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(6+/1-)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(4+/1-)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24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(16+/8</w:t>
            </w:r>
            <w:proofErr w:type="gramStart"/>
            <w:r w:rsidRPr="00A2300C">
              <w:rPr>
                <w:rFonts w:ascii="Calibri" w:hAnsi="Calibri" w:cs="Times New Roman"/>
                <w:sz w:val="20"/>
                <w:szCs w:val="21"/>
              </w:rPr>
              <w:t>-)</w:t>
            </w:r>
            <w:proofErr w:type="gramEnd"/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Knowledge</w:t>
            </w:r>
          </w:p>
        </w:tc>
      </w:tr>
      <w:tr w:rsidR="002A0D8C" w:rsidRPr="003451E6" w:rsidTr="00C60019">
        <w:trPr>
          <w:trHeight w:val="261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Other demands take priority over responding to audit and feedback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7*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23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Motivation &amp; goals</w:t>
            </w: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We require sufficient staff to conduct audits and/or respond to feedback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6*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5*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22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Environmental context &amp; resources</w:t>
            </w:r>
          </w:p>
        </w:tc>
      </w:tr>
      <w:tr w:rsidR="002A0D8C" w:rsidRPr="003451E6" w:rsidTr="00C60019">
        <w:trPr>
          <w:trHeight w:val="165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lastRenderedPageBreak/>
              <w:t>Audit and feedback does (not) influence practice change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(5+/1-)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6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(4+/2-)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7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(4+/3=)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(2+/1-/1=)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23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(15+/4-/4=)</w:t>
            </w:r>
          </w:p>
        </w:tc>
        <w:tc>
          <w:tcPr>
            <w:tcW w:w="784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Beliefs about consequences</w:t>
            </w: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I (do not) remember feedback materials</w:t>
            </w:r>
            <w:r w:rsidRPr="00BF4AF6">
              <w:rPr>
                <w:rFonts w:cs="Times New Roman"/>
                <w:sz w:val="18"/>
                <w:szCs w:val="17"/>
                <w:vertAlign w:val="superscript"/>
              </w:rPr>
              <w:t xml:space="preserve"> a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(3-/2=)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(3+/1-)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5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(3+/2=)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4</w:t>
            </w:r>
          </w:p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(2+/2=)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18</w:t>
            </w:r>
          </w:p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 w:cs="Times New Roman"/>
                <w:sz w:val="20"/>
                <w:szCs w:val="21"/>
              </w:rPr>
            </w:pPr>
            <w:r w:rsidRPr="00A2300C">
              <w:rPr>
                <w:rFonts w:ascii="Calibri" w:hAnsi="Calibri" w:cs="Times New Roman"/>
                <w:sz w:val="20"/>
                <w:szCs w:val="21"/>
              </w:rPr>
              <w:t>(8+/4-/6=)</w:t>
            </w:r>
          </w:p>
        </w:tc>
        <w:tc>
          <w:tcPr>
            <w:tcW w:w="784" w:type="pct"/>
            <w:vMerge w:val="restar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 w:cs="Times New Roman"/>
                <w:sz w:val="20"/>
                <w:szCs w:val="21"/>
              </w:rPr>
              <w:t>Memory, attention &amp; decision processes</w:t>
            </w:r>
          </w:p>
        </w:tc>
      </w:tr>
      <w:tr w:rsidR="002A0D8C" w:rsidRPr="003451E6" w:rsidTr="00C60019">
        <w:trPr>
          <w:trHeight w:val="319"/>
        </w:trPr>
        <w:tc>
          <w:tcPr>
            <w:tcW w:w="2081" w:type="pct"/>
          </w:tcPr>
          <w:p w:rsidR="002A0D8C" w:rsidRPr="003451E6" w:rsidRDefault="002A0D8C" w:rsidP="00C60019">
            <w:pPr>
              <w:spacing w:line="480" w:lineRule="auto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I notice only information that is new, ‘leaps out’ as different or is clinically relevant to me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6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7</w:t>
            </w:r>
          </w:p>
        </w:tc>
        <w:tc>
          <w:tcPr>
            <w:tcW w:w="427" w:type="pct"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3451E6">
              <w:rPr>
                <w:rFonts w:ascii="Calibri" w:hAnsi="Calibri"/>
                <w:color w:val="000000"/>
                <w:sz w:val="20"/>
                <w:szCs w:val="21"/>
              </w:rPr>
              <w:t>3</w:t>
            </w:r>
          </w:p>
        </w:tc>
        <w:tc>
          <w:tcPr>
            <w:tcW w:w="427" w:type="pct"/>
          </w:tcPr>
          <w:p w:rsidR="002A0D8C" w:rsidRPr="00A2300C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  <w:r w:rsidRPr="00A2300C">
              <w:rPr>
                <w:rFonts w:ascii="Calibri" w:hAnsi="Calibri"/>
                <w:color w:val="000000"/>
                <w:sz w:val="20"/>
                <w:szCs w:val="21"/>
              </w:rPr>
              <w:t>22</w:t>
            </w:r>
          </w:p>
        </w:tc>
        <w:tc>
          <w:tcPr>
            <w:tcW w:w="784" w:type="pct"/>
            <w:vMerge/>
          </w:tcPr>
          <w:p w:rsidR="002A0D8C" w:rsidRPr="003451E6" w:rsidRDefault="002A0D8C" w:rsidP="00C60019">
            <w:pPr>
              <w:spacing w:line="480" w:lineRule="auto"/>
              <w:jc w:val="center"/>
              <w:rPr>
                <w:rFonts w:ascii="Calibri" w:hAnsi="Calibri"/>
                <w:color w:val="000000"/>
                <w:sz w:val="20"/>
                <w:szCs w:val="21"/>
              </w:rPr>
            </w:pPr>
          </w:p>
        </w:tc>
      </w:tr>
    </w:tbl>
    <w:p w:rsidR="002A0D8C" w:rsidRDefault="002A0D8C" w:rsidP="002A0D8C">
      <w:pPr>
        <w:spacing w:line="480" w:lineRule="auto"/>
        <w:rPr>
          <w:sz w:val="18"/>
          <w:szCs w:val="17"/>
        </w:rPr>
      </w:pPr>
      <w:proofErr w:type="gramStart"/>
      <w:r w:rsidRPr="00BF4AF6">
        <w:rPr>
          <w:rFonts w:cs="Times New Roman"/>
          <w:sz w:val="18"/>
          <w:szCs w:val="17"/>
          <w:vertAlign w:val="superscript"/>
        </w:rPr>
        <w:t>a</w:t>
      </w:r>
      <w:proofErr w:type="gramEnd"/>
      <w:r>
        <w:rPr>
          <w:rFonts w:cs="Times New Roman"/>
          <w:sz w:val="18"/>
          <w:szCs w:val="17"/>
        </w:rPr>
        <w:t xml:space="preserve"> </w:t>
      </w:r>
      <w:r w:rsidRPr="00A2300C">
        <w:rPr>
          <w:rFonts w:cs="Times New Roman"/>
          <w:sz w:val="18"/>
          <w:szCs w:val="17"/>
        </w:rPr>
        <w:t xml:space="preserve">(‘not’ or ‘do not’) </w:t>
      </w:r>
      <w:r w:rsidRPr="00A2300C">
        <w:rPr>
          <w:sz w:val="18"/>
          <w:szCs w:val="17"/>
        </w:rPr>
        <w:t>indicates participants expressed differing views in the same theme: positive (+), negative (-), both positive and negative (=); * denotes expressed importance by one or more participant</w:t>
      </w:r>
    </w:p>
    <w:p w:rsidR="002A0D8C" w:rsidRDefault="002A0D8C" w:rsidP="002A0D8C">
      <w:pPr>
        <w:spacing w:line="480" w:lineRule="auto"/>
        <w:rPr>
          <w:sz w:val="18"/>
          <w:szCs w:val="17"/>
        </w:rPr>
      </w:pPr>
    </w:p>
    <w:p w:rsidR="002A0D8C" w:rsidRDefault="002A0D8C" w:rsidP="002A0D8C">
      <w:r>
        <w:rPr>
          <w:sz w:val="18"/>
          <w:szCs w:val="17"/>
          <w:vertAlign w:val="superscript"/>
        </w:rPr>
        <w:t>1</w:t>
      </w:r>
      <w:r>
        <w:rPr>
          <w:color w:val="222222"/>
          <w:sz w:val="20"/>
          <w:szCs w:val="20"/>
          <w:shd w:val="clear" w:color="auto" w:fill="FFFFFF"/>
        </w:rPr>
        <w:t xml:space="preserve">Gould NJ, Lorencatto F, During C, Rowley M, Glidewell L, Walwyn R, </w:t>
      </w:r>
      <w:proofErr w:type="spellStart"/>
      <w:r>
        <w:rPr>
          <w:color w:val="222222"/>
          <w:sz w:val="20"/>
          <w:szCs w:val="20"/>
          <w:shd w:val="clear" w:color="auto" w:fill="FFFFFF"/>
        </w:rPr>
        <w:t>Michie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S, Foy R, Stanworth SJ, Grimshaw JM, Francis JJ. How do hospitals respond to feedback about blood transfusion practice? A multiple case study investigation. </w:t>
      </w:r>
      <w:proofErr w:type="spellStart"/>
      <w:r>
        <w:rPr>
          <w:color w:val="222222"/>
          <w:sz w:val="20"/>
          <w:szCs w:val="20"/>
          <w:shd w:val="clear" w:color="auto" w:fill="FFFFFF"/>
        </w:rPr>
        <w:t>PloS</w:t>
      </w:r>
      <w:proofErr w:type="spellEnd"/>
      <w:r>
        <w:rPr>
          <w:color w:val="222222"/>
          <w:sz w:val="20"/>
          <w:szCs w:val="20"/>
          <w:shd w:val="clear" w:color="auto" w:fill="FFFFFF"/>
        </w:rPr>
        <w:t xml:space="preserve"> one. 2018 Nov 1</w:t>
      </w:r>
      <w:proofErr w:type="gramStart"/>
      <w:r>
        <w:rPr>
          <w:color w:val="222222"/>
          <w:sz w:val="20"/>
          <w:szCs w:val="20"/>
          <w:shd w:val="clear" w:color="auto" w:fill="FFFFFF"/>
        </w:rPr>
        <w:t>;13</w:t>
      </w:r>
      <w:proofErr w:type="gramEnd"/>
      <w:r>
        <w:rPr>
          <w:color w:val="222222"/>
          <w:sz w:val="20"/>
          <w:szCs w:val="20"/>
          <w:shd w:val="clear" w:color="auto" w:fill="FFFFFF"/>
        </w:rPr>
        <w:t>(11):e0206676.</w:t>
      </w:r>
    </w:p>
    <w:p w:rsidR="002A0D8C" w:rsidRDefault="002A0D8C" w:rsidP="002A0D8C">
      <w:pPr>
        <w:spacing w:line="480" w:lineRule="auto"/>
        <w:rPr>
          <w:sz w:val="18"/>
          <w:szCs w:val="17"/>
          <w:vertAlign w:val="superscript"/>
        </w:rPr>
      </w:pPr>
    </w:p>
    <w:p w:rsidR="002A0D8C" w:rsidRPr="002A0D8C" w:rsidRDefault="002A0D8C" w:rsidP="002A0D8C">
      <w:pPr>
        <w:rPr>
          <w:b/>
        </w:rPr>
      </w:pPr>
      <w:r>
        <w:rPr>
          <w:sz w:val="18"/>
          <w:szCs w:val="17"/>
          <w:vertAlign w:val="superscript"/>
        </w:rPr>
        <w:t>2</w:t>
      </w:r>
      <w:r>
        <w:rPr>
          <w:color w:val="222222"/>
          <w:sz w:val="20"/>
          <w:szCs w:val="20"/>
          <w:shd w:val="clear" w:color="auto" w:fill="FFFFFF"/>
        </w:rPr>
        <w:t>Michie S, Johnston M, Abraham C, Lawton R, Parker D, Walker A. Making psychological theory useful for implementing evidence based practice: a consensus approach. BMJ Quality &amp; Safety. 2005 Feb 1</w:t>
      </w:r>
      <w:proofErr w:type="gramStart"/>
      <w:r>
        <w:rPr>
          <w:color w:val="222222"/>
          <w:sz w:val="20"/>
          <w:szCs w:val="20"/>
          <w:shd w:val="clear" w:color="auto" w:fill="FFFFFF"/>
        </w:rPr>
        <w:t>;14</w:t>
      </w:r>
      <w:proofErr w:type="gramEnd"/>
      <w:r>
        <w:rPr>
          <w:color w:val="222222"/>
          <w:sz w:val="20"/>
          <w:szCs w:val="20"/>
          <w:shd w:val="clear" w:color="auto" w:fill="FFFFFF"/>
        </w:rPr>
        <w:t>(1):26-33</w:t>
      </w:r>
    </w:p>
    <w:sectPr w:rsidR="002A0D8C" w:rsidRPr="002A0D8C" w:rsidSect="002A0D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C"/>
    <w:rsid w:val="000A395C"/>
    <w:rsid w:val="001C2F45"/>
    <w:rsid w:val="002258FE"/>
    <w:rsid w:val="0024759E"/>
    <w:rsid w:val="00273123"/>
    <w:rsid w:val="002A0D8C"/>
    <w:rsid w:val="002A237B"/>
    <w:rsid w:val="00330467"/>
    <w:rsid w:val="003400F1"/>
    <w:rsid w:val="003D0373"/>
    <w:rsid w:val="00416AA0"/>
    <w:rsid w:val="0056264E"/>
    <w:rsid w:val="005B0D14"/>
    <w:rsid w:val="005C161B"/>
    <w:rsid w:val="006422C8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47923"/>
    <w:rsid w:val="00B73992"/>
    <w:rsid w:val="00B7564E"/>
    <w:rsid w:val="00BF7C01"/>
    <w:rsid w:val="00C43089"/>
    <w:rsid w:val="00C57324"/>
    <w:rsid w:val="00CA19CD"/>
    <w:rsid w:val="00D00D33"/>
    <w:rsid w:val="00D516EC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FE99"/>
  <w15:chartTrackingRefBased/>
  <w15:docId w15:val="{1B49737C-3D01-49F2-B382-ACF4BBE4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A0D8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A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Moreau</dc:creator>
  <cp:keywords/>
  <dc:description/>
  <cp:lastModifiedBy>Lauren Moreau</cp:lastModifiedBy>
  <cp:revision>2</cp:revision>
  <dcterms:created xsi:type="dcterms:W3CDTF">2020-01-13T13:42:00Z</dcterms:created>
  <dcterms:modified xsi:type="dcterms:W3CDTF">2020-01-13T13:45:00Z</dcterms:modified>
</cp:coreProperties>
</file>