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3E8FB" w14:textId="77777777" w:rsidR="00727AAD" w:rsidRDefault="00934191" w:rsidP="00727AAD">
      <w:pPr>
        <w:pStyle w:val="Caption"/>
      </w:pPr>
      <w:bookmarkStart w:id="0" w:name="_Toc28949011"/>
      <w:r>
        <w:t>Supplementary File 26</w:t>
      </w:r>
      <w:r w:rsidR="00727AAD">
        <w:t>: Themes related to contextual influences across all interventions/trial arms in Trial 1</w:t>
      </w:r>
      <w:bookmarkEnd w:id="0"/>
    </w:p>
    <w:tbl>
      <w:tblPr>
        <w:tblStyle w:val="TableGrid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01"/>
        <w:gridCol w:w="3137"/>
        <w:gridCol w:w="6513"/>
        <w:gridCol w:w="1607"/>
      </w:tblGrid>
      <w:tr w:rsidR="00727AAD" w:rsidRPr="00CF1BEC" w14:paraId="2670E66B" w14:textId="77777777" w:rsidTr="00C60019">
        <w:trPr>
          <w:trHeight w:val="277"/>
        </w:trPr>
        <w:tc>
          <w:tcPr>
            <w:tcW w:w="0" w:type="auto"/>
          </w:tcPr>
          <w:p w14:paraId="29CDD0DB" w14:textId="77777777" w:rsidR="00727AAD" w:rsidRPr="00CF1BEC" w:rsidRDefault="00727AAD" w:rsidP="00C60019">
            <w:pPr>
              <w:rPr>
                <w:rFonts w:ascii="Times New Roman" w:hAnsi="Times New Roman" w:cs="Times New Roman"/>
                <w:b/>
                <w:color w:val="000000" w:themeColor="text1"/>
              </w:rPr>
            </w:pPr>
            <w:r w:rsidRPr="00CF1BEC">
              <w:rPr>
                <w:rFonts w:ascii="Times New Roman" w:hAnsi="Times New Roman" w:cs="Times New Roman"/>
                <w:b/>
                <w:color w:val="000000" w:themeColor="text1"/>
              </w:rPr>
              <w:t>Theme</w:t>
            </w:r>
          </w:p>
        </w:tc>
        <w:tc>
          <w:tcPr>
            <w:tcW w:w="0" w:type="auto"/>
          </w:tcPr>
          <w:p w14:paraId="57D23C12" w14:textId="77777777" w:rsidR="00727AAD" w:rsidRPr="00CF1BEC" w:rsidRDefault="00727AAD" w:rsidP="00C60019">
            <w:pPr>
              <w:rPr>
                <w:rFonts w:ascii="Times New Roman" w:hAnsi="Times New Roman" w:cs="Times New Roman"/>
                <w:b/>
                <w:color w:val="000000" w:themeColor="text1"/>
              </w:rPr>
            </w:pPr>
            <w:r w:rsidRPr="00CF1BEC">
              <w:rPr>
                <w:rFonts w:ascii="Times New Roman" w:hAnsi="Times New Roman" w:cs="Times New Roman"/>
                <w:b/>
                <w:color w:val="000000" w:themeColor="text1"/>
              </w:rPr>
              <w:t>Sub-theme</w:t>
            </w:r>
          </w:p>
        </w:tc>
        <w:tc>
          <w:tcPr>
            <w:tcW w:w="0" w:type="auto"/>
          </w:tcPr>
          <w:p w14:paraId="37576890" w14:textId="77777777" w:rsidR="00727AAD" w:rsidRPr="00CF1BEC" w:rsidRDefault="00727AAD" w:rsidP="00C60019">
            <w:pPr>
              <w:rPr>
                <w:rFonts w:ascii="Times New Roman" w:hAnsi="Times New Roman" w:cs="Times New Roman"/>
                <w:b/>
                <w:color w:val="000000" w:themeColor="text1"/>
              </w:rPr>
            </w:pPr>
            <w:r w:rsidRPr="00CF1BEC">
              <w:rPr>
                <w:rFonts w:ascii="Times New Roman" w:hAnsi="Times New Roman" w:cs="Times New Roman"/>
                <w:b/>
                <w:color w:val="000000" w:themeColor="text1"/>
              </w:rPr>
              <w:t>Quote</w:t>
            </w:r>
          </w:p>
        </w:tc>
        <w:tc>
          <w:tcPr>
            <w:tcW w:w="0" w:type="auto"/>
          </w:tcPr>
          <w:p w14:paraId="2F5336FA" w14:textId="77777777" w:rsidR="00727AAD" w:rsidRPr="00CF1BEC" w:rsidRDefault="00727AAD" w:rsidP="00C60019">
            <w:pPr>
              <w:rPr>
                <w:rFonts w:ascii="Times New Roman" w:hAnsi="Times New Roman" w:cs="Times New Roman"/>
                <w:b/>
                <w:color w:val="000000" w:themeColor="text1"/>
              </w:rPr>
            </w:pPr>
            <w:r w:rsidRPr="00CF1BEC">
              <w:rPr>
                <w:rFonts w:ascii="Times New Roman" w:hAnsi="Times New Roman" w:cs="Times New Roman"/>
                <w:b/>
                <w:color w:val="000000" w:themeColor="text1"/>
              </w:rPr>
              <w:t xml:space="preserve">Source </w:t>
            </w:r>
          </w:p>
        </w:tc>
      </w:tr>
      <w:tr w:rsidR="00727AAD" w:rsidRPr="00CF1BEC" w14:paraId="671A43C0" w14:textId="77777777" w:rsidTr="00C60019">
        <w:trPr>
          <w:trHeight w:val="714"/>
        </w:trPr>
        <w:tc>
          <w:tcPr>
            <w:tcW w:w="0" w:type="auto"/>
            <w:vMerge w:val="restart"/>
          </w:tcPr>
          <w:p w14:paraId="5444694B" w14:textId="77777777" w:rsidR="00727AAD" w:rsidRPr="00CF1BEC" w:rsidRDefault="00727AAD" w:rsidP="00C60019">
            <w:pPr>
              <w:rPr>
                <w:rFonts w:ascii="Times New Roman" w:hAnsi="Times New Roman" w:cs="Times New Roman"/>
                <w:b/>
                <w:color w:val="000000" w:themeColor="text1"/>
              </w:rPr>
            </w:pPr>
            <w:r w:rsidRPr="00CF1BEC">
              <w:rPr>
                <w:rFonts w:ascii="Times New Roman" w:hAnsi="Times New Roman" w:cs="Times New Roman"/>
                <w:b/>
                <w:color w:val="000000" w:themeColor="text1"/>
              </w:rPr>
              <w:t>Perceived appropriateness of the audit standards</w:t>
            </w:r>
          </w:p>
        </w:tc>
        <w:tc>
          <w:tcPr>
            <w:tcW w:w="0" w:type="auto"/>
          </w:tcPr>
          <w:p w14:paraId="5F883497"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Some audits standards and recommendations oversimplify the clinical context of blood transfusions</w:t>
            </w:r>
          </w:p>
        </w:tc>
        <w:tc>
          <w:tcPr>
            <w:tcW w:w="0" w:type="auto"/>
          </w:tcPr>
          <w:p w14:paraId="0756769A" w14:textId="77777777" w:rsidR="00727AAD" w:rsidRPr="00CF1BEC" w:rsidRDefault="00727AAD" w:rsidP="00C60019">
            <w:pPr>
              <w:rPr>
                <w:rFonts w:ascii="Times New Roman" w:hAnsi="Times New Roman" w:cs="Times New Roman"/>
                <w:i/>
                <w:color w:val="000000" w:themeColor="text1"/>
              </w:rPr>
            </w:pPr>
            <w:r w:rsidRPr="00CF1BEC">
              <w:rPr>
                <w:rFonts w:ascii="Times New Roman" w:hAnsi="Times New Roman" w:cs="Times New Roman"/>
                <w:i/>
                <w:color w:val="000000" w:themeColor="text1"/>
              </w:rPr>
              <w:t xml:space="preserve">“I think one of the problems is that the audits and the recommendations are looked at very generically… it doesn’t always necessarily reflect what’s happening in practice. “ </w:t>
            </w:r>
          </w:p>
        </w:tc>
        <w:tc>
          <w:tcPr>
            <w:tcW w:w="0" w:type="auto"/>
          </w:tcPr>
          <w:p w14:paraId="1B109B15"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 xml:space="preserve">Transfusion practitioner </w:t>
            </w:r>
          </w:p>
        </w:tc>
      </w:tr>
      <w:tr w:rsidR="00727AAD" w:rsidRPr="00CF1BEC" w14:paraId="5B570E21" w14:textId="77777777" w:rsidTr="00C60019">
        <w:trPr>
          <w:trHeight w:val="714"/>
        </w:trPr>
        <w:tc>
          <w:tcPr>
            <w:tcW w:w="0" w:type="auto"/>
            <w:vMerge/>
          </w:tcPr>
          <w:p w14:paraId="75A615C2" w14:textId="77777777" w:rsidR="00727AAD" w:rsidRPr="00CF1BEC" w:rsidRDefault="00727AAD" w:rsidP="00C60019">
            <w:pPr>
              <w:rPr>
                <w:rFonts w:ascii="Times New Roman" w:hAnsi="Times New Roman" w:cs="Times New Roman"/>
                <w:b/>
                <w:color w:val="000000" w:themeColor="text1"/>
              </w:rPr>
            </w:pPr>
          </w:p>
        </w:tc>
        <w:tc>
          <w:tcPr>
            <w:tcW w:w="0" w:type="auto"/>
          </w:tcPr>
          <w:p w14:paraId="7F9D9AB9"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 xml:space="preserve">No evidence underpinning specific audit standards. </w:t>
            </w:r>
          </w:p>
        </w:tc>
        <w:tc>
          <w:tcPr>
            <w:tcW w:w="0" w:type="auto"/>
          </w:tcPr>
          <w:p w14:paraId="5C45B719" w14:textId="77777777" w:rsidR="00727AAD" w:rsidRPr="00CF1BEC" w:rsidRDefault="00727AAD" w:rsidP="00C60019">
            <w:pPr>
              <w:rPr>
                <w:rFonts w:ascii="Times New Roman" w:hAnsi="Times New Roman" w:cs="Times New Roman"/>
                <w:i/>
                <w:color w:val="000000" w:themeColor="text1"/>
              </w:rPr>
            </w:pPr>
            <w:r w:rsidRPr="00CF1BEC">
              <w:rPr>
                <w:rFonts w:ascii="Times New Roman" w:hAnsi="Times New Roman" w:cs="Times New Roman"/>
                <w:i/>
                <w:color w:val="000000" w:themeColor="text1"/>
              </w:rPr>
              <w:t>“The pre-transfusion haemoglobin should be less than 70 if they don’t have additional risk factors”.  I have searched high and low and asked people and I’ve been in meetings and there isn’t any research or evidence to back this up… I don’t agree with this at all.”</w:t>
            </w:r>
          </w:p>
        </w:tc>
        <w:tc>
          <w:tcPr>
            <w:tcW w:w="0" w:type="auto"/>
          </w:tcPr>
          <w:p w14:paraId="798E18B7"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 xml:space="preserve">Non-transfusion practitioner </w:t>
            </w:r>
          </w:p>
        </w:tc>
      </w:tr>
      <w:tr w:rsidR="00727AAD" w:rsidRPr="00CF1BEC" w14:paraId="36F072EB" w14:textId="77777777" w:rsidTr="00C60019">
        <w:trPr>
          <w:trHeight w:val="714"/>
        </w:trPr>
        <w:tc>
          <w:tcPr>
            <w:tcW w:w="0" w:type="auto"/>
            <w:vMerge w:val="restart"/>
          </w:tcPr>
          <w:p w14:paraId="35C5E653" w14:textId="77777777" w:rsidR="00727AAD" w:rsidRPr="00CF1BEC" w:rsidRDefault="00727AAD" w:rsidP="00C60019">
            <w:pPr>
              <w:rPr>
                <w:rFonts w:ascii="Times New Roman" w:hAnsi="Times New Roman" w:cs="Times New Roman"/>
                <w:b/>
                <w:color w:val="000000" w:themeColor="text1"/>
              </w:rPr>
            </w:pPr>
            <w:r w:rsidRPr="00CF1BEC">
              <w:rPr>
                <w:rFonts w:ascii="Times New Roman" w:hAnsi="Times New Roman" w:cs="Times New Roman"/>
                <w:b/>
                <w:color w:val="000000" w:themeColor="text1"/>
              </w:rPr>
              <w:t>Perceived credibility of the audit data</w:t>
            </w:r>
          </w:p>
        </w:tc>
        <w:tc>
          <w:tcPr>
            <w:tcW w:w="0" w:type="auto"/>
          </w:tcPr>
          <w:p w14:paraId="0421CBEF"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Inappropriate sampling of audit cases</w:t>
            </w:r>
          </w:p>
        </w:tc>
        <w:tc>
          <w:tcPr>
            <w:tcW w:w="0" w:type="auto"/>
          </w:tcPr>
          <w:p w14:paraId="1F9931C5" w14:textId="77777777" w:rsidR="00727AAD" w:rsidRPr="00CF1BEC" w:rsidRDefault="00727AAD" w:rsidP="00C60019">
            <w:pPr>
              <w:rPr>
                <w:rFonts w:ascii="Times New Roman" w:hAnsi="Times New Roman" w:cs="Times New Roman"/>
                <w:i/>
                <w:color w:val="000000" w:themeColor="text1"/>
              </w:rPr>
            </w:pPr>
            <w:r w:rsidRPr="00CF1BEC">
              <w:rPr>
                <w:rFonts w:ascii="Times New Roman" w:hAnsi="Times New Roman" w:cs="Times New Roman"/>
                <w:i/>
              </w:rPr>
              <w:t>“You’ve mixed fractured neck of femur. It’s nothing to do with elective surgery… There is a fundamental design flaw, it’s not comparing like for like. You’re lumping two very different things… it was a fundamental mistake and it renders the audit…not a very useful audit because of it.”</w:t>
            </w:r>
          </w:p>
        </w:tc>
        <w:tc>
          <w:tcPr>
            <w:tcW w:w="0" w:type="auto"/>
          </w:tcPr>
          <w:p w14:paraId="531710E8"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Transfusion practitioner</w:t>
            </w:r>
          </w:p>
        </w:tc>
      </w:tr>
      <w:tr w:rsidR="00727AAD" w:rsidRPr="00CF1BEC" w14:paraId="1C7365B8" w14:textId="77777777" w:rsidTr="00C60019">
        <w:trPr>
          <w:trHeight w:val="714"/>
        </w:trPr>
        <w:tc>
          <w:tcPr>
            <w:tcW w:w="0" w:type="auto"/>
            <w:vMerge/>
          </w:tcPr>
          <w:p w14:paraId="417564A8" w14:textId="77777777" w:rsidR="00727AAD" w:rsidRPr="00CF1BEC" w:rsidRDefault="00727AAD" w:rsidP="00C60019">
            <w:pPr>
              <w:rPr>
                <w:rFonts w:ascii="Times New Roman" w:hAnsi="Times New Roman" w:cs="Times New Roman"/>
                <w:b/>
                <w:color w:val="000000" w:themeColor="text1"/>
              </w:rPr>
            </w:pPr>
          </w:p>
        </w:tc>
        <w:tc>
          <w:tcPr>
            <w:tcW w:w="0" w:type="auto"/>
          </w:tcPr>
          <w:p w14:paraId="4FA35F37"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Insufficient sampling of audit cases</w:t>
            </w:r>
          </w:p>
        </w:tc>
        <w:tc>
          <w:tcPr>
            <w:tcW w:w="0" w:type="auto"/>
          </w:tcPr>
          <w:p w14:paraId="4988A72F" w14:textId="77777777" w:rsidR="00727AAD" w:rsidRPr="00CF1BEC" w:rsidRDefault="00727AAD" w:rsidP="00C60019">
            <w:pPr>
              <w:rPr>
                <w:rFonts w:ascii="Times New Roman" w:hAnsi="Times New Roman" w:cs="Times New Roman"/>
                <w:i/>
                <w:color w:val="000000" w:themeColor="text1"/>
              </w:rPr>
            </w:pPr>
            <w:r w:rsidRPr="00CF1BEC">
              <w:rPr>
                <w:rFonts w:ascii="Times New Roman" w:hAnsi="Times New Roman" w:cs="Times New Roman"/>
                <w:i/>
                <w:color w:val="000000" w:themeColor="text1"/>
              </w:rPr>
              <w:t>“I think we only had about four patients… when you’re only providing data for four patients, and one of your answers is no that shows up as a 25% non-compliant.”</w:t>
            </w:r>
          </w:p>
        </w:tc>
        <w:tc>
          <w:tcPr>
            <w:tcW w:w="0" w:type="auto"/>
          </w:tcPr>
          <w:p w14:paraId="1A8286A0"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Transfusion practitioner</w:t>
            </w:r>
          </w:p>
        </w:tc>
      </w:tr>
      <w:tr w:rsidR="00727AAD" w:rsidRPr="00CF1BEC" w14:paraId="76062317" w14:textId="77777777" w:rsidTr="00C60019">
        <w:trPr>
          <w:trHeight w:val="714"/>
        </w:trPr>
        <w:tc>
          <w:tcPr>
            <w:tcW w:w="0" w:type="auto"/>
            <w:vMerge/>
          </w:tcPr>
          <w:p w14:paraId="12120329" w14:textId="77777777" w:rsidR="00727AAD" w:rsidRPr="00CF1BEC" w:rsidRDefault="00727AAD" w:rsidP="00C60019">
            <w:pPr>
              <w:rPr>
                <w:rFonts w:ascii="Times New Roman" w:hAnsi="Times New Roman" w:cs="Times New Roman"/>
                <w:b/>
                <w:color w:val="000000" w:themeColor="text1"/>
              </w:rPr>
            </w:pPr>
          </w:p>
        </w:tc>
        <w:tc>
          <w:tcPr>
            <w:tcW w:w="0" w:type="auto"/>
          </w:tcPr>
          <w:p w14:paraId="58100207"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Feedback was only accurate as the data that was inputted</w:t>
            </w:r>
          </w:p>
        </w:tc>
        <w:tc>
          <w:tcPr>
            <w:tcW w:w="0" w:type="auto"/>
          </w:tcPr>
          <w:p w14:paraId="792AA0FA" w14:textId="77777777" w:rsidR="00727AAD" w:rsidRPr="00CF1BEC" w:rsidRDefault="00727AAD" w:rsidP="00C60019">
            <w:pPr>
              <w:rPr>
                <w:rFonts w:ascii="Times New Roman" w:hAnsi="Times New Roman" w:cs="Times New Roman"/>
                <w:i/>
                <w:color w:val="000000" w:themeColor="text1"/>
              </w:rPr>
            </w:pPr>
            <w:r w:rsidRPr="00CF1BEC">
              <w:rPr>
                <w:rFonts w:ascii="Times New Roman" w:hAnsi="Times New Roman" w:cs="Times New Roman"/>
                <w:i/>
                <w:color w:val="000000" w:themeColor="text1"/>
              </w:rPr>
              <w:t>“55 patients [were] added online only 17 had completed data, [and] 38 didn’t…yet they were still put forward as part of our sample, which would mean the information [feedback] could be inaccurate or incomplete.”</w:t>
            </w:r>
          </w:p>
        </w:tc>
        <w:tc>
          <w:tcPr>
            <w:tcW w:w="0" w:type="auto"/>
          </w:tcPr>
          <w:p w14:paraId="736EA03C"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Transfusion practitioner</w:t>
            </w:r>
          </w:p>
        </w:tc>
      </w:tr>
      <w:tr w:rsidR="00727AAD" w:rsidRPr="00CF1BEC" w14:paraId="4824A84A" w14:textId="77777777" w:rsidTr="00C60019">
        <w:trPr>
          <w:trHeight w:val="714"/>
        </w:trPr>
        <w:tc>
          <w:tcPr>
            <w:tcW w:w="0" w:type="auto"/>
            <w:vMerge w:val="restart"/>
          </w:tcPr>
          <w:p w14:paraId="647D2EF3" w14:textId="77777777" w:rsidR="00727AAD" w:rsidRPr="00CF1BEC" w:rsidRDefault="00727AAD" w:rsidP="00C60019">
            <w:pPr>
              <w:rPr>
                <w:rFonts w:ascii="Times New Roman" w:hAnsi="Times New Roman" w:cs="Times New Roman"/>
                <w:b/>
                <w:color w:val="000000" w:themeColor="text1"/>
              </w:rPr>
            </w:pPr>
            <w:r w:rsidRPr="00CF1BEC">
              <w:rPr>
                <w:rFonts w:ascii="Times New Roman" w:hAnsi="Times New Roman" w:cs="Times New Roman"/>
                <w:b/>
                <w:color w:val="000000" w:themeColor="text1"/>
              </w:rPr>
              <w:t xml:space="preserve">Concern with the feedback </w:t>
            </w:r>
          </w:p>
        </w:tc>
        <w:tc>
          <w:tcPr>
            <w:tcW w:w="0" w:type="auto"/>
          </w:tcPr>
          <w:p w14:paraId="317F1B63"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 xml:space="preserve">Scepticism around how performance against audit standards was calculated </w:t>
            </w:r>
          </w:p>
        </w:tc>
        <w:tc>
          <w:tcPr>
            <w:tcW w:w="0" w:type="auto"/>
          </w:tcPr>
          <w:p w14:paraId="744A6926" w14:textId="77777777" w:rsidR="00727AAD" w:rsidRPr="00CF1BEC" w:rsidRDefault="00727AAD" w:rsidP="00C60019">
            <w:pPr>
              <w:rPr>
                <w:rFonts w:ascii="Times New Roman" w:hAnsi="Times New Roman" w:cs="Times New Roman"/>
                <w:i/>
                <w:color w:val="000000" w:themeColor="text1"/>
              </w:rPr>
            </w:pPr>
            <w:r w:rsidRPr="00CF1BEC">
              <w:rPr>
                <w:rFonts w:ascii="Times New Roman" w:hAnsi="Times New Roman" w:cs="Times New Roman"/>
                <w:i/>
                <w:color w:val="000000" w:themeColor="text1"/>
              </w:rPr>
              <w:t xml:space="preserve">“There were some discrepancies in terms of the feedback… If we think about the omission of warfarin, coumarins or heparins, dabigatran, NOACs in the peri-operative period, then the two metrics for that both show that the Trust stopped them entirely appropriately 100% of the time.  There was a combined metric </w:t>
            </w:r>
            <w:r w:rsidRPr="00CF1BEC">
              <w:rPr>
                <w:rFonts w:ascii="Times New Roman" w:hAnsi="Times New Roman" w:cs="Times New Roman"/>
                <w:i/>
                <w:color w:val="000000" w:themeColor="text1"/>
              </w:rPr>
              <w:lastRenderedPageBreak/>
              <w:t>involving those two numbers which called the Trust at 77% but there was no explanation of why the Trust had been downgraded. I think this statistical anomaly casts doubt on the integrity of the rest of the data.”</w:t>
            </w:r>
          </w:p>
        </w:tc>
        <w:tc>
          <w:tcPr>
            <w:tcW w:w="0" w:type="auto"/>
          </w:tcPr>
          <w:p w14:paraId="65B0BBE2"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lastRenderedPageBreak/>
              <w:t>Non-transfusion practitioner</w:t>
            </w:r>
          </w:p>
        </w:tc>
      </w:tr>
      <w:tr w:rsidR="00727AAD" w:rsidRPr="00CF1BEC" w14:paraId="45C43BE7" w14:textId="77777777" w:rsidTr="00C60019">
        <w:trPr>
          <w:trHeight w:val="714"/>
        </w:trPr>
        <w:tc>
          <w:tcPr>
            <w:tcW w:w="0" w:type="auto"/>
            <w:vMerge/>
          </w:tcPr>
          <w:p w14:paraId="4158FAE5" w14:textId="77777777" w:rsidR="00727AAD" w:rsidRPr="00CF1BEC" w:rsidRDefault="00727AAD" w:rsidP="00C60019">
            <w:pPr>
              <w:rPr>
                <w:rFonts w:ascii="Times New Roman" w:hAnsi="Times New Roman" w:cs="Times New Roman"/>
                <w:b/>
                <w:color w:val="000000" w:themeColor="text1"/>
              </w:rPr>
            </w:pPr>
          </w:p>
        </w:tc>
        <w:tc>
          <w:tcPr>
            <w:tcW w:w="0" w:type="auto"/>
          </w:tcPr>
          <w:p w14:paraId="0D9DFF22"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The audit and feedback did not acknowledge good practice</w:t>
            </w:r>
          </w:p>
        </w:tc>
        <w:tc>
          <w:tcPr>
            <w:tcW w:w="0" w:type="auto"/>
          </w:tcPr>
          <w:p w14:paraId="015169F6" w14:textId="77777777" w:rsidR="00727AAD" w:rsidRPr="00CF1BEC" w:rsidRDefault="00727AAD" w:rsidP="00C60019">
            <w:pPr>
              <w:rPr>
                <w:rFonts w:ascii="Times New Roman" w:hAnsi="Times New Roman" w:cs="Times New Roman"/>
                <w:i/>
                <w:color w:val="000000" w:themeColor="text1"/>
              </w:rPr>
            </w:pPr>
            <w:r w:rsidRPr="00CF1BEC">
              <w:rPr>
                <w:rFonts w:ascii="Times New Roman" w:hAnsi="Times New Roman" w:cs="Times New Roman"/>
                <w:i/>
                <w:color w:val="000000" w:themeColor="text1"/>
              </w:rPr>
              <w:t>During that 3 month period we had 601 patients who met the criteria for the operation, so we had 601 patients who had that type of surgery, 55 of them needed a transfusion. What this audit didn’t cover is all the 546 patients who didn’t have a transfusion, it wasn’t worked out… they might’ve been managed very well indeed and we have excellent processes… but we wouldn’t know that because the audit didn’t cover that.</w:t>
            </w:r>
          </w:p>
          <w:p w14:paraId="2B5AB518" w14:textId="77777777" w:rsidR="00727AAD" w:rsidRPr="00CF1BEC" w:rsidRDefault="00727AAD" w:rsidP="00C60019">
            <w:pPr>
              <w:rPr>
                <w:rFonts w:ascii="Times New Roman" w:hAnsi="Times New Roman" w:cs="Times New Roman"/>
                <w:i/>
                <w:color w:val="000000" w:themeColor="text1"/>
              </w:rPr>
            </w:pPr>
          </w:p>
          <w:p w14:paraId="51E2326F" w14:textId="77777777" w:rsidR="00727AAD" w:rsidRPr="00CF1BEC" w:rsidRDefault="00727AAD" w:rsidP="00C60019">
            <w:pPr>
              <w:rPr>
                <w:rFonts w:ascii="Times New Roman" w:hAnsi="Times New Roman" w:cs="Times New Roman"/>
                <w:i/>
                <w:color w:val="000000" w:themeColor="text1"/>
              </w:rPr>
            </w:pPr>
            <w:r w:rsidRPr="00CF1BEC">
              <w:rPr>
                <w:rFonts w:ascii="Times New Roman" w:hAnsi="Times New Roman" w:cs="Times New Roman"/>
                <w:i/>
                <w:color w:val="000000" w:themeColor="text1"/>
              </w:rPr>
              <w:t>“But the problem is it’s biased towards transfusion so if you have good practice where you’re not transfusing patients those patients don’t make it into the data.”</w:t>
            </w:r>
          </w:p>
          <w:p w14:paraId="6DB5B40F" w14:textId="77777777" w:rsidR="00727AAD" w:rsidRPr="00CF1BEC" w:rsidRDefault="00727AAD" w:rsidP="00C60019">
            <w:pPr>
              <w:rPr>
                <w:rFonts w:ascii="Times New Roman" w:hAnsi="Times New Roman" w:cs="Times New Roman"/>
                <w:i/>
                <w:color w:val="000000" w:themeColor="text1"/>
              </w:rPr>
            </w:pPr>
          </w:p>
        </w:tc>
        <w:tc>
          <w:tcPr>
            <w:tcW w:w="0" w:type="auto"/>
          </w:tcPr>
          <w:p w14:paraId="6EC9A2FA"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 xml:space="preserve">Transfusion practitioner </w:t>
            </w:r>
          </w:p>
          <w:p w14:paraId="487E30A7" w14:textId="77777777" w:rsidR="00727AAD" w:rsidRPr="00CF1BEC" w:rsidRDefault="00727AAD" w:rsidP="00C60019">
            <w:pPr>
              <w:rPr>
                <w:rFonts w:ascii="Times New Roman" w:hAnsi="Times New Roman" w:cs="Times New Roman"/>
                <w:color w:val="000000" w:themeColor="text1"/>
              </w:rPr>
            </w:pPr>
          </w:p>
          <w:p w14:paraId="2C1D5CCC" w14:textId="77777777" w:rsidR="00727AAD" w:rsidRPr="00CF1BEC" w:rsidRDefault="00727AAD" w:rsidP="00C60019">
            <w:pPr>
              <w:rPr>
                <w:rFonts w:ascii="Times New Roman" w:hAnsi="Times New Roman" w:cs="Times New Roman"/>
                <w:color w:val="000000" w:themeColor="text1"/>
              </w:rPr>
            </w:pPr>
          </w:p>
          <w:p w14:paraId="7D7DC7AF" w14:textId="77777777" w:rsidR="00727AAD" w:rsidRPr="00CF1BEC" w:rsidRDefault="00727AAD" w:rsidP="00C60019">
            <w:pPr>
              <w:rPr>
                <w:rFonts w:ascii="Times New Roman" w:hAnsi="Times New Roman" w:cs="Times New Roman"/>
                <w:color w:val="000000" w:themeColor="text1"/>
              </w:rPr>
            </w:pPr>
          </w:p>
          <w:p w14:paraId="5D629303" w14:textId="77777777" w:rsidR="00727AAD" w:rsidRPr="00CF1BEC" w:rsidRDefault="00727AAD" w:rsidP="00C60019">
            <w:pPr>
              <w:rPr>
                <w:rFonts w:ascii="Times New Roman" w:hAnsi="Times New Roman" w:cs="Times New Roman"/>
                <w:color w:val="000000" w:themeColor="text1"/>
              </w:rPr>
            </w:pPr>
          </w:p>
          <w:p w14:paraId="29AEBF78" w14:textId="77777777" w:rsidR="00727AAD" w:rsidRPr="00CF1BEC" w:rsidRDefault="00727AAD" w:rsidP="00C60019">
            <w:pPr>
              <w:rPr>
                <w:rFonts w:ascii="Times New Roman" w:hAnsi="Times New Roman" w:cs="Times New Roman"/>
                <w:color w:val="000000" w:themeColor="text1"/>
              </w:rPr>
            </w:pPr>
          </w:p>
          <w:p w14:paraId="2FF42F38"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Transfusion practitioner</w:t>
            </w:r>
          </w:p>
        </w:tc>
      </w:tr>
      <w:tr w:rsidR="00727AAD" w:rsidRPr="00CF1BEC" w14:paraId="564C6C45" w14:textId="77777777" w:rsidTr="00C60019">
        <w:trPr>
          <w:trHeight w:val="1051"/>
        </w:trPr>
        <w:tc>
          <w:tcPr>
            <w:tcW w:w="0" w:type="auto"/>
            <w:vMerge w:val="restart"/>
          </w:tcPr>
          <w:p w14:paraId="143AEE7A" w14:textId="77777777" w:rsidR="00727AAD" w:rsidRPr="00CF1BEC" w:rsidRDefault="00727AAD" w:rsidP="00C60019">
            <w:pPr>
              <w:rPr>
                <w:rFonts w:ascii="Times New Roman" w:hAnsi="Times New Roman" w:cs="Times New Roman"/>
                <w:b/>
                <w:color w:val="000000" w:themeColor="text1"/>
              </w:rPr>
            </w:pPr>
            <w:r w:rsidRPr="00CF1BEC">
              <w:rPr>
                <w:rFonts w:ascii="Times New Roman" w:hAnsi="Times New Roman" w:cs="Times New Roman"/>
                <w:b/>
                <w:color w:val="000000" w:themeColor="text1"/>
              </w:rPr>
              <w:t>External influences promoting changes to patient blood management</w:t>
            </w:r>
          </w:p>
        </w:tc>
        <w:tc>
          <w:tcPr>
            <w:tcW w:w="0" w:type="auto"/>
          </w:tcPr>
          <w:p w14:paraId="33DB84D4"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NICE is driving the changes to transfusion practice</w:t>
            </w:r>
          </w:p>
        </w:tc>
        <w:tc>
          <w:tcPr>
            <w:tcW w:w="0" w:type="auto"/>
          </w:tcPr>
          <w:p w14:paraId="07838FF0" w14:textId="77777777" w:rsidR="00727AAD" w:rsidRPr="00CF1BEC" w:rsidRDefault="00727AAD" w:rsidP="00C60019">
            <w:pPr>
              <w:rPr>
                <w:rFonts w:ascii="Times New Roman" w:hAnsi="Times New Roman" w:cs="Times New Roman"/>
                <w:i/>
                <w:color w:val="000000" w:themeColor="text1"/>
              </w:rPr>
            </w:pPr>
            <w:r w:rsidRPr="00CF1BEC">
              <w:rPr>
                <w:rFonts w:ascii="Times New Roman" w:hAnsi="Times New Roman" w:cs="Times New Roman"/>
                <w:i/>
                <w:color w:val="000000" w:themeColor="text1"/>
              </w:rPr>
              <w:t>“The momentum of change in relation to this audit is higher than previous audits but it’s not as a result of the audit, it was a result of the new NICE guidelines.”</w:t>
            </w:r>
          </w:p>
          <w:p w14:paraId="5D359246" w14:textId="77777777" w:rsidR="00727AAD" w:rsidRPr="00CF1BEC" w:rsidRDefault="00727AAD" w:rsidP="00C60019">
            <w:pPr>
              <w:rPr>
                <w:rFonts w:ascii="Times New Roman" w:hAnsi="Times New Roman" w:cs="Times New Roman"/>
                <w:i/>
                <w:color w:val="000000" w:themeColor="text1"/>
              </w:rPr>
            </w:pPr>
          </w:p>
        </w:tc>
        <w:tc>
          <w:tcPr>
            <w:tcW w:w="0" w:type="auto"/>
          </w:tcPr>
          <w:p w14:paraId="6B396816"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 xml:space="preserve">Non-transfusion practitioner </w:t>
            </w:r>
          </w:p>
          <w:p w14:paraId="145AF9F9" w14:textId="77777777" w:rsidR="00727AAD" w:rsidRPr="00CF1BEC" w:rsidRDefault="00727AAD" w:rsidP="00C60019">
            <w:pPr>
              <w:rPr>
                <w:rFonts w:ascii="Times New Roman" w:hAnsi="Times New Roman" w:cs="Times New Roman"/>
                <w:color w:val="000000" w:themeColor="text1"/>
              </w:rPr>
            </w:pPr>
          </w:p>
          <w:p w14:paraId="0134812E" w14:textId="77777777" w:rsidR="00727AAD" w:rsidRPr="00CF1BEC" w:rsidRDefault="00727AAD" w:rsidP="00C60019">
            <w:pPr>
              <w:rPr>
                <w:rFonts w:ascii="Times New Roman" w:hAnsi="Times New Roman" w:cs="Times New Roman"/>
                <w:color w:val="000000" w:themeColor="text1"/>
              </w:rPr>
            </w:pPr>
          </w:p>
        </w:tc>
      </w:tr>
      <w:tr w:rsidR="00727AAD" w:rsidRPr="00CF1BEC" w14:paraId="0FE6879A" w14:textId="77777777" w:rsidTr="00C60019">
        <w:trPr>
          <w:trHeight w:val="1051"/>
        </w:trPr>
        <w:tc>
          <w:tcPr>
            <w:tcW w:w="0" w:type="auto"/>
            <w:vMerge/>
          </w:tcPr>
          <w:p w14:paraId="4CE27380" w14:textId="77777777" w:rsidR="00727AAD" w:rsidRPr="00CF1BEC" w:rsidRDefault="00727AAD" w:rsidP="00C60019">
            <w:pPr>
              <w:rPr>
                <w:rFonts w:ascii="Times New Roman" w:hAnsi="Times New Roman" w:cs="Times New Roman"/>
                <w:b/>
                <w:color w:val="000000" w:themeColor="text1"/>
              </w:rPr>
            </w:pPr>
          </w:p>
        </w:tc>
        <w:tc>
          <w:tcPr>
            <w:tcW w:w="0" w:type="auto"/>
          </w:tcPr>
          <w:p w14:paraId="2675D20A"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NCA feedback was further ammunition to facilitate changes to transfusion practice alongside NICE</w:t>
            </w:r>
          </w:p>
        </w:tc>
        <w:tc>
          <w:tcPr>
            <w:tcW w:w="0" w:type="auto"/>
          </w:tcPr>
          <w:p w14:paraId="110789A0" w14:textId="77777777" w:rsidR="00727AAD" w:rsidRPr="00CF1BEC" w:rsidRDefault="00727AAD" w:rsidP="00C60019">
            <w:pPr>
              <w:rPr>
                <w:rFonts w:ascii="Times New Roman" w:hAnsi="Times New Roman" w:cs="Times New Roman"/>
                <w:i/>
                <w:color w:val="000000" w:themeColor="text1"/>
              </w:rPr>
            </w:pPr>
            <w:r w:rsidRPr="00CF1BEC">
              <w:rPr>
                <w:rFonts w:ascii="Times New Roman" w:hAnsi="Times New Roman" w:cs="Times New Roman"/>
                <w:i/>
                <w:color w:val="000000" w:themeColor="text1"/>
              </w:rPr>
              <w:t>I don’t think the direct feedback was useful for us, but it allowed us to prioritise our response in terms of the NICE guideline.</w:t>
            </w:r>
          </w:p>
        </w:tc>
        <w:tc>
          <w:tcPr>
            <w:tcW w:w="0" w:type="auto"/>
          </w:tcPr>
          <w:p w14:paraId="6937773E"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Non-transfusion practitioner</w:t>
            </w:r>
          </w:p>
        </w:tc>
      </w:tr>
      <w:tr w:rsidR="00727AAD" w:rsidRPr="00CF1BEC" w14:paraId="1062E2DE" w14:textId="77777777" w:rsidTr="00C60019">
        <w:trPr>
          <w:trHeight w:val="1051"/>
        </w:trPr>
        <w:tc>
          <w:tcPr>
            <w:tcW w:w="0" w:type="auto"/>
            <w:vMerge/>
          </w:tcPr>
          <w:p w14:paraId="19ECDF03" w14:textId="77777777" w:rsidR="00727AAD" w:rsidRPr="00CF1BEC" w:rsidRDefault="00727AAD" w:rsidP="00C60019">
            <w:pPr>
              <w:rPr>
                <w:rFonts w:ascii="Times New Roman" w:hAnsi="Times New Roman" w:cs="Times New Roman"/>
                <w:b/>
                <w:color w:val="000000" w:themeColor="text1"/>
              </w:rPr>
            </w:pPr>
          </w:p>
        </w:tc>
        <w:tc>
          <w:tcPr>
            <w:tcW w:w="0" w:type="auto"/>
          </w:tcPr>
          <w:p w14:paraId="2F34352E"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 xml:space="preserve">Making changes to transfusion practice in </w:t>
            </w:r>
            <w:r w:rsidRPr="00CF1BEC">
              <w:rPr>
                <w:rFonts w:ascii="Times New Roman" w:hAnsi="Times New Roman" w:cs="Times New Roman"/>
                <w:color w:val="000000" w:themeColor="text1"/>
              </w:rPr>
              <w:lastRenderedPageBreak/>
              <w:t>response to the patient blood management survey</w:t>
            </w:r>
          </w:p>
        </w:tc>
        <w:tc>
          <w:tcPr>
            <w:tcW w:w="0" w:type="auto"/>
          </w:tcPr>
          <w:p w14:paraId="00E8FD4E"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i/>
                <w:color w:val="000000" w:themeColor="text1"/>
              </w:rPr>
              <w:lastRenderedPageBreak/>
              <w:t xml:space="preserve">‘Even if we didn’t have this audit we would still be working on that as part of our patient blood management process.’ </w:t>
            </w:r>
          </w:p>
        </w:tc>
        <w:tc>
          <w:tcPr>
            <w:tcW w:w="0" w:type="auto"/>
          </w:tcPr>
          <w:p w14:paraId="054A59C7"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Transfusion practitioner</w:t>
            </w:r>
          </w:p>
        </w:tc>
      </w:tr>
      <w:tr w:rsidR="00727AAD" w:rsidRPr="00CF1BEC" w14:paraId="3060D899" w14:textId="77777777" w:rsidTr="00C60019">
        <w:trPr>
          <w:trHeight w:val="1051"/>
        </w:trPr>
        <w:tc>
          <w:tcPr>
            <w:tcW w:w="0" w:type="auto"/>
            <w:vMerge/>
          </w:tcPr>
          <w:p w14:paraId="3CA606C5" w14:textId="77777777" w:rsidR="00727AAD" w:rsidRPr="00CF1BEC" w:rsidRDefault="00727AAD" w:rsidP="00C60019">
            <w:pPr>
              <w:rPr>
                <w:rFonts w:ascii="Times New Roman" w:hAnsi="Times New Roman" w:cs="Times New Roman"/>
                <w:b/>
                <w:color w:val="000000" w:themeColor="text1"/>
              </w:rPr>
            </w:pPr>
          </w:p>
        </w:tc>
        <w:tc>
          <w:tcPr>
            <w:tcW w:w="0" w:type="auto"/>
          </w:tcPr>
          <w:p w14:paraId="485E7CE7"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Indication codes publication post-feedback delivery</w:t>
            </w:r>
          </w:p>
        </w:tc>
        <w:tc>
          <w:tcPr>
            <w:tcW w:w="0" w:type="auto"/>
          </w:tcPr>
          <w:p w14:paraId="6BEA84F4" w14:textId="77777777" w:rsidR="00727AAD" w:rsidRPr="00CF1BEC" w:rsidRDefault="00727AAD" w:rsidP="00C60019">
            <w:pPr>
              <w:rPr>
                <w:rFonts w:ascii="Times New Roman" w:hAnsi="Times New Roman" w:cs="Times New Roman"/>
                <w:i/>
                <w:color w:val="000000" w:themeColor="text1"/>
              </w:rPr>
            </w:pPr>
            <w:r w:rsidRPr="00CF1BEC">
              <w:rPr>
                <w:rFonts w:ascii="Times New Roman" w:hAnsi="Times New Roman" w:cs="Times New Roman"/>
                <w:i/>
                <w:color w:val="000000" w:themeColor="text1"/>
              </w:rPr>
              <w:t>Yeah, [goals and action plans are based on] the new national indication codes.  Those have changed since the report came out, so the goalposts have been moved a little bit.’</w:t>
            </w:r>
          </w:p>
        </w:tc>
        <w:tc>
          <w:tcPr>
            <w:tcW w:w="0" w:type="auto"/>
          </w:tcPr>
          <w:p w14:paraId="1EFB7915"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Transfusion practitioner</w:t>
            </w:r>
          </w:p>
        </w:tc>
      </w:tr>
      <w:tr w:rsidR="00727AAD" w:rsidRPr="00CF1BEC" w14:paraId="479D2EE7" w14:textId="77777777" w:rsidTr="00C60019">
        <w:trPr>
          <w:trHeight w:val="404"/>
        </w:trPr>
        <w:tc>
          <w:tcPr>
            <w:tcW w:w="0" w:type="auto"/>
            <w:vMerge w:val="restart"/>
          </w:tcPr>
          <w:p w14:paraId="0E622161" w14:textId="77777777" w:rsidR="00727AAD" w:rsidRPr="00CF1BEC" w:rsidRDefault="00727AAD" w:rsidP="00C60019">
            <w:pPr>
              <w:rPr>
                <w:rFonts w:ascii="Times New Roman" w:hAnsi="Times New Roman" w:cs="Times New Roman"/>
                <w:b/>
                <w:color w:val="000000" w:themeColor="text1"/>
              </w:rPr>
            </w:pPr>
            <w:r w:rsidRPr="00CF1BEC">
              <w:rPr>
                <w:rFonts w:ascii="Times New Roman" w:hAnsi="Times New Roman" w:cs="Times New Roman"/>
                <w:b/>
                <w:color w:val="000000" w:themeColor="text1"/>
              </w:rPr>
              <w:t>Clinicians’ receptiveness to changing transfusion practice</w:t>
            </w:r>
          </w:p>
        </w:tc>
        <w:tc>
          <w:tcPr>
            <w:tcW w:w="0" w:type="auto"/>
          </w:tcPr>
          <w:p w14:paraId="65A737C4"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Varying levels of interest in blood transfusion across roles</w:t>
            </w:r>
          </w:p>
        </w:tc>
        <w:tc>
          <w:tcPr>
            <w:tcW w:w="0" w:type="auto"/>
          </w:tcPr>
          <w:p w14:paraId="5B133683" w14:textId="77777777" w:rsidR="00727AAD" w:rsidRPr="00CF1BEC" w:rsidRDefault="00727AAD" w:rsidP="00C60019">
            <w:pPr>
              <w:rPr>
                <w:rFonts w:ascii="Times New Roman" w:hAnsi="Times New Roman" w:cs="Times New Roman"/>
                <w:i/>
                <w:color w:val="000000" w:themeColor="text1"/>
              </w:rPr>
            </w:pPr>
            <w:r w:rsidRPr="00CF1BEC">
              <w:rPr>
                <w:rFonts w:ascii="Times New Roman" w:hAnsi="Times New Roman" w:cs="Times New Roman"/>
                <w:i/>
                <w:color w:val="000000" w:themeColor="text1"/>
              </w:rPr>
              <w:t>‘Where we really need the buy-in of our anaesthetic and pre-op assessment clinic colleagues, we’re not doing very well and a lot of the discussion has been how we can enthuse them to buy into this.’</w:t>
            </w:r>
            <w:r w:rsidRPr="00CF1BEC" w:rsidDel="00353490">
              <w:rPr>
                <w:rFonts w:ascii="Times New Roman" w:hAnsi="Times New Roman" w:cs="Times New Roman"/>
                <w:i/>
                <w:color w:val="000000" w:themeColor="text1"/>
              </w:rPr>
              <w:t xml:space="preserve"> </w:t>
            </w:r>
          </w:p>
        </w:tc>
        <w:tc>
          <w:tcPr>
            <w:tcW w:w="0" w:type="auto"/>
          </w:tcPr>
          <w:p w14:paraId="0B1F3767"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Transfusion practitioner</w:t>
            </w:r>
          </w:p>
        </w:tc>
      </w:tr>
      <w:tr w:rsidR="00727AAD" w:rsidRPr="00CF1BEC" w14:paraId="351821C6" w14:textId="77777777" w:rsidTr="00C60019">
        <w:trPr>
          <w:trHeight w:val="416"/>
        </w:trPr>
        <w:tc>
          <w:tcPr>
            <w:tcW w:w="0" w:type="auto"/>
            <w:vMerge/>
          </w:tcPr>
          <w:p w14:paraId="741D2E81" w14:textId="77777777" w:rsidR="00727AAD" w:rsidRPr="00CF1BEC" w:rsidRDefault="00727AAD" w:rsidP="00C60019">
            <w:pPr>
              <w:rPr>
                <w:rFonts w:ascii="Times New Roman" w:hAnsi="Times New Roman" w:cs="Times New Roman"/>
                <w:color w:val="000000" w:themeColor="text1"/>
              </w:rPr>
            </w:pPr>
          </w:p>
        </w:tc>
        <w:tc>
          <w:tcPr>
            <w:tcW w:w="0" w:type="auto"/>
          </w:tcPr>
          <w:p w14:paraId="1E8DFBDC"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Willingness to change transfusion practice</w:t>
            </w:r>
          </w:p>
        </w:tc>
        <w:tc>
          <w:tcPr>
            <w:tcW w:w="0" w:type="auto"/>
          </w:tcPr>
          <w:p w14:paraId="4803D71A" w14:textId="77777777" w:rsidR="00727AAD" w:rsidRPr="00CF1BEC" w:rsidRDefault="00727AAD" w:rsidP="00C60019">
            <w:pPr>
              <w:rPr>
                <w:rFonts w:ascii="Times New Roman" w:hAnsi="Times New Roman" w:cs="Times New Roman"/>
                <w:i/>
                <w:color w:val="000000" w:themeColor="text1"/>
              </w:rPr>
            </w:pPr>
            <w:r w:rsidRPr="00CF1BEC">
              <w:rPr>
                <w:rFonts w:ascii="Times New Roman" w:hAnsi="Times New Roman" w:cs="Times New Roman"/>
                <w:i/>
                <w:color w:val="000000" w:themeColor="text1"/>
              </w:rPr>
              <w:t>“My worry is the surgical side isn’t necessarily being… anaesthetists just do the surgery and that’s it, once it moves over to the surgical side if it’s got surgeons that say, “Top her up”, then that’s the attitude you’re getting.”</w:t>
            </w:r>
          </w:p>
        </w:tc>
        <w:tc>
          <w:tcPr>
            <w:tcW w:w="0" w:type="auto"/>
          </w:tcPr>
          <w:p w14:paraId="565FD26A"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Transfusion practitioner</w:t>
            </w:r>
          </w:p>
        </w:tc>
      </w:tr>
      <w:tr w:rsidR="00727AAD" w:rsidRPr="00CF1BEC" w14:paraId="033B430D" w14:textId="77777777" w:rsidTr="00C60019">
        <w:trPr>
          <w:trHeight w:val="721"/>
        </w:trPr>
        <w:tc>
          <w:tcPr>
            <w:tcW w:w="0" w:type="auto"/>
            <w:vMerge/>
          </w:tcPr>
          <w:p w14:paraId="79D466AB" w14:textId="77777777" w:rsidR="00727AAD" w:rsidRPr="00CF1BEC" w:rsidRDefault="00727AAD" w:rsidP="00C60019">
            <w:pPr>
              <w:rPr>
                <w:rFonts w:ascii="Times New Roman" w:hAnsi="Times New Roman" w:cs="Times New Roman"/>
                <w:color w:val="000000" w:themeColor="text1"/>
              </w:rPr>
            </w:pPr>
          </w:p>
        </w:tc>
        <w:tc>
          <w:tcPr>
            <w:tcW w:w="0" w:type="auto"/>
          </w:tcPr>
          <w:p w14:paraId="6473A1BC"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The boundaries surrounding TP’s clinical role and limited influence over other clinicians</w:t>
            </w:r>
          </w:p>
        </w:tc>
        <w:tc>
          <w:tcPr>
            <w:tcW w:w="0" w:type="auto"/>
          </w:tcPr>
          <w:p w14:paraId="43108DA0" w14:textId="77777777" w:rsidR="00727AAD" w:rsidRPr="00CF1BEC" w:rsidRDefault="00727AAD" w:rsidP="00C60019">
            <w:pPr>
              <w:rPr>
                <w:rFonts w:ascii="Times New Roman" w:hAnsi="Times New Roman" w:cs="Times New Roman"/>
                <w:i/>
                <w:color w:val="000000" w:themeColor="text1"/>
              </w:rPr>
            </w:pPr>
            <w:r w:rsidRPr="00CF1BEC">
              <w:rPr>
                <w:rFonts w:ascii="Times New Roman" w:hAnsi="Times New Roman" w:cs="Times New Roman"/>
                <w:i/>
                <w:color w:val="000000" w:themeColor="text1"/>
              </w:rPr>
              <w:t>“We can’t go into the clinical areas and say, you’ve got to do this, this and this.  All we can do is present them with the information and suggest how we could improve practice, but at the end of the day it’s their practice, not mine.”</w:t>
            </w:r>
          </w:p>
        </w:tc>
        <w:tc>
          <w:tcPr>
            <w:tcW w:w="0" w:type="auto"/>
          </w:tcPr>
          <w:p w14:paraId="6D161547" w14:textId="77777777" w:rsidR="00727AAD" w:rsidRPr="00CF1BEC" w:rsidRDefault="00727AAD" w:rsidP="00C60019">
            <w:pPr>
              <w:rPr>
                <w:rFonts w:ascii="Times New Roman" w:hAnsi="Times New Roman" w:cs="Times New Roman"/>
                <w:color w:val="000000" w:themeColor="text1"/>
              </w:rPr>
            </w:pPr>
            <w:r w:rsidRPr="00CF1BEC">
              <w:rPr>
                <w:rFonts w:ascii="Times New Roman" w:hAnsi="Times New Roman" w:cs="Times New Roman"/>
                <w:color w:val="000000" w:themeColor="text1"/>
              </w:rPr>
              <w:t>Transfusion practitioner</w:t>
            </w:r>
          </w:p>
        </w:tc>
      </w:tr>
    </w:tbl>
    <w:p w14:paraId="1387FFC0" w14:textId="77777777" w:rsidR="00727AAD" w:rsidRPr="00F222C9" w:rsidRDefault="00727AAD" w:rsidP="00727AAD">
      <w:pPr>
        <w:sectPr w:rsidR="00727AAD" w:rsidRPr="00F222C9" w:rsidSect="00F222C9">
          <w:pgSz w:w="16838" w:h="11906" w:orient="landscape"/>
          <w:pgMar w:top="1440" w:right="1440" w:bottom="1440" w:left="1440" w:header="708" w:footer="708" w:gutter="0"/>
          <w:cols w:space="708"/>
          <w:docGrid w:linePitch="360"/>
        </w:sectPr>
      </w:pPr>
    </w:p>
    <w:p w14:paraId="636B1ACD" w14:textId="77777777" w:rsidR="005B0D14" w:rsidRPr="002A237B" w:rsidRDefault="005B0D14" w:rsidP="002A237B"/>
    <w:sectPr w:rsidR="005B0D14" w:rsidRPr="002A237B" w:rsidSect="00727AA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AD"/>
    <w:rsid w:val="000A395C"/>
    <w:rsid w:val="001C2F45"/>
    <w:rsid w:val="002258FE"/>
    <w:rsid w:val="0024759E"/>
    <w:rsid w:val="00273123"/>
    <w:rsid w:val="002A237B"/>
    <w:rsid w:val="00330467"/>
    <w:rsid w:val="003400F1"/>
    <w:rsid w:val="003D0373"/>
    <w:rsid w:val="00416AA0"/>
    <w:rsid w:val="0056264E"/>
    <w:rsid w:val="005B0D14"/>
    <w:rsid w:val="005C161B"/>
    <w:rsid w:val="006422C8"/>
    <w:rsid w:val="006F163E"/>
    <w:rsid w:val="00727AAD"/>
    <w:rsid w:val="00873D7B"/>
    <w:rsid w:val="00880119"/>
    <w:rsid w:val="00890E90"/>
    <w:rsid w:val="0091059B"/>
    <w:rsid w:val="00930117"/>
    <w:rsid w:val="00934191"/>
    <w:rsid w:val="00A36CF5"/>
    <w:rsid w:val="00AD1B4C"/>
    <w:rsid w:val="00AD3173"/>
    <w:rsid w:val="00B23E4E"/>
    <w:rsid w:val="00B3772F"/>
    <w:rsid w:val="00B47923"/>
    <w:rsid w:val="00B73992"/>
    <w:rsid w:val="00B7564E"/>
    <w:rsid w:val="00BF7C01"/>
    <w:rsid w:val="00C43089"/>
    <w:rsid w:val="00CA19CD"/>
    <w:rsid w:val="00D00D33"/>
    <w:rsid w:val="00D516EC"/>
    <w:rsid w:val="00E057DF"/>
    <w:rsid w:val="00E209F2"/>
    <w:rsid w:val="00EB66B1"/>
    <w:rsid w:val="00F367F1"/>
    <w:rsid w:val="00F419B2"/>
    <w:rsid w:val="00F95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24C9"/>
  <w15:chartTrackingRefBased/>
  <w15:docId w15:val="{2B5D03F6-9094-469B-BE91-2B6F4839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AAD"/>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table" w:customStyle="1" w:styleId="TableGrid1">
    <w:name w:val="Table Grid1"/>
    <w:basedOn w:val="TableNormal"/>
    <w:next w:val="TableGrid"/>
    <w:uiPriority w:val="39"/>
    <w:rsid w:val="00727AAD"/>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27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Moreau</dc:creator>
  <cp:keywords/>
  <dc:description/>
  <cp:lastModifiedBy>Mairi Hull</cp:lastModifiedBy>
  <cp:revision>2</cp:revision>
  <dcterms:created xsi:type="dcterms:W3CDTF">2021-06-29T14:01:00Z</dcterms:created>
  <dcterms:modified xsi:type="dcterms:W3CDTF">2021-06-29T14:01:00Z</dcterms:modified>
</cp:coreProperties>
</file>