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E19E1" w14:textId="7B8C1280" w:rsidR="00354410" w:rsidRPr="00CE04E7" w:rsidRDefault="00944547" w:rsidP="00CE04E7">
      <w:pPr>
        <w:rPr>
          <w:rFonts w:ascii="Times New Roman" w:hAnsi="Times New Roman"/>
          <w:b/>
          <w:bCs/>
          <w:sz w:val="28"/>
          <w:szCs w:val="28"/>
        </w:rPr>
      </w:pPr>
      <w:bookmarkStart w:id="0" w:name="_Hlk25753110"/>
      <w:r>
        <w:rPr>
          <w:rFonts w:ascii="Times New Roman" w:hAnsi="Times New Roman"/>
          <w:b/>
          <w:bCs/>
          <w:sz w:val="28"/>
          <w:szCs w:val="28"/>
        </w:rPr>
        <w:t>D</w:t>
      </w:r>
      <w:bookmarkStart w:id="1" w:name="_GoBack"/>
      <w:bookmarkEnd w:id="1"/>
      <w:r w:rsidR="00CE04E7" w:rsidRPr="00CE04E7">
        <w:rPr>
          <w:rFonts w:ascii="Times New Roman" w:hAnsi="Times New Roman"/>
          <w:b/>
          <w:bCs/>
          <w:sz w:val="28"/>
          <w:szCs w:val="28"/>
        </w:rPr>
        <w:t>etermination of correction factors for incorrect injection rate during dce-ct examinations</w:t>
      </w:r>
      <w:r w:rsidR="00354410" w:rsidRPr="00CE04E7">
        <w:rPr>
          <w:rFonts w:ascii="Times New Roman" w:hAnsi="Times New Roman"/>
          <w:b/>
          <w:bCs/>
          <w:sz w:val="28"/>
          <w:szCs w:val="28"/>
        </w:rPr>
        <w:t>.</w:t>
      </w:r>
    </w:p>
    <w:p w14:paraId="3D238FBA" w14:textId="77777777" w:rsidR="00354410" w:rsidRDefault="00354410" w:rsidP="00354410"/>
    <w:p w14:paraId="184D94E2" w14:textId="77777777" w:rsidR="00354410" w:rsidRPr="00CE04E7" w:rsidRDefault="00354410" w:rsidP="00CE04E7">
      <w:pPr>
        <w:pStyle w:val="NoSpacing"/>
        <w:rPr>
          <w:szCs w:val="24"/>
        </w:rPr>
      </w:pPr>
      <w:r w:rsidRPr="00CE04E7">
        <w:rPr>
          <w:b/>
          <w:bCs/>
          <w:szCs w:val="24"/>
        </w:rPr>
        <w:t>Aim:</w:t>
      </w:r>
      <w:r w:rsidRPr="00CE04E7">
        <w:rPr>
          <w:szCs w:val="24"/>
        </w:rPr>
        <w:t xml:space="preserve"> To derive individualized correction factors that enable the recorded nodule enhancement values to be adjusted for the incorrect injection rate</w:t>
      </w:r>
    </w:p>
    <w:p w14:paraId="7355726C" w14:textId="77777777" w:rsidR="00354410" w:rsidRPr="00CE04E7" w:rsidRDefault="00354410" w:rsidP="00CE04E7">
      <w:pPr>
        <w:pStyle w:val="NoSpacing"/>
        <w:rPr>
          <w:b/>
          <w:bCs/>
          <w:szCs w:val="24"/>
        </w:rPr>
      </w:pPr>
    </w:p>
    <w:p w14:paraId="30138EA6" w14:textId="77777777" w:rsidR="00354410" w:rsidRPr="00CE04E7" w:rsidRDefault="00354410" w:rsidP="00CE04E7">
      <w:pPr>
        <w:pStyle w:val="NoSpacing"/>
        <w:rPr>
          <w:szCs w:val="24"/>
        </w:rPr>
      </w:pPr>
      <w:r w:rsidRPr="00CE04E7">
        <w:rPr>
          <w:b/>
          <w:bCs/>
          <w:szCs w:val="24"/>
        </w:rPr>
        <w:t xml:space="preserve">Method: </w:t>
      </w:r>
      <w:r w:rsidRPr="00CE04E7">
        <w:rPr>
          <w:szCs w:val="24"/>
        </w:rPr>
        <w:t>A linear systems approach was used as follows:</w:t>
      </w:r>
    </w:p>
    <w:p w14:paraId="7954420E" w14:textId="77777777" w:rsidR="00354410" w:rsidRPr="00CE04E7" w:rsidRDefault="00354410" w:rsidP="00CE04E7">
      <w:pPr>
        <w:pStyle w:val="NoSpacing"/>
        <w:rPr>
          <w:szCs w:val="24"/>
        </w:rPr>
      </w:pPr>
      <w:r w:rsidRPr="00CE04E7">
        <w:rPr>
          <w:szCs w:val="24"/>
        </w:rPr>
        <w:t>F</w:t>
      </w:r>
      <w:r w:rsidRPr="00CE04E7">
        <w:rPr>
          <w:szCs w:val="24"/>
          <w:vertAlign w:val="subscript"/>
        </w:rPr>
        <w:t xml:space="preserve">inj </w:t>
      </w:r>
      <w:r w:rsidRPr="00CE04E7">
        <w:rPr>
          <w:szCs w:val="24"/>
        </w:rPr>
        <w:t>* IRF</w:t>
      </w:r>
      <w:r w:rsidRPr="00CE04E7">
        <w:rPr>
          <w:szCs w:val="24"/>
          <w:vertAlign w:val="subscript"/>
        </w:rPr>
        <w:t>c</w:t>
      </w:r>
      <w:r w:rsidRPr="00CE04E7">
        <w:rPr>
          <w:szCs w:val="24"/>
        </w:rPr>
        <w:t xml:space="preserve"> = AIF</w:t>
      </w:r>
    </w:p>
    <w:p w14:paraId="3077056E" w14:textId="77777777" w:rsidR="00354410" w:rsidRPr="00CE04E7" w:rsidRDefault="00354410" w:rsidP="00CE04E7">
      <w:pPr>
        <w:pStyle w:val="NoSpacing"/>
        <w:rPr>
          <w:szCs w:val="24"/>
        </w:rPr>
      </w:pPr>
      <w:r w:rsidRPr="00CE04E7">
        <w:rPr>
          <w:szCs w:val="24"/>
        </w:rPr>
        <w:t>AIF * IRF</w:t>
      </w:r>
      <w:r w:rsidRPr="00CE04E7">
        <w:rPr>
          <w:szCs w:val="24"/>
          <w:vertAlign w:val="subscript"/>
        </w:rPr>
        <w:t>n</w:t>
      </w:r>
      <w:r w:rsidRPr="00CE04E7">
        <w:rPr>
          <w:szCs w:val="24"/>
        </w:rPr>
        <w:t xml:space="preserve"> = NEC</w:t>
      </w:r>
    </w:p>
    <w:p w14:paraId="611807A1" w14:textId="77777777" w:rsidR="00354410" w:rsidRPr="00CE04E7" w:rsidRDefault="00354410" w:rsidP="00CE04E7">
      <w:pPr>
        <w:pStyle w:val="NoSpacing"/>
        <w:rPr>
          <w:szCs w:val="24"/>
        </w:rPr>
      </w:pPr>
      <w:r w:rsidRPr="00CE04E7">
        <w:rPr>
          <w:szCs w:val="24"/>
        </w:rPr>
        <w:t>where F</w:t>
      </w:r>
      <w:r w:rsidRPr="00CE04E7">
        <w:rPr>
          <w:szCs w:val="24"/>
          <w:vertAlign w:val="subscript"/>
        </w:rPr>
        <w:t xml:space="preserve">inj  </w:t>
      </w:r>
      <w:r w:rsidRPr="00CE04E7">
        <w:rPr>
          <w:szCs w:val="24"/>
        </w:rPr>
        <w:t>is the time-dependent function describing the contrast material injection, IRFc the impulse response function for the passage of contrast material through the central circulation, AIF the arterial input function, IRFn impulse response function for the passage of contrast material through the nodule,  NEC the nodule enhancement curve and * the convolution function. Two contrast material injection functions were modelled representing injections of 3ml/s for 40s and 2ml/s for 60s respectively, resulting in the administration of identical total quantities of iodine. Both IRFs of initial height (h) comprised a 5s minimum transit time followed by a single exponential decay (k). Analysis was performed using 5s time increments. IRFc</w:t>
      </w:r>
      <w:r w:rsidRPr="00CE04E7">
        <w:rPr>
          <w:szCs w:val="24"/>
          <w:vertAlign w:val="subscript"/>
        </w:rPr>
        <w:t xml:space="preserve"> </w:t>
      </w:r>
      <w:r w:rsidRPr="00CE04E7">
        <w:rPr>
          <w:szCs w:val="24"/>
        </w:rPr>
        <w:t>was estimated by deconvolution of the observed AIF against the 3ml/s injection function. The injection function for 2ml/s was then convolved with IRFc</w:t>
      </w:r>
      <w:r w:rsidRPr="00CE04E7">
        <w:rPr>
          <w:szCs w:val="24"/>
          <w:vertAlign w:val="subscript"/>
        </w:rPr>
        <w:t xml:space="preserve"> </w:t>
      </w:r>
      <w:r w:rsidRPr="00CE04E7">
        <w:rPr>
          <w:szCs w:val="24"/>
        </w:rPr>
        <w:t>to estimate the AIF that would have been observed for the slower injection rate. IRFn</w:t>
      </w:r>
      <w:r w:rsidRPr="00CE04E7">
        <w:rPr>
          <w:szCs w:val="24"/>
          <w:vertAlign w:val="subscript"/>
        </w:rPr>
        <w:t xml:space="preserve"> </w:t>
      </w:r>
      <w:r w:rsidRPr="00CE04E7">
        <w:rPr>
          <w:szCs w:val="24"/>
        </w:rPr>
        <w:t>was estimated by deconvolution of the observed NEC against the 3ml/s AIF. The NEC for a 2ml/s injection was then convolved with IRFn</w:t>
      </w:r>
      <w:r w:rsidRPr="00CE04E7">
        <w:rPr>
          <w:szCs w:val="24"/>
          <w:vertAlign w:val="subscript"/>
        </w:rPr>
        <w:t xml:space="preserve"> </w:t>
      </w:r>
      <w:r w:rsidRPr="00CE04E7">
        <w:rPr>
          <w:szCs w:val="24"/>
        </w:rPr>
        <w:t>to estimate the NEC that would have been observed for the slower injection rate. Correction factors for 60, 120, 180 and 240s were determined by comparison of the NECs for 3ml/s and 2ml/s. The calculated correction factors were validated by comparison with published data</w:t>
      </w:r>
    </w:p>
    <w:p w14:paraId="71E98DF1" w14:textId="77777777" w:rsidR="00354410" w:rsidRPr="00CE04E7" w:rsidRDefault="00354410" w:rsidP="00CE04E7">
      <w:pPr>
        <w:pStyle w:val="NoSpacing"/>
        <w:rPr>
          <w:b/>
          <w:bCs/>
          <w:szCs w:val="24"/>
        </w:rPr>
      </w:pPr>
    </w:p>
    <w:p w14:paraId="27F74A51" w14:textId="77777777" w:rsidR="00354410" w:rsidRPr="00CE04E7" w:rsidRDefault="00354410" w:rsidP="00CE04E7">
      <w:pPr>
        <w:pStyle w:val="NoSpacing"/>
        <w:rPr>
          <w:szCs w:val="24"/>
        </w:rPr>
      </w:pPr>
      <w:r w:rsidRPr="00CE04E7">
        <w:rPr>
          <w:b/>
          <w:bCs/>
          <w:szCs w:val="24"/>
        </w:rPr>
        <w:t xml:space="preserve">Results: </w:t>
      </w:r>
      <w:r w:rsidRPr="00CE04E7">
        <w:rPr>
          <w:szCs w:val="24"/>
        </w:rPr>
        <w:t>The initial heights (h</w:t>
      </w:r>
      <w:r w:rsidRPr="00CE04E7">
        <w:rPr>
          <w:szCs w:val="24"/>
          <w:vertAlign w:val="subscript"/>
        </w:rPr>
        <w:t>1</w:t>
      </w:r>
      <w:r w:rsidRPr="00CE04E7">
        <w:rPr>
          <w:szCs w:val="24"/>
        </w:rPr>
        <w:t>, h</w:t>
      </w:r>
      <w:r w:rsidRPr="00CE04E7">
        <w:rPr>
          <w:szCs w:val="24"/>
          <w:vertAlign w:val="subscript"/>
        </w:rPr>
        <w:t>2</w:t>
      </w:r>
      <w:r w:rsidRPr="00CE04E7">
        <w:rPr>
          <w:szCs w:val="24"/>
        </w:rPr>
        <w:t>) and decay constants (k</w:t>
      </w:r>
      <w:r w:rsidRPr="00CE04E7">
        <w:rPr>
          <w:szCs w:val="24"/>
          <w:vertAlign w:val="subscript"/>
        </w:rPr>
        <w:t>1</w:t>
      </w:r>
      <w:r w:rsidRPr="00CE04E7">
        <w:rPr>
          <w:szCs w:val="24"/>
        </w:rPr>
        <w:t>, k</w:t>
      </w:r>
      <w:r w:rsidRPr="00CE04E7">
        <w:rPr>
          <w:szCs w:val="24"/>
          <w:vertAlign w:val="subscript"/>
        </w:rPr>
        <w:t>2</w:t>
      </w:r>
      <w:r w:rsidRPr="00CE04E7">
        <w:rPr>
          <w:szCs w:val="24"/>
        </w:rPr>
        <w:t>) for IRFc and IRFn respectively are shown for 3 DCE-CT studies in table 1.</w:t>
      </w:r>
    </w:p>
    <w:p w14:paraId="54EAD154" w14:textId="77777777" w:rsidR="00354410" w:rsidRPr="00CE04E7" w:rsidRDefault="00354410" w:rsidP="00CE04E7">
      <w:pPr>
        <w:pStyle w:val="NoSpacing"/>
        <w:rPr>
          <w:szCs w:val="24"/>
        </w:rPr>
      </w:pPr>
    </w:p>
    <w:tbl>
      <w:tblPr>
        <w:tblW w:w="0" w:type="auto"/>
        <w:tblLook w:val="04A0" w:firstRow="1" w:lastRow="0" w:firstColumn="1" w:lastColumn="0" w:noHBand="0" w:noVBand="1"/>
      </w:tblPr>
      <w:tblGrid>
        <w:gridCol w:w="1802"/>
        <w:gridCol w:w="1802"/>
        <w:gridCol w:w="1802"/>
        <w:gridCol w:w="1802"/>
      </w:tblGrid>
      <w:tr w:rsidR="00354410" w:rsidRPr="00CE04E7" w14:paraId="60ADFA5C" w14:textId="77777777" w:rsidTr="008F22F8">
        <w:tc>
          <w:tcPr>
            <w:tcW w:w="1802" w:type="dxa"/>
          </w:tcPr>
          <w:p w14:paraId="4F6D5D6E" w14:textId="77777777" w:rsidR="00354410" w:rsidRPr="00CE04E7" w:rsidRDefault="00354410" w:rsidP="00CE04E7">
            <w:pPr>
              <w:pStyle w:val="NoSpacing"/>
              <w:rPr>
                <w:b/>
                <w:bCs/>
                <w:szCs w:val="24"/>
              </w:rPr>
            </w:pPr>
            <w:r w:rsidRPr="00CE04E7">
              <w:rPr>
                <w:b/>
                <w:bCs/>
                <w:szCs w:val="24"/>
              </w:rPr>
              <w:t>Case #</w:t>
            </w:r>
          </w:p>
        </w:tc>
        <w:tc>
          <w:tcPr>
            <w:tcW w:w="1802" w:type="dxa"/>
          </w:tcPr>
          <w:p w14:paraId="31A61D9A" w14:textId="77777777" w:rsidR="00354410" w:rsidRPr="00CE04E7" w:rsidRDefault="00354410" w:rsidP="00CE04E7">
            <w:pPr>
              <w:pStyle w:val="NoSpacing"/>
              <w:rPr>
                <w:szCs w:val="24"/>
              </w:rPr>
            </w:pPr>
            <w:r w:rsidRPr="00CE04E7">
              <w:rPr>
                <w:szCs w:val="24"/>
              </w:rPr>
              <w:t>MS703</w:t>
            </w:r>
          </w:p>
        </w:tc>
        <w:tc>
          <w:tcPr>
            <w:tcW w:w="1802" w:type="dxa"/>
          </w:tcPr>
          <w:p w14:paraId="4CCA7237" w14:textId="77777777" w:rsidR="00354410" w:rsidRPr="00CE04E7" w:rsidRDefault="00354410" w:rsidP="00CE04E7">
            <w:pPr>
              <w:pStyle w:val="NoSpacing"/>
              <w:rPr>
                <w:szCs w:val="24"/>
              </w:rPr>
            </w:pPr>
            <w:r w:rsidRPr="00CE04E7">
              <w:rPr>
                <w:szCs w:val="24"/>
              </w:rPr>
              <w:t>MS705</w:t>
            </w:r>
          </w:p>
        </w:tc>
        <w:tc>
          <w:tcPr>
            <w:tcW w:w="1802" w:type="dxa"/>
          </w:tcPr>
          <w:p w14:paraId="0D8C7695" w14:textId="77777777" w:rsidR="00354410" w:rsidRPr="00CE04E7" w:rsidRDefault="00354410" w:rsidP="00CE04E7">
            <w:pPr>
              <w:pStyle w:val="NoSpacing"/>
              <w:rPr>
                <w:szCs w:val="24"/>
              </w:rPr>
            </w:pPr>
            <w:r w:rsidRPr="00CE04E7">
              <w:rPr>
                <w:szCs w:val="24"/>
              </w:rPr>
              <w:t>MS706</w:t>
            </w:r>
          </w:p>
        </w:tc>
      </w:tr>
      <w:tr w:rsidR="00354410" w:rsidRPr="00CE04E7" w14:paraId="53F7BE95" w14:textId="77777777" w:rsidTr="008F22F8">
        <w:tc>
          <w:tcPr>
            <w:tcW w:w="1802" w:type="dxa"/>
          </w:tcPr>
          <w:p w14:paraId="0D6A7929" w14:textId="77777777" w:rsidR="00354410" w:rsidRPr="00CE04E7" w:rsidRDefault="00354410" w:rsidP="00CE04E7">
            <w:pPr>
              <w:pStyle w:val="NoSpacing"/>
              <w:rPr>
                <w:b/>
                <w:bCs/>
                <w:szCs w:val="24"/>
              </w:rPr>
            </w:pPr>
            <w:r w:rsidRPr="00CE04E7">
              <w:rPr>
                <w:b/>
                <w:bCs/>
                <w:szCs w:val="24"/>
              </w:rPr>
              <w:t>k</w:t>
            </w:r>
            <w:r w:rsidRPr="00CE04E7">
              <w:rPr>
                <w:b/>
                <w:bCs/>
                <w:szCs w:val="24"/>
                <w:vertAlign w:val="subscript"/>
              </w:rPr>
              <w:t>1</w:t>
            </w:r>
          </w:p>
        </w:tc>
        <w:tc>
          <w:tcPr>
            <w:tcW w:w="1802" w:type="dxa"/>
          </w:tcPr>
          <w:p w14:paraId="48B6D649" w14:textId="77777777" w:rsidR="00354410" w:rsidRPr="00CE04E7" w:rsidRDefault="00354410" w:rsidP="00CE04E7">
            <w:pPr>
              <w:pStyle w:val="NoSpacing"/>
              <w:rPr>
                <w:szCs w:val="24"/>
              </w:rPr>
            </w:pPr>
            <w:r w:rsidRPr="00CE04E7">
              <w:rPr>
                <w:szCs w:val="24"/>
              </w:rPr>
              <w:t>0.00329</w:t>
            </w:r>
          </w:p>
        </w:tc>
        <w:tc>
          <w:tcPr>
            <w:tcW w:w="1802" w:type="dxa"/>
          </w:tcPr>
          <w:p w14:paraId="294797CC" w14:textId="77777777" w:rsidR="00354410" w:rsidRPr="00CE04E7" w:rsidRDefault="00354410" w:rsidP="00CE04E7">
            <w:pPr>
              <w:pStyle w:val="NoSpacing"/>
              <w:rPr>
                <w:szCs w:val="24"/>
              </w:rPr>
            </w:pPr>
            <w:r w:rsidRPr="00CE04E7">
              <w:rPr>
                <w:szCs w:val="24"/>
              </w:rPr>
              <w:t>0.00346</w:t>
            </w:r>
          </w:p>
        </w:tc>
        <w:tc>
          <w:tcPr>
            <w:tcW w:w="1802" w:type="dxa"/>
          </w:tcPr>
          <w:p w14:paraId="3A972874" w14:textId="77777777" w:rsidR="00354410" w:rsidRPr="00CE04E7" w:rsidRDefault="00354410" w:rsidP="00CE04E7">
            <w:pPr>
              <w:pStyle w:val="NoSpacing"/>
              <w:rPr>
                <w:szCs w:val="24"/>
              </w:rPr>
            </w:pPr>
            <w:r w:rsidRPr="00CE04E7">
              <w:rPr>
                <w:szCs w:val="24"/>
              </w:rPr>
              <w:t>0.00635</w:t>
            </w:r>
          </w:p>
        </w:tc>
      </w:tr>
      <w:tr w:rsidR="00354410" w:rsidRPr="00CE04E7" w14:paraId="207FE71D" w14:textId="77777777" w:rsidTr="008F22F8">
        <w:tc>
          <w:tcPr>
            <w:tcW w:w="1802" w:type="dxa"/>
          </w:tcPr>
          <w:p w14:paraId="62574F2A" w14:textId="77777777" w:rsidR="00354410" w:rsidRPr="00CE04E7" w:rsidRDefault="00354410" w:rsidP="00CE04E7">
            <w:pPr>
              <w:pStyle w:val="NoSpacing"/>
              <w:rPr>
                <w:b/>
                <w:bCs/>
                <w:szCs w:val="24"/>
              </w:rPr>
            </w:pPr>
            <w:r w:rsidRPr="00CE04E7">
              <w:rPr>
                <w:b/>
                <w:bCs/>
                <w:szCs w:val="24"/>
              </w:rPr>
              <w:t>h</w:t>
            </w:r>
            <w:r w:rsidRPr="00CE04E7">
              <w:rPr>
                <w:b/>
                <w:bCs/>
                <w:szCs w:val="24"/>
                <w:vertAlign w:val="subscript"/>
              </w:rPr>
              <w:t>1</w:t>
            </w:r>
          </w:p>
        </w:tc>
        <w:tc>
          <w:tcPr>
            <w:tcW w:w="1802" w:type="dxa"/>
          </w:tcPr>
          <w:p w14:paraId="4A84F3D2" w14:textId="77777777" w:rsidR="00354410" w:rsidRPr="00CE04E7" w:rsidRDefault="00354410" w:rsidP="00CE04E7">
            <w:pPr>
              <w:pStyle w:val="NoSpacing"/>
              <w:rPr>
                <w:szCs w:val="24"/>
              </w:rPr>
            </w:pPr>
            <w:r w:rsidRPr="00CE04E7">
              <w:rPr>
                <w:szCs w:val="24"/>
              </w:rPr>
              <w:t>5.922</w:t>
            </w:r>
          </w:p>
        </w:tc>
        <w:tc>
          <w:tcPr>
            <w:tcW w:w="1802" w:type="dxa"/>
          </w:tcPr>
          <w:p w14:paraId="698A98E7" w14:textId="77777777" w:rsidR="00354410" w:rsidRPr="00CE04E7" w:rsidRDefault="00354410" w:rsidP="00CE04E7">
            <w:pPr>
              <w:pStyle w:val="NoSpacing"/>
              <w:rPr>
                <w:szCs w:val="24"/>
              </w:rPr>
            </w:pPr>
            <w:r w:rsidRPr="00CE04E7">
              <w:rPr>
                <w:szCs w:val="24"/>
              </w:rPr>
              <w:t>6.473</w:t>
            </w:r>
          </w:p>
        </w:tc>
        <w:tc>
          <w:tcPr>
            <w:tcW w:w="1802" w:type="dxa"/>
          </w:tcPr>
          <w:p w14:paraId="0518B90D" w14:textId="77777777" w:rsidR="00354410" w:rsidRPr="00CE04E7" w:rsidRDefault="00354410" w:rsidP="00CE04E7">
            <w:pPr>
              <w:pStyle w:val="NoSpacing"/>
              <w:rPr>
                <w:szCs w:val="24"/>
              </w:rPr>
            </w:pPr>
            <w:r w:rsidRPr="00CE04E7">
              <w:rPr>
                <w:szCs w:val="24"/>
              </w:rPr>
              <w:t>8.270</w:t>
            </w:r>
          </w:p>
        </w:tc>
      </w:tr>
      <w:tr w:rsidR="00354410" w:rsidRPr="00CE04E7" w14:paraId="3FE0E57E" w14:textId="77777777" w:rsidTr="008F22F8">
        <w:tc>
          <w:tcPr>
            <w:tcW w:w="1802" w:type="dxa"/>
          </w:tcPr>
          <w:p w14:paraId="65D210A2" w14:textId="77777777" w:rsidR="00354410" w:rsidRPr="00CE04E7" w:rsidRDefault="00354410" w:rsidP="00CE04E7">
            <w:pPr>
              <w:pStyle w:val="NoSpacing"/>
              <w:rPr>
                <w:b/>
                <w:bCs/>
                <w:szCs w:val="24"/>
              </w:rPr>
            </w:pPr>
            <w:r w:rsidRPr="00CE04E7">
              <w:rPr>
                <w:b/>
                <w:bCs/>
                <w:szCs w:val="24"/>
              </w:rPr>
              <w:t>k</w:t>
            </w:r>
            <w:r w:rsidRPr="00CE04E7">
              <w:rPr>
                <w:b/>
                <w:bCs/>
                <w:szCs w:val="24"/>
                <w:vertAlign w:val="subscript"/>
              </w:rPr>
              <w:t>2</w:t>
            </w:r>
          </w:p>
        </w:tc>
        <w:tc>
          <w:tcPr>
            <w:tcW w:w="1802" w:type="dxa"/>
          </w:tcPr>
          <w:p w14:paraId="46D51388" w14:textId="77777777" w:rsidR="00354410" w:rsidRPr="00CE04E7" w:rsidRDefault="00354410" w:rsidP="00CE04E7">
            <w:pPr>
              <w:pStyle w:val="NoSpacing"/>
              <w:rPr>
                <w:szCs w:val="24"/>
              </w:rPr>
            </w:pPr>
            <w:r w:rsidRPr="00CE04E7">
              <w:rPr>
                <w:szCs w:val="24"/>
              </w:rPr>
              <w:t>0.0205</w:t>
            </w:r>
          </w:p>
        </w:tc>
        <w:tc>
          <w:tcPr>
            <w:tcW w:w="1802" w:type="dxa"/>
          </w:tcPr>
          <w:p w14:paraId="775B2BD5" w14:textId="77777777" w:rsidR="00354410" w:rsidRPr="00CE04E7" w:rsidRDefault="00354410" w:rsidP="00CE04E7">
            <w:pPr>
              <w:pStyle w:val="NoSpacing"/>
              <w:rPr>
                <w:szCs w:val="24"/>
              </w:rPr>
            </w:pPr>
            <w:r w:rsidRPr="00CE04E7">
              <w:rPr>
                <w:szCs w:val="24"/>
              </w:rPr>
              <w:t>0.0243</w:t>
            </w:r>
          </w:p>
        </w:tc>
        <w:tc>
          <w:tcPr>
            <w:tcW w:w="1802" w:type="dxa"/>
          </w:tcPr>
          <w:p w14:paraId="7FAD8C00" w14:textId="77777777" w:rsidR="00354410" w:rsidRPr="00CE04E7" w:rsidRDefault="00354410" w:rsidP="00CE04E7">
            <w:pPr>
              <w:pStyle w:val="NoSpacing"/>
              <w:rPr>
                <w:szCs w:val="24"/>
              </w:rPr>
            </w:pPr>
            <w:r w:rsidRPr="00CE04E7">
              <w:rPr>
                <w:szCs w:val="24"/>
              </w:rPr>
              <w:t>0.00615</w:t>
            </w:r>
          </w:p>
        </w:tc>
      </w:tr>
      <w:tr w:rsidR="00354410" w:rsidRPr="00CE04E7" w14:paraId="19BF40EA" w14:textId="77777777" w:rsidTr="008F22F8">
        <w:tc>
          <w:tcPr>
            <w:tcW w:w="1802" w:type="dxa"/>
          </w:tcPr>
          <w:p w14:paraId="31D0F89A" w14:textId="77777777" w:rsidR="00354410" w:rsidRPr="00CE04E7" w:rsidRDefault="00354410" w:rsidP="00CE04E7">
            <w:pPr>
              <w:pStyle w:val="NoSpacing"/>
              <w:rPr>
                <w:b/>
                <w:bCs/>
                <w:szCs w:val="24"/>
              </w:rPr>
            </w:pPr>
            <w:r w:rsidRPr="00CE04E7">
              <w:rPr>
                <w:b/>
                <w:bCs/>
                <w:szCs w:val="24"/>
              </w:rPr>
              <w:t>h</w:t>
            </w:r>
            <w:r w:rsidRPr="00CE04E7">
              <w:rPr>
                <w:b/>
                <w:bCs/>
                <w:szCs w:val="24"/>
                <w:vertAlign w:val="subscript"/>
              </w:rPr>
              <w:t>2</w:t>
            </w:r>
          </w:p>
        </w:tc>
        <w:tc>
          <w:tcPr>
            <w:tcW w:w="1802" w:type="dxa"/>
          </w:tcPr>
          <w:p w14:paraId="38DE0004" w14:textId="77777777" w:rsidR="00354410" w:rsidRPr="00CE04E7" w:rsidRDefault="00354410" w:rsidP="00CE04E7">
            <w:pPr>
              <w:pStyle w:val="NoSpacing"/>
              <w:rPr>
                <w:szCs w:val="24"/>
              </w:rPr>
            </w:pPr>
            <w:r w:rsidRPr="00CE04E7">
              <w:rPr>
                <w:szCs w:val="24"/>
              </w:rPr>
              <w:t>0.0463</w:t>
            </w:r>
          </w:p>
        </w:tc>
        <w:tc>
          <w:tcPr>
            <w:tcW w:w="1802" w:type="dxa"/>
          </w:tcPr>
          <w:p w14:paraId="37B36BA6" w14:textId="77777777" w:rsidR="00354410" w:rsidRPr="00CE04E7" w:rsidRDefault="00354410" w:rsidP="00CE04E7">
            <w:pPr>
              <w:pStyle w:val="NoSpacing"/>
              <w:rPr>
                <w:szCs w:val="24"/>
              </w:rPr>
            </w:pPr>
            <w:r w:rsidRPr="00CE04E7">
              <w:rPr>
                <w:szCs w:val="24"/>
              </w:rPr>
              <w:t>0.0472</w:t>
            </w:r>
          </w:p>
        </w:tc>
        <w:tc>
          <w:tcPr>
            <w:tcW w:w="1802" w:type="dxa"/>
          </w:tcPr>
          <w:p w14:paraId="7935A31B" w14:textId="77777777" w:rsidR="00354410" w:rsidRPr="00CE04E7" w:rsidRDefault="00354410" w:rsidP="00CE04E7">
            <w:pPr>
              <w:pStyle w:val="NoSpacing"/>
              <w:rPr>
                <w:szCs w:val="24"/>
              </w:rPr>
            </w:pPr>
            <w:r w:rsidRPr="00CE04E7">
              <w:rPr>
                <w:szCs w:val="24"/>
              </w:rPr>
              <w:t>0.0272</w:t>
            </w:r>
          </w:p>
        </w:tc>
      </w:tr>
    </w:tbl>
    <w:p w14:paraId="592A1F75" w14:textId="77777777" w:rsidR="00354410" w:rsidRPr="00CE04E7" w:rsidRDefault="00354410" w:rsidP="00CE04E7">
      <w:pPr>
        <w:pStyle w:val="NoSpacing"/>
        <w:rPr>
          <w:szCs w:val="24"/>
        </w:rPr>
      </w:pPr>
      <w:r w:rsidRPr="00CE04E7">
        <w:rPr>
          <w:szCs w:val="24"/>
        </w:rPr>
        <w:lastRenderedPageBreak/>
        <w:t>Table 1: IRF characteristics</w:t>
      </w:r>
    </w:p>
    <w:p w14:paraId="4005AC29" w14:textId="77777777" w:rsidR="00354410" w:rsidRPr="00CE04E7" w:rsidRDefault="00354410" w:rsidP="00CE04E7">
      <w:pPr>
        <w:pStyle w:val="NoSpacing"/>
        <w:rPr>
          <w:szCs w:val="24"/>
        </w:rPr>
      </w:pPr>
    </w:p>
    <w:p w14:paraId="34AA86DF" w14:textId="77777777" w:rsidR="00354410" w:rsidRPr="00CE04E7" w:rsidRDefault="00354410" w:rsidP="00CE04E7">
      <w:pPr>
        <w:pStyle w:val="NoSpacing"/>
        <w:rPr>
          <w:szCs w:val="24"/>
        </w:rPr>
      </w:pPr>
      <w:r w:rsidRPr="00CE04E7">
        <w:rPr>
          <w:szCs w:val="24"/>
        </w:rPr>
        <w:t>The correction factors for the lower contrast injection rate for each case are given for each time point in table 2.</w:t>
      </w:r>
    </w:p>
    <w:p w14:paraId="0D04FB05" w14:textId="77777777" w:rsidR="00354410" w:rsidRPr="00CE04E7" w:rsidRDefault="00354410" w:rsidP="00CE04E7">
      <w:pPr>
        <w:pStyle w:val="NoSpacing"/>
        <w:rPr>
          <w:szCs w:val="24"/>
        </w:rPr>
      </w:pPr>
    </w:p>
    <w:tbl>
      <w:tblPr>
        <w:tblW w:w="0" w:type="auto"/>
        <w:tblLook w:val="04A0" w:firstRow="1" w:lastRow="0" w:firstColumn="1" w:lastColumn="0" w:noHBand="0" w:noVBand="1"/>
      </w:tblPr>
      <w:tblGrid>
        <w:gridCol w:w="1802"/>
        <w:gridCol w:w="1802"/>
        <w:gridCol w:w="1802"/>
        <w:gridCol w:w="1802"/>
      </w:tblGrid>
      <w:tr w:rsidR="00354410" w:rsidRPr="00CE04E7" w14:paraId="4AFF5DA0" w14:textId="77777777" w:rsidTr="008F22F8">
        <w:tc>
          <w:tcPr>
            <w:tcW w:w="1802" w:type="dxa"/>
          </w:tcPr>
          <w:p w14:paraId="131EB8C6" w14:textId="77777777" w:rsidR="00354410" w:rsidRPr="00CE04E7" w:rsidRDefault="00354410" w:rsidP="00CE04E7">
            <w:pPr>
              <w:pStyle w:val="NoSpacing"/>
              <w:rPr>
                <w:b/>
                <w:bCs/>
                <w:szCs w:val="24"/>
              </w:rPr>
            </w:pPr>
            <w:r w:rsidRPr="00CE04E7">
              <w:rPr>
                <w:b/>
                <w:bCs/>
                <w:szCs w:val="24"/>
              </w:rPr>
              <w:t>Case #</w:t>
            </w:r>
          </w:p>
        </w:tc>
        <w:tc>
          <w:tcPr>
            <w:tcW w:w="1802" w:type="dxa"/>
          </w:tcPr>
          <w:p w14:paraId="1CA3421F" w14:textId="77777777" w:rsidR="00354410" w:rsidRPr="00CE04E7" w:rsidRDefault="00354410" w:rsidP="00CE04E7">
            <w:pPr>
              <w:pStyle w:val="NoSpacing"/>
              <w:rPr>
                <w:szCs w:val="24"/>
              </w:rPr>
            </w:pPr>
            <w:r w:rsidRPr="00CE04E7">
              <w:rPr>
                <w:szCs w:val="24"/>
              </w:rPr>
              <w:t>MS703</w:t>
            </w:r>
          </w:p>
        </w:tc>
        <w:tc>
          <w:tcPr>
            <w:tcW w:w="1802" w:type="dxa"/>
          </w:tcPr>
          <w:p w14:paraId="3E2C6FF6" w14:textId="77777777" w:rsidR="00354410" w:rsidRPr="00CE04E7" w:rsidRDefault="00354410" w:rsidP="00CE04E7">
            <w:pPr>
              <w:pStyle w:val="NoSpacing"/>
              <w:rPr>
                <w:szCs w:val="24"/>
              </w:rPr>
            </w:pPr>
            <w:r w:rsidRPr="00CE04E7">
              <w:rPr>
                <w:szCs w:val="24"/>
              </w:rPr>
              <w:t>MS705</w:t>
            </w:r>
          </w:p>
        </w:tc>
        <w:tc>
          <w:tcPr>
            <w:tcW w:w="1802" w:type="dxa"/>
          </w:tcPr>
          <w:p w14:paraId="49CFFBE5" w14:textId="77777777" w:rsidR="00354410" w:rsidRPr="00CE04E7" w:rsidRDefault="00354410" w:rsidP="00CE04E7">
            <w:pPr>
              <w:pStyle w:val="NoSpacing"/>
              <w:rPr>
                <w:szCs w:val="24"/>
              </w:rPr>
            </w:pPr>
            <w:r w:rsidRPr="00CE04E7">
              <w:rPr>
                <w:szCs w:val="24"/>
              </w:rPr>
              <w:t>MS706</w:t>
            </w:r>
          </w:p>
        </w:tc>
      </w:tr>
      <w:tr w:rsidR="00354410" w:rsidRPr="00CE04E7" w14:paraId="1E7CB9FF" w14:textId="77777777" w:rsidTr="008F22F8">
        <w:tc>
          <w:tcPr>
            <w:tcW w:w="1802" w:type="dxa"/>
          </w:tcPr>
          <w:p w14:paraId="41B7B05F" w14:textId="77777777" w:rsidR="00354410" w:rsidRPr="00CE04E7" w:rsidRDefault="00354410" w:rsidP="00CE04E7">
            <w:pPr>
              <w:pStyle w:val="NoSpacing"/>
              <w:rPr>
                <w:b/>
                <w:bCs/>
                <w:szCs w:val="24"/>
              </w:rPr>
            </w:pPr>
            <w:r w:rsidRPr="00CE04E7">
              <w:rPr>
                <w:b/>
                <w:bCs/>
                <w:szCs w:val="24"/>
              </w:rPr>
              <w:t>60s</w:t>
            </w:r>
          </w:p>
        </w:tc>
        <w:tc>
          <w:tcPr>
            <w:tcW w:w="1802" w:type="dxa"/>
          </w:tcPr>
          <w:p w14:paraId="3EF5FFE8" w14:textId="77777777" w:rsidR="00354410" w:rsidRPr="00CE04E7" w:rsidRDefault="00354410" w:rsidP="00CE04E7">
            <w:pPr>
              <w:pStyle w:val="NoSpacing"/>
              <w:rPr>
                <w:szCs w:val="24"/>
              </w:rPr>
            </w:pPr>
            <w:r w:rsidRPr="00CE04E7">
              <w:rPr>
                <w:szCs w:val="24"/>
              </w:rPr>
              <w:t>0.804</w:t>
            </w:r>
          </w:p>
        </w:tc>
        <w:tc>
          <w:tcPr>
            <w:tcW w:w="1802" w:type="dxa"/>
          </w:tcPr>
          <w:p w14:paraId="7E67477C" w14:textId="77777777" w:rsidR="00354410" w:rsidRPr="00CE04E7" w:rsidRDefault="00354410" w:rsidP="00CE04E7">
            <w:pPr>
              <w:pStyle w:val="NoSpacing"/>
              <w:rPr>
                <w:szCs w:val="24"/>
              </w:rPr>
            </w:pPr>
            <w:r w:rsidRPr="00CE04E7">
              <w:rPr>
                <w:szCs w:val="24"/>
              </w:rPr>
              <w:t>0.810</w:t>
            </w:r>
          </w:p>
        </w:tc>
        <w:tc>
          <w:tcPr>
            <w:tcW w:w="1802" w:type="dxa"/>
          </w:tcPr>
          <w:p w14:paraId="5B2E68F1" w14:textId="77777777" w:rsidR="00354410" w:rsidRPr="00CE04E7" w:rsidRDefault="00354410" w:rsidP="00CE04E7">
            <w:pPr>
              <w:pStyle w:val="NoSpacing"/>
              <w:rPr>
                <w:szCs w:val="24"/>
              </w:rPr>
            </w:pPr>
            <w:r w:rsidRPr="00CE04E7">
              <w:rPr>
                <w:szCs w:val="24"/>
              </w:rPr>
              <w:t>0.785</w:t>
            </w:r>
          </w:p>
        </w:tc>
      </w:tr>
      <w:tr w:rsidR="00354410" w:rsidRPr="00CE04E7" w14:paraId="509BC351" w14:textId="77777777" w:rsidTr="008F22F8">
        <w:tc>
          <w:tcPr>
            <w:tcW w:w="1802" w:type="dxa"/>
          </w:tcPr>
          <w:p w14:paraId="31F83A50" w14:textId="77777777" w:rsidR="00354410" w:rsidRPr="00CE04E7" w:rsidRDefault="00354410" w:rsidP="00CE04E7">
            <w:pPr>
              <w:pStyle w:val="NoSpacing"/>
              <w:rPr>
                <w:b/>
                <w:bCs/>
                <w:szCs w:val="24"/>
              </w:rPr>
            </w:pPr>
            <w:r w:rsidRPr="00CE04E7">
              <w:rPr>
                <w:b/>
                <w:bCs/>
                <w:szCs w:val="24"/>
              </w:rPr>
              <w:t>120s</w:t>
            </w:r>
          </w:p>
        </w:tc>
        <w:tc>
          <w:tcPr>
            <w:tcW w:w="1802" w:type="dxa"/>
          </w:tcPr>
          <w:p w14:paraId="1AE1DE44" w14:textId="77777777" w:rsidR="00354410" w:rsidRPr="00CE04E7" w:rsidRDefault="00354410" w:rsidP="00CE04E7">
            <w:pPr>
              <w:pStyle w:val="NoSpacing"/>
              <w:rPr>
                <w:szCs w:val="24"/>
              </w:rPr>
            </w:pPr>
            <w:r w:rsidRPr="00CE04E7">
              <w:rPr>
                <w:szCs w:val="24"/>
              </w:rPr>
              <w:t>0.984</w:t>
            </w:r>
          </w:p>
        </w:tc>
        <w:tc>
          <w:tcPr>
            <w:tcW w:w="1802" w:type="dxa"/>
          </w:tcPr>
          <w:p w14:paraId="661889F4" w14:textId="77777777" w:rsidR="00354410" w:rsidRPr="00CE04E7" w:rsidRDefault="00354410" w:rsidP="00CE04E7">
            <w:pPr>
              <w:pStyle w:val="NoSpacing"/>
              <w:rPr>
                <w:szCs w:val="24"/>
              </w:rPr>
            </w:pPr>
            <w:r w:rsidRPr="00CE04E7">
              <w:rPr>
                <w:szCs w:val="24"/>
              </w:rPr>
              <w:t>0.994</w:t>
            </w:r>
          </w:p>
        </w:tc>
        <w:tc>
          <w:tcPr>
            <w:tcW w:w="1802" w:type="dxa"/>
          </w:tcPr>
          <w:p w14:paraId="567138C5" w14:textId="77777777" w:rsidR="00354410" w:rsidRPr="00CE04E7" w:rsidRDefault="00354410" w:rsidP="00CE04E7">
            <w:pPr>
              <w:pStyle w:val="NoSpacing"/>
              <w:rPr>
                <w:szCs w:val="24"/>
              </w:rPr>
            </w:pPr>
            <w:r w:rsidRPr="00CE04E7">
              <w:rPr>
                <w:szCs w:val="24"/>
              </w:rPr>
              <w:t>0.952</w:t>
            </w:r>
          </w:p>
        </w:tc>
      </w:tr>
      <w:tr w:rsidR="00354410" w:rsidRPr="00CE04E7" w14:paraId="63DB26B4" w14:textId="77777777" w:rsidTr="008F22F8">
        <w:tc>
          <w:tcPr>
            <w:tcW w:w="1802" w:type="dxa"/>
          </w:tcPr>
          <w:p w14:paraId="02A0EDE5" w14:textId="77777777" w:rsidR="00354410" w:rsidRPr="00CE04E7" w:rsidRDefault="00354410" w:rsidP="00CE04E7">
            <w:pPr>
              <w:pStyle w:val="NoSpacing"/>
              <w:rPr>
                <w:b/>
                <w:bCs/>
                <w:szCs w:val="24"/>
              </w:rPr>
            </w:pPr>
            <w:r w:rsidRPr="00CE04E7">
              <w:rPr>
                <w:b/>
                <w:bCs/>
                <w:szCs w:val="24"/>
              </w:rPr>
              <w:t>180s</w:t>
            </w:r>
          </w:p>
        </w:tc>
        <w:tc>
          <w:tcPr>
            <w:tcW w:w="1802" w:type="dxa"/>
          </w:tcPr>
          <w:p w14:paraId="72D31A25" w14:textId="77777777" w:rsidR="00354410" w:rsidRPr="00CE04E7" w:rsidRDefault="00354410" w:rsidP="00CE04E7">
            <w:pPr>
              <w:pStyle w:val="NoSpacing"/>
              <w:rPr>
                <w:szCs w:val="24"/>
              </w:rPr>
            </w:pPr>
            <w:r w:rsidRPr="00CE04E7">
              <w:rPr>
                <w:szCs w:val="24"/>
              </w:rPr>
              <w:t>1.019</w:t>
            </w:r>
          </w:p>
        </w:tc>
        <w:tc>
          <w:tcPr>
            <w:tcW w:w="1802" w:type="dxa"/>
          </w:tcPr>
          <w:p w14:paraId="279EE0E0" w14:textId="77777777" w:rsidR="00354410" w:rsidRPr="00CE04E7" w:rsidRDefault="00354410" w:rsidP="00CE04E7">
            <w:pPr>
              <w:pStyle w:val="NoSpacing"/>
              <w:rPr>
                <w:szCs w:val="24"/>
              </w:rPr>
            </w:pPr>
            <w:r w:rsidRPr="00CE04E7">
              <w:rPr>
                <w:szCs w:val="24"/>
              </w:rPr>
              <w:t>1.025</w:t>
            </w:r>
          </w:p>
        </w:tc>
        <w:tc>
          <w:tcPr>
            <w:tcW w:w="1802" w:type="dxa"/>
          </w:tcPr>
          <w:p w14:paraId="1525BD48" w14:textId="77777777" w:rsidR="00354410" w:rsidRPr="00CE04E7" w:rsidRDefault="00354410" w:rsidP="00CE04E7">
            <w:pPr>
              <w:pStyle w:val="NoSpacing"/>
              <w:rPr>
                <w:szCs w:val="24"/>
              </w:rPr>
            </w:pPr>
            <w:r w:rsidRPr="00CE04E7">
              <w:rPr>
                <w:szCs w:val="24"/>
              </w:rPr>
              <w:t>0.995</w:t>
            </w:r>
          </w:p>
        </w:tc>
      </w:tr>
      <w:tr w:rsidR="00354410" w:rsidRPr="00CE04E7" w14:paraId="6C22D3D5" w14:textId="77777777" w:rsidTr="008F22F8">
        <w:tc>
          <w:tcPr>
            <w:tcW w:w="1802" w:type="dxa"/>
          </w:tcPr>
          <w:p w14:paraId="6968C664" w14:textId="77777777" w:rsidR="00354410" w:rsidRPr="00CE04E7" w:rsidRDefault="00354410" w:rsidP="00CE04E7">
            <w:pPr>
              <w:pStyle w:val="NoSpacing"/>
              <w:rPr>
                <w:b/>
                <w:bCs/>
                <w:szCs w:val="24"/>
              </w:rPr>
            </w:pPr>
            <w:r w:rsidRPr="00CE04E7">
              <w:rPr>
                <w:b/>
                <w:bCs/>
                <w:szCs w:val="24"/>
              </w:rPr>
              <w:t>240s</w:t>
            </w:r>
          </w:p>
        </w:tc>
        <w:tc>
          <w:tcPr>
            <w:tcW w:w="1802" w:type="dxa"/>
          </w:tcPr>
          <w:p w14:paraId="738FE5F5" w14:textId="77777777" w:rsidR="00354410" w:rsidRPr="00CE04E7" w:rsidRDefault="00354410" w:rsidP="00CE04E7">
            <w:pPr>
              <w:pStyle w:val="NoSpacing"/>
              <w:rPr>
                <w:szCs w:val="24"/>
              </w:rPr>
            </w:pPr>
            <w:r w:rsidRPr="00CE04E7">
              <w:rPr>
                <w:szCs w:val="24"/>
              </w:rPr>
              <w:t>1.029</w:t>
            </w:r>
          </w:p>
        </w:tc>
        <w:tc>
          <w:tcPr>
            <w:tcW w:w="1802" w:type="dxa"/>
          </w:tcPr>
          <w:p w14:paraId="7275DCF7" w14:textId="77777777" w:rsidR="00354410" w:rsidRPr="00CE04E7" w:rsidRDefault="00354410" w:rsidP="00CE04E7">
            <w:pPr>
              <w:pStyle w:val="NoSpacing"/>
              <w:rPr>
                <w:szCs w:val="24"/>
              </w:rPr>
            </w:pPr>
            <w:r w:rsidRPr="00CE04E7">
              <w:rPr>
                <w:szCs w:val="24"/>
              </w:rPr>
              <w:t>1.033</w:t>
            </w:r>
          </w:p>
        </w:tc>
        <w:tc>
          <w:tcPr>
            <w:tcW w:w="1802" w:type="dxa"/>
          </w:tcPr>
          <w:p w14:paraId="2EAADE67" w14:textId="77777777" w:rsidR="00354410" w:rsidRPr="00CE04E7" w:rsidRDefault="00354410" w:rsidP="00CE04E7">
            <w:pPr>
              <w:pStyle w:val="NoSpacing"/>
              <w:rPr>
                <w:szCs w:val="24"/>
              </w:rPr>
            </w:pPr>
            <w:r w:rsidRPr="00CE04E7">
              <w:rPr>
                <w:szCs w:val="24"/>
              </w:rPr>
              <w:t>1.015</w:t>
            </w:r>
          </w:p>
        </w:tc>
      </w:tr>
    </w:tbl>
    <w:p w14:paraId="0F2577FC" w14:textId="77777777" w:rsidR="00354410" w:rsidRPr="00CE04E7" w:rsidRDefault="00354410" w:rsidP="00CE04E7">
      <w:pPr>
        <w:pStyle w:val="NoSpacing"/>
        <w:rPr>
          <w:szCs w:val="24"/>
        </w:rPr>
      </w:pPr>
      <w:r w:rsidRPr="00CE04E7">
        <w:rPr>
          <w:szCs w:val="24"/>
        </w:rPr>
        <w:t>Table 2. Correction factors</w:t>
      </w:r>
    </w:p>
    <w:p w14:paraId="2B78BDB7" w14:textId="77777777" w:rsidR="00354410" w:rsidRPr="00CE04E7" w:rsidRDefault="00354410" w:rsidP="00CE04E7">
      <w:pPr>
        <w:pStyle w:val="NoSpacing"/>
        <w:rPr>
          <w:szCs w:val="24"/>
        </w:rPr>
      </w:pPr>
    </w:p>
    <w:p w14:paraId="5212CDAD" w14:textId="77777777" w:rsidR="00354410" w:rsidRPr="00CE04E7" w:rsidRDefault="00354410" w:rsidP="00CE04E7">
      <w:pPr>
        <w:pStyle w:val="NoSpacing"/>
        <w:rPr>
          <w:szCs w:val="24"/>
        </w:rPr>
      </w:pPr>
      <w:r w:rsidRPr="00CE04E7">
        <w:rPr>
          <w:szCs w:val="24"/>
        </w:rPr>
        <w:t xml:space="preserve">The correction factors would significantly decrease the enhancement value at 60s (19.6-21.5%) and mildly decrease enhancement at 120s (0.6-4.8%) but produce little change in attenuation values at 180s and 240s (-0.5% - +3.3%). These findings are illustrated by the calculated AIFs and NECs for MS706 as shown in figure 1. </w:t>
      </w:r>
    </w:p>
    <w:p w14:paraId="36694887" w14:textId="77777777" w:rsidR="00354410" w:rsidRPr="00CE04E7" w:rsidRDefault="00354410" w:rsidP="00CE04E7">
      <w:pPr>
        <w:pStyle w:val="NoSpacing"/>
        <w:rPr>
          <w:szCs w:val="24"/>
        </w:rPr>
      </w:pPr>
    </w:p>
    <w:p w14:paraId="0010455A" w14:textId="77777777" w:rsidR="00354410" w:rsidRPr="00CE04E7" w:rsidRDefault="00354410" w:rsidP="00CE04E7">
      <w:pPr>
        <w:pStyle w:val="NoSpacing"/>
        <w:rPr>
          <w:szCs w:val="24"/>
        </w:rPr>
      </w:pPr>
      <w:r w:rsidRPr="00CE04E7">
        <w:rPr>
          <w:szCs w:val="24"/>
        </w:rPr>
        <w:t xml:space="preserve"> </w:t>
      </w:r>
      <w:r w:rsidRPr="00CE04E7">
        <w:rPr>
          <w:noProof/>
          <w:szCs w:val="24"/>
          <w:lang w:eastAsia="en-GB"/>
        </w:rPr>
        <w:drawing>
          <wp:inline distT="0" distB="0" distL="0" distR="0" wp14:anchorId="2523620E" wp14:editId="597567C3">
            <wp:extent cx="3898900" cy="35941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98900" cy="3594100"/>
                    </a:xfrm>
                    <a:prstGeom prst="rect">
                      <a:avLst/>
                    </a:prstGeom>
                  </pic:spPr>
                </pic:pic>
              </a:graphicData>
            </a:graphic>
          </wp:inline>
        </w:drawing>
      </w:r>
    </w:p>
    <w:p w14:paraId="0B414D2A" w14:textId="77777777" w:rsidR="00354410" w:rsidRPr="00CE04E7" w:rsidRDefault="00354410" w:rsidP="00CE04E7">
      <w:pPr>
        <w:pStyle w:val="NoSpacing"/>
        <w:rPr>
          <w:szCs w:val="24"/>
        </w:rPr>
      </w:pPr>
      <w:r w:rsidRPr="00CE04E7">
        <w:rPr>
          <w:szCs w:val="24"/>
        </w:rPr>
        <w:t>Figure 1: Modelled AIFs and NECs for injection rates of 2ml/s and 3ml/s for case MS706.</w:t>
      </w:r>
    </w:p>
    <w:p w14:paraId="6339F1F7" w14:textId="77777777" w:rsidR="00354410" w:rsidRPr="00CE04E7" w:rsidRDefault="00354410" w:rsidP="00CE04E7">
      <w:pPr>
        <w:pStyle w:val="NoSpacing"/>
        <w:rPr>
          <w:szCs w:val="24"/>
        </w:rPr>
      </w:pPr>
    </w:p>
    <w:p w14:paraId="41047095" w14:textId="77777777" w:rsidR="00354410" w:rsidRPr="00CE04E7" w:rsidRDefault="00354410" w:rsidP="00CE04E7">
      <w:pPr>
        <w:pStyle w:val="NoSpacing"/>
        <w:rPr>
          <w:b/>
          <w:bCs/>
          <w:szCs w:val="24"/>
        </w:rPr>
      </w:pPr>
    </w:p>
    <w:p w14:paraId="625FE250" w14:textId="77777777" w:rsidR="00354410" w:rsidRPr="00CE04E7" w:rsidRDefault="00354410" w:rsidP="00CE04E7">
      <w:pPr>
        <w:pStyle w:val="NoSpacing"/>
        <w:rPr>
          <w:szCs w:val="24"/>
        </w:rPr>
      </w:pPr>
      <w:r w:rsidRPr="00CE04E7">
        <w:rPr>
          <w:szCs w:val="24"/>
        </w:rPr>
        <w:t xml:space="preserve">A literature search [CT + enhancement + injection + rate] identified no studies reporting the impact of injection rate on the enhancement of pulmonary nodules. Most studies reported the impact of injection rate on hepatic enhancement but these reports were not considered further in view of the dual blood supply to the liver. Two studies described the impact of injection rate on pancreatic enhancement. This organ has a single blood supply and is therefore comparable to the blood supply for pulmonary nodules. Using image acquisitions every 5s for a total of 73s, Tublim et al reported a 29% increase in peak pancreatic enhancement when increasing the injection rate for a 150ml bolus from 2.5 ml/s to 5ml/s [1]. Using image acquisitions every 2s for a total of 60s, Kim et al reported increased in peak pancreatic enhancement of 10% and 16% when increasing the injection rate from 3ml/s to 5ml/s for injections of 2ml/kg and 1.5 ml/kg respectively [2]. A kinetic model using a single blood supply reported by et al Bae et al with imaging acquisitions of up to every 15s to a total time of 300s described a 3% increase in peak tissue enhancement when the contrast injection rate was increased from 2ml/s to 4ml/s [3]. The reduced impact found in the latter likely reflects the lower frequency of image acquisitions which could result failure to capture peak tissue enhancement within the imaging protocol. The correction factors identified above (table 2) are in keeping with these previous reports.  </w:t>
      </w:r>
    </w:p>
    <w:p w14:paraId="1379FD45" w14:textId="77777777" w:rsidR="00354410" w:rsidRPr="00CE04E7" w:rsidRDefault="00354410" w:rsidP="00CE04E7">
      <w:pPr>
        <w:pStyle w:val="NoSpacing"/>
        <w:rPr>
          <w:b/>
          <w:bCs/>
          <w:szCs w:val="24"/>
        </w:rPr>
      </w:pPr>
      <w:r w:rsidRPr="00CE04E7">
        <w:rPr>
          <w:b/>
          <w:bCs/>
          <w:szCs w:val="24"/>
        </w:rPr>
        <w:t>References:</w:t>
      </w:r>
    </w:p>
    <w:p w14:paraId="49F5EA40" w14:textId="77777777" w:rsidR="00354410" w:rsidRPr="00CE04E7" w:rsidRDefault="00354410" w:rsidP="00CE04E7">
      <w:pPr>
        <w:pStyle w:val="NoSpacing"/>
        <w:rPr>
          <w:szCs w:val="24"/>
        </w:rPr>
      </w:pPr>
      <w:r w:rsidRPr="00CE04E7">
        <w:rPr>
          <w:szCs w:val="24"/>
        </w:rPr>
        <w:t>Mitchell E. Tublin, Franklin N. et al.  Effect of Injection Rate of Contrast Medium on Pancreatic and Hepatic Helical CT. Radiology 1999;210: 97–101</w:t>
      </w:r>
    </w:p>
    <w:p w14:paraId="7A287D33" w14:textId="77777777" w:rsidR="00354410" w:rsidRPr="00CE04E7" w:rsidRDefault="00354410" w:rsidP="00CE04E7">
      <w:pPr>
        <w:pStyle w:val="NoSpacing"/>
        <w:rPr>
          <w:szCs w:val="24"/>
        </w:rPr>
      </w:pPr>
      <w:r w:rsidRPr="00CE04E7">
        <w:rPr>
          <w:szCs w:val="24"/>
          <w:lang w:val="fi-FI"/>
        </w:rPr>
        <w:t xml:space="preserve">Tonsok Kim, Takamichi Murakami, Satoru Takahashi et al. </w:t>
      </w:r>
      <w:r w:rsidRPr="00CE04E7">
        <w:rPr>
          <w:szCs w:val="24"/>
        </w:rPr>
        <w:t>Pancreatic CT Imaging: Effects of Different Injection Rates and Doses of Contrast Material. Radiology 1999;212: 219–225</w:t>
      </w:r>
    </w:p>
    <w:p w14:paraId="7E581991" w14:textId="77777777" w:rsidR="00354410" w:rsidRPr="00CE04E7" w:rsidRDefault="00354410" w:rsidP="00CE04E7">
      <w:pPr>
        <w:pStyle w:val="NoSpacing"/>
        <w:rPr>
          <w:szCs w:val="24"/>
        </w:rPr>
      </w:pPr>
      <w:r w:rsidRPr="00CE04E7">
        <w:rPr>
          <w:szCs w:val="24"/>
        </w:rPr>
        <w:t>K T Bae, J P Heiken, J A Brink. Aortic and hepatic peak enhancement at CT: effect of contrast medium injection rate--pharmacokinetic analysis and experimental porcine model. Radiology 1998;206: 455–464</w:t>
      </w:r>
    </w:p>
    <w:p w14:paraId="14D9BC40" w14:textId="77777777" w:rsidR="00354410" w:rsidRDefault="00354410" w:rsidP="00354410">
      <w:pPr>
        <w:pStyle w:val="Default"/>
        <w:rPr>
          <w:b/>
          <w:color w:val="auto"/>
          <w:sz w:val="28"/>
          <w:szCs w:val="28"/>
        </w:rPr>
      </w:pPr>
    </w:p>
    <w:bookmarkEnd w:id="0"/>
    <w:p w14:paraId="00179E5F" w14:textId="77777777" w:rsidR="006B12C4" w:rsidRDefault="00944547"/>
    <w:sectPr w:rsidR="006B1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10"/>
    <w:rsid w:val="00354410"/>
    <w:rsid w:val="007745D6"/>
    <w:rsid w:val="00944547"/>
    <w:rsid w:val="00B150E9"/>
    <w:rsid w:val="00CE0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2AA5"/>
  <w15:chartTrackingRefBased/>
  <w15:docId w15:val="{DE847E15-375A-4AC1-94D8-8373CD57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1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ip 'Op"/>
    <w:link w:val="NoSpacingChar"/>
    <w:uiPriority w:val="1"/>
    <w:qFormat/>
    <w:rsid w:val="00354410"/>
    <w:pPr>
      <w:spacing w:after="0" w:line="360" w:lineRule="auto"/>
    </w:pPr>
    <w:rPr>
      <w:rFonts w:ascii="Times New Roman" w:eastAsia="Times New Roman" w:hAnsi="Times New Roman" w:cs="Times New Roman"/>
      <w:sz w:val="24"/>
    </w:rPr>
  </w:style>
  <w:style w:type="character" w:customStyle="1" w:styleId="NoSpacingChar">
    <w:name w:val="No Spacing Char"/>
    <w:aliases w:val="Hip 'Op Char"/>
    <w:basedOn w:val="DefaultParagraphFont"/>
    <w:link w:val="NoSpacing"/>
    <w:uiPriority w:val="1"/>
    <w:rsid w:val="00354410"/>
    <w:rPr>
      <w:rFonts w:ascii="Times New Roman" w:eastAsia="Times New Roman" w:hAnsi="Times New Roman" w:cs="Times New Roman"/>
      <w:sz w:val="24"/>
    </w:rPr>
  </w:style>
  <w:style w:type="paragraph" w:customStyle="1" w:styleId="Default">
    <w:name w:val="Default"/>
    <w:link w:val="DefaultChar"/>
    <w:rsid w:val="00354410"/>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354410"/>
    <w:rPr>
      <w:rFonts w:ascii="Calibri" w:hAnsi="Calibri" w:cs="Calibri"/>
      <w:color w:val="000000"/>
      <w:sz w:val="24"/>
      <w:szCs w:val="24"/>
    </w:rPr>
  </w:style>
  <w:style w:type="paragraph" w:styleId="BalloonText">
    <w:name w:val="Balloon Text"/>
    <w:basedOn w:val="Normal"/>
    <w:link w:val="BalloonTextChar"/>
    <w:uiPriority w:val="99"/>
    <w:semiHidden/>
    <w:unhideWhenUsed/>
    <w:rsid w:val="00354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Nuttall J.</dc:creator>
  <cp:keywords/>
  <dc:description/>
  <cp:lastModifiedBy>Danielle Stewart</cp:lastModifiedBy>
  <cp:revision>3</cp:revision>
  <dcterms:created xsi:type="dcterms:W3CDTF">2019-10-15T14:19:00Z</dcterms:created>
  <dcterms:modified xsi:type="dcterms:W3CDTF">2020-10-01T12:24:00Z</dcterms:modified>
</cp:coreProperties>
</file>