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D4" w:rsidRPr="00D06ED1" w:rsidRDefault="005D6ED4" w:rsidP="005D6ED4">
      <w:pPr>
        <w:pStyle w:val="Header"/>
        <w:rPr>
          <w:i/>
        </w:rPr>
      </w:pPr>
      <w:bookmarkStart w:id="0" w:name="_GoBack"/>
      <w:bookmarkEnd w:id="0"/>
      <w:r>
        <w:rPr>
          <w:i/>
        </w:rPr>
        <w:t xml:space="preserve">Dementia and Mild Cognitive Impairment in prison care pathway </w:t>
      </w:r>
    </w:p>
    <w:p w:rsidR="005D6ED4" w:rsidRDefault="005D6ED4" w:rsidP="007073A7">
      <w:pPr>
        <w:rPr>
          <w:b/>
          <w:i/>
        </w:rPr>
      </w:pPr>
    </w:p>
    <w:p w:rsidR="00727F4D" w:rsidRPr="00841F69" w:rsidRDefault="00727F4D" w:rsidP="007073A7">
      <w:pPr>
        <w:pStyle w:val="ListParagraph"/>
        <w:numPr>
          <w:ilvl w:val="0"/>
          <w:numId w:val="11"/>
        </w:numPr>
      </w:pPr>
      <w:r w:rsidRPr="00841F69">
        <w:rPr>
          <w:b/>
          <w:i/>
        </w:rPr>
        <w:t>Reception screens</w:t>
      </w:r>
      <w:r w:rsidRPr="00841F69">
        <w:t>: per</w:t>
      </w:r>
      <w:r w:rsidR="002A1AD7" w:rsidRPr="00841F69">
        <w:t xml:space="preserve"> prison</w:t>
      </w:r>
      <w:r w:rsidR="00991241" w:rsidRPr="00841F69">
        <w:t>/healthcare</w:t>
      </w:r>
      <w:r w:rsidR="002A1AD7" w:rsidRPr="00841F69">
        <w:t xml:space="preserve"> </w:t>
      </w:r>
      <w:r w:rsidRPr="00841F69">
        <w:t xml:space="preserve">protocol. </w:t>
      </w:r>
    </w:p>
    <w:p w:rsidR="00727F4D" w:rsidRPr="00841F69" w:rsidRDefault="00727F4D" w:rsidP="00D06ED1">
      <w:pPr>
        <w:pStyle w:val="ListParagraph"/>
        <w:ind w:left="0"/>
      </w:pPr>
    </w:p>
    <w:p w:rsidR="00DD6A2F" w:rsidRPr="00841F69" w:rsidRDefault="00DC475A" w:rsidP="007073A7">
      <w:pPr>
        <w:pStyle w:val="ListParagraph"/>
        <w:numPr>
          <w:ilvl w:val="0"/>
          <w:numId w:val="11"/>
        </w:numPr>
      </w:pPr>
      <w:r w:rsidRPr="00841F69">
        <w:rPr>
          <w:b/>
          <w:i/>
        </w:rPr>
        <w:t>Initial Memory assessment</w:t>
      </w:r>
      <w:r w:rsidRPr="00841F69">
        <w:t xml:space="preserve"> for all over 50s using the </w:t>
      </w:r>
      <w:r w:rsidR="00991241" w:rsidRPr="00841F69">
        <w:t>Montreal Cognitive Assessment</w:t>
      </w:r>
      <w:r w:rsidR="006B0EDC" w:rsidRPr="00841F69">
        <w:t xml:space="preserve"> (MoCa)</w:t>
      </w:r>
      <w:r w:rsidR="00991241" w:rsidRPr="00841F69">
        <w:t xml:space="preserve"> </w:t>
      </w:r>
      <w:r w:rsidR="008F2A98" w:rsidRPr="00841F69">
        <w:rPr>
          <w:noProof/>
        </w:rPr>
        <w:t>(Nasreddine et. al, 2005)</w:t>
      </w:r>
      <w:r w:rsidRPr="00841F69">
        <w:t xml:space="preserve">, taking approximately 20 minutes. This will be carried out by a </w:t>
      </w:r>
      <w:r w:rsidR="00992D76">
        <w:t xml:space="preserve">grade 5 </w:t>
      </w:r>
      <w:r w:rsidR="00B340BA">
        <w:t xml:space="preserve">dementia </w:t>
      </w:r>
      <w:r w:rsidR="00992D76">
        <w:t>trained nurse</w:t>
      </w:r>
      <w:r w:rsidR="0090657F" w:rsidRPr="00841F69">
        <w:t xml:space="preserve"> </w:t>
      </w:r>
      <w:r w:rsidR="009D1AF1" w:rsidRPr="00841F69">
        <w:t>2-4 weeks after reception screen</w:t>
      </w:r>
      <w:r w:rsidR="00F448F4" w:rsidRPr="00841F69">
        <w:t>ing</w:t>
      </w:r>
      <w:r w:rsidR="00053ECD" w:rsidRPr="00841F69">
        <w:t xml:space="preserve">, </w:t>
      </w:r>
      <w:r w:rsidR="00ED3951" w:rsidRPr="00841F69">
        <w:t>as deemed appropriate according to the individuals circumstances</w:t>
      </w:r>
      <w:r w:rsidR="00991241" w:rsidRPr="00841F69">
        <w:t>.</w:t>
      </w:r>
    </w:p>
    <w:p w:rsidR="00DD6A2F" w:rsidRPr="00841F69" w:rsidRDefault="00DD6A2F" w:rsidP="00D06ED1">
      <w:pPr>
        <w:pStyle w:val="ListParagraph"/>
        <w:ind w:left="0"/>
      </w:pPr>
    </w:p>
    <w:p w:rsidR="00DD6A2F" w:rsidRDefault="00DD6A2F" w:rsidP="007073A7">
      <w:pPr>
        <w:pStyle w:val="ListParagraph"/>
        <w:ind w:firstLine="360"/>
      </w:pPr>
      <w:r w:rsidRPr="00841F69">
        <w:rPr>
          <w:b/>
          <w:i/>
        </w:rPr>
        <w:t>MoCa negative result</w:t>
      </w:r>
      <w:r w:rsidRPr="00841F69">
        <w:rPr>
          <w:i/>
        </w:rPr>
        <w:t xml:space="preserve"> (score of 23 or over):</w:t>
      </w:r>
      <w:r w:rsidRPr="00841F69">
        <w:t xml:space="preserve"> No further action is necessary. </w:t>
      </w:r>
      <w:r w:rsidR="00991241" w:rsidRPr="00841F69">
        <w:t>50 and overs</w:t>
      </w:r>
      <w:r w:rsidR="00C219EA" w:rsidRPr="00841F69">
        <w:t xml:space="preserve"> will be reassessed using the MoCa annually</w:t>
      </w:r>
      <w:r w:rsidRPr="00841F69">
        <w:t xml:space="preserve"> and 3 months prior to release</w:t>
      </w:r>
      <w:r w:rsidR="00991241" w:rsidRPr="00841F69">
        <w:t xml:space="preserve"> by </w:t>
      </w:r>
      <w:r w:rsidR="00992D76">
        <w:t xml:space="preserve">the </w:t>
      </w:r>
      <w:r w:rsidR="00B340BA">
        <w:t xml:space="preserve">dementia </w:t>
      </w:r>
      <w:r w:rsidR="00992D76">
        <w:t>trained nurse.</w:t>
      </w:r>
    </w:p>
    <w:p w:rsidR="00992D76" w:rsidRPr="00841F69" w:rsidRDefault="00992D76" w:rsidP="007073A7">
      <w:pPr>
        <w:pStyle w:val="ListParagraph"/>
        <w:ind w:firstLine="360"/>
      </w:pPr>
    </w:p>
    <w:p w:rsidR="00DD6A2F" w:rsidRPr="00841F69" w:rsidRDefault="00DD6A2F" w:rsidP="007073A7">
      <w:pPr>
        <w:pStyle w:val="ListParagraph"/>
        <w:ind w:left="360" w:firstLine="720"/>
      </w:pPr>
      <w:r w:rsidRPr="00841F69">
        <w:rPr>
          <w:b/>
          <w:i/>
        </w:rPr>
        <w:t xml:space="preserve">MoCa </w:t>
      </w:r>
      <w:r w:rsidR="00991241" w:rsidRPr="00841F69">
        <w:rPr>
          <w:b/>
          <w:i/>
        </w:rPr>
        <w:t>p</w:t>
      </w:r>
      <w:r w:rsidRPr="00841F69">
        <w:rPr>
          <w:b/>
          <w:i/>
        </w:rPr>
        <w:t xml:space="preserve">ositive result </w:t>
      </w:r>
      <w:r w:rsidRPr="00841F69">
        <w:rPr>
          <w:i/>
        </w:rPr>
        <w:t>(score of 22 or less):</w:t>
      </w:r>
      <w:r w:rsidRPr="00841F69">
        <w:t xml:space="preserve"> prompts further assessment</w:t>
      </w:r>
      <w:r w:rsidR="00991241" w:rsidRPr="00841F69">
        <w:t xml:space="preserve"> (see below)</w:t>
      </w:r>
    </w:p>
    <w:p w:rsidR="00DD6A2F" w:rsidRPr="00841F69" w:rsidRDefault="00DD6A2F" w:rsidP="00DD6A2F">
      <w:pPr>
        <w:pStyle w:val="ListParagraph"/>
        <w:ind w:left="0" w:firstLine="720"/>
      </w:pPr>
    </w:p>
    <w:p w:rsidR="00B80A2C" w:rsidRPr="00841F69" w:rsidRDefault="00C70254" w:rsidP="007073A7">
      <w:pPr>
        <w:pStyle w:val="ListParagraph"/>
        <w:numPr>
          <w:ilvl w:val="0"/>
          <w:numId w:val="11"/>
        </w:numPr>
      </w:pPr>
      <w:r w:rsidRPr="00841F69">
        <w:rPr>
          <w:b/>
          <w:i/>
        </w:rPr>
        <w:t>Further assessment:</w:t>
      </w:r>
      <w:r w:rsidRPr="00841F69">
        <w:t xml:space="preserve"> patient history and current health</w:t>
      </w:r>
      <w:r w:rsidR="0058160C">
        <w:t xml:space="preserve"> screen</w:t>
      </w:r>
      <w:r w:rsidR="00991241" w:rsidRPr="00841F69">
        <w:t>.</w:t>
      </w:r>
      <w:r w:rsidR="006B0EDC" w:rsidRPr="00841F69">
        <w:t xml:space="preserve"> </w:t>
      </w:r>
      <w:r w:rsidR="00B80A2C" w:rsidRPr="00841F69">
        <w:t>Screening of patient history will include determining any previous head injuries or stroke, or if there has been a progressive decline in memory. Current mental and physical screen to determine any other diagnoses</w:t>
      </w:r>
      <w:r w:rsidR="00D06D35" w:rsidRPr="00841F69">
        <w:t xml:space="preserve"> present</w:t>
      </w:r>
      <w:r w:rsidR="00B80A2C" w:rsidRPr="00841F69">
        <w:t>.</w:t>
      </w:r>
      <w:r w:rsidR="00C06DCD" w:rsidRPr="00841F69">
        <w:t xml:space="preserve"> These screenings will be completed within 2-4 weeks of MoCa assessment.</w:t>
      </w:r>
      <w:r w:rsidR="00D06D35" w:rsidRPr="00841F69">
        <w:t xml:space="preserve">  </w:t>
      </w:r>
    </w:p>
    <w:p w:rsidR="007073A7" w:rsidRPr="00841F69" w:rsidRDefault="007073A7" w:rsidP="00217174">
      <w:pPr>
        <w:ind w:firstLine="720"/>
        <w:rPr>
          <w:b/>
          <w:i/>
        </w:rPr>
      </w:pPr>
    </w:p>
    <w:p w:rsidR="0058160C" w:rsidRPr="0058160C" w:rsidRDefault="00D54940" w:rsidP="006B0EDC">
      <w:pPr>
        <w:pStyle w:val="ListParagraph"/>
        <w:numPr>
          <w:ilvl w:val="0"/>
          <w:numId w:val="11"/>
        </w:numPr>
      </w:pPr>
      <w:r w:rsidRPr="00841F69">
        <w:rPr>
          <w:b/>
          <w:i/>
        </w:rPr>
        <w:t>R</w:t>
      </w:r>
      <w:r w:rsidR="00C06DCD" w:rsidRPr="00841F69">
        <w:rPr>
          <w:b/>
          <w:i/>
        </w:rPr>
        <w:t xml:space="preserve">eferral to </w:t>
      </w:r>
      <w:r w:rsidR="0058160C">
        <w:rPr>
          <w:b/>
          <w:i/>
        </w:rPr>
        <w:t xml:space="preserve">external </w:t>
      </w:r>
      <w:r w:rsidR="00991241" w:rsidRPr="00841F69">
        <w:rPr>
          <w:b/>
          <w:i/>
        </w:rPr>
        <w:t>memory</w:t>
      </w:r>
      <w:r w:rsidR="00C06DCD" w:rsidRPr="00841F69">
        <w:rPr>
          <w:b/>
          <w:i/>
        </w:rPr>
        <w:t xml:space="preserve"> assessment services</w:t>
      </w:r>
      <w:r w:rsidR="0058160C">
        <w:rPr>
          <w:b/>
          <w:i/>
        </w:rPr>
        <w:t xml:space="preserve"> (MAS)</w:t>
      </w:r>
      <w:r w:rsidR="00C06DCD" w:rsidRPr="00841F69">
        <w:rPr>
          <w:b/>
          <w:i/>
        </w:rPr>
        <w:t>:</w:t>
      </w:r>
      <w:r w:rsidR="00D77B3C" w:rsidRPr="00841F69">
        <w:rPr>
          <w:b/>
          <w:i/>
        </w:rPr>
        <w:t xml:space="preserve"> </w:t>
      </w:r>
    </w:p>
    <w:p w:rsidR="0058160C" w:rsidRDefault="0058160C" w:rsidP="0058160C">
      <w:pPr>
        <w:pStyle w:val="ListParagraph"/>
        <w:ind w:firstLine="720"/>
        <w:rPr>
          <w:b/>
          <w:i/>
        </w:rPr>
      </w:pPr>
      <w:r>
        <w:t>Completion of</w:t>
      </w:r>
      <w:r w:rsidRPr="00841F69">
        <w:t xml:space="preserve"> Addenbrooke’s</w:t>
      </w:r>
      <w:r>
        <w:t xml:space="preserve"> Cognitive Examinaton (ACE-III)</w:t>
      </w:r>
    </w:p>
    <w:p w:rsidR="00BD1F49" w:rsidRPr="00841F69" w:rsidRDefault="00BD1F49" w:rsidP="00BD1F49">
      <w:pPr>
        <w:ind w:left="720" w:firstLine="720"/>
      </w:pPr>
      <w:r w:rsidRPr="00841F69">
        <w:rPr>
          <w:b/>
          <w:i/>
        </w:rPr>
        <w:t xml:space="preserve">Negative result (score of 88 and over): </w:t>
      </w:r>
      <w:r w:rsidRPr="00841F69">
        <w:t>No further action is necessary. Over 50s will be reassessed using the MoCa annually and 3 months prior to release.</w:t>
      </w:r>
    </w:p>
    <w:p w:rsidR="00BD1F49" w:rsidRPr="00841F69" w:rsidRDefault="00BD1F49" w:rsidP="00BD1F49">
      <w:pPr>
        <w:ind w:left="720" w:firstLine="720"/>
      </w:pPr>
      <w:r w:rsidRPr="00841F69">
        <w:rPr>
          <w:b/>
          <w:i/>
        </w:rPr>
        <w:t xml:space="preserve">Positive </w:t>
      </w:r>
      <w:r w:rsidRPr="005C68C2">
        <w:rPr>
          <w:b/>
          <w:i/>
        </w:rPr>
        <w:t>result (score of 83-</w:t>
      </w:r>
      <w:r w:rsidRPr="005C68C2">
        <w:rPr>
          <w:b/>
        </w:rPr>
        <w:t>87):</w:t>
      </w:r>
      <w:r w:rsidRPr="00841F69">
        <w:t xml:space="preserve"> referral to memory assessment services to determine Mild Cognitive Impairment.</w:t>
      </w:r>
    </w:p>
    <w:p w:rsidR="00BD1F49" w:rsidRPr="00841F69" w:rsidRDefault="00BD1F49" w:rsidP="00BD1F49">
      <w:pPr>
        <w:ind w:left="720" w:firstLine="720"/>
        <w:rPr>
          <w:b/>
          <w:i/>
        </w:rPr>
      </w:pPr>
      <w:r w:rsidRPr="00841F69">
        <w:rPr>
          <w:b/>
          <w:i/>
        </w:rPr>
        <w:t>Positive result (score of 82 or less)</w:t>
      </w:r>
      <w:r>
        <w:rPr>
          <w:b/>
          <w:i/>
        </w:rPr>
        <w:t xml:space="preserve"> </w:t>
      </w:r>
      <w:r w:rsidRPr="00841F69">
        <w:t>referral to memory assessment services to determine dementia diagnosis.</w:t>
      </w:r>
      <w:r w:rsidRPr="00841F69">
        <w:rPr>
          <w:b/>
          <w:i/>
        </w:rPr>
        <w:t xml:space="preserve"> </w:t>
      </w:r>
    </w:p>
    <w:p w:rsidR="0058160C" w:rsidRDefault="0058160C" w:rsidP="0058160C">
      <w:pPr>
        <w:pStyle w:val="ListParagraph"/>
        <w:rPr>
          <w:b/>
          <w:i/>
        </w:rPr>
      </w:pPr>
    </w:p>
    <w:p w:rsidR="006B0EDC" w:rsidRPr="00841F69" w:rsidRDefault="00003569" w:rsidP="0058160C">
      <w:pPr>
        <w:pStyle w:val="ListParagraph"/>
        <w:ind w:firstLine="720"/>
      </w:pPr>
      <w:r w:rsidRPr="00841F69">
        <w:t>S</w:t>
      </w:r>
      <w:r w:rsidR="00D77B3C" w:rsidRPr="00841F69">
        <w:t>cans</w:t>
      </w:r>
      <w:r w:rsidR="001A6261" w:rsidRPr="00841F69">
        <w:t xml:space="preserve"> (CT, MRI)</w:t>
      </w:r>
      <w:r w:rsidR="00D77B3C" w:rsidRPr="00841F69">
        <w:t xml:space="preserve"> </w:t>
      </w:r>
      <w:r w:rsidRPr="00841F69">
        <w:t xml:space="preserve">completed </w:t>
      </w:r>
      <w:r w:rsidR="00D77B3C" w:rsidRPr="00841F69">
        <w:t>to determine diagnosis.</w:t>
      </w:r>
      <w:r w:rsidR="00874CBB" w:rsidRPr="00841F69">
        <w:t xml:space="preserve"> </w:t>
      </w:r>
    </w:p>
    <w:p w:rsidR="00C06DCD" w:rsidRPr="00841F69" w:rsidRDefault="00874CBB" w:rsidP="00FF7A11">
      <w:pPr>
        <w:ind w:left="720" w:firstLine="360"/>
      </w:pPr>
      <w:r w:rsidRPr="00841F69">
        <w:rPr>
          <w:b/>
          <w:i/>
        </w:rPr>
        <w:t>If no diagnosis is given</w:t>
      </w:r>
      <w:r w:rsidRPr="00841F69">
        <w:t>, review annually using MoCa</w:t>
      </w:r>
      <w:r w:rsidR="007073A7" w:rsidRPr="00841F69">
        <w:t xml:space="preserve"> (</w:t>
      </w:r>
      <w:r w:rsidR="0058160C">
        <w:t>dementia trained nurse</w:t>
      </w:r>
      <w:r w:rsidR="007073A7" w:rsidRPr="00841F69">
        <w:t>)</w:t>
      </w:r>
      <w:r w:rsidRPr="00841F69">
        <w:t xml:space="preserve">. </w:t>
      </w:r>
    </w:p>
    <w:p w:rsidR="008A6106" w:rsidRDefault="002212AC" w:rsidP="00B340BA">
      <w:pPr>
        <w:ind w:left="720" w:firstLine="360"/>
      </w:pPr>
      <w:r w:rsidRPr="00841F69">
        <w:rPr>
          <w:b/>
          <w:i/>
        </w:rPr>
        <w:t xml:space="preserve">Diagnosis given: </w:t>
      </w:r>
      <w:r w:rsidR="003A2408" w:rsidRPr="00841F69">
        <w:t xml:space="preserve">medication given dependent on diagnosis, </w:t>
      </w:r>
      <w:r w:rsidR="002B25C3" w:rsidRPr="00841F69">
        <w:t xml:space="preserve">medication will be initially monitored. </w:t>
      </w:r>
      <w:r w:rsidR="0058160C">
        <w:t>P</w:t>
      </w:r>
      <w:r w:rsidR="002B25C3" w:rsidRPr="00841F69">
        <w:t>atient will be transferred to prison GP for follow up. R</w:t>
      </w:r>
      <w:r w:rsidR="008A6106" w:rsidRPr="00841F69">
        <w:t xml:space="preserve">eferral </w:t>
      </w:r>
      <w:r w:rsidR="002B25C3" w:rsidRPr="00841F69">
        <w:t xml:space="preserve">made </w:t>
      </w:r>
      <w:r w:rsidR="008A6106" w:rsidRPr="00841F69">
        <w:t>to social worker to assess needs</w:t>
      </w:r>
      <w:r w:rsidR="00F15C87" w:rsidRPr="00841F69">
        <w:t xml:space="preserve">, who </w:t>
      </w:r>
      <w:r w:rsidR="00152D78" w:rsidRPr="00841F69">
        <w:t>will signpost to relevant third sector and prison support</w:t>
      </w:r>
      <w:r w:rsidR="008A6106" w:rsidRPr="00841F69">
        <w:t>.</w:t>
      </w:r>
    </w:p>
    <w:p w:rsidR="00B340BA" w:rsidRPr="00841F69" w:rsidRDefault="00B340BA" w:rsidP="00B340BA">
      <w:pPr>
        <w:ind w:left="720" w:firstLine="360"/>
      </w:pPr>
    </w:p>
    <w:p w:rsidR="008A6106" w:rsidRPr="00841F69" w:rsidRDefault="0094581C" w:rsidP="008A6106">
      <w:pPr>
        <w:pStyle w:val="ListParagraph"/>
        <w:numPr>
          <w:ilvl w:val="0"/>
          <w:numId w:val="11"/>
        </w:numPr>
      </w:pPr>
      <w:r w:rsidRPr="00841F69">
        <w:rPr>
          <w:b/>
        </w:rPr>
        <w:t xml:space="preserve">Needs </w:t>
      </w:r>
      <w:r w:rsidR="008A6106" w:rsidRPr="00841F69">
        <w:rPr>
          <w:b/>
        </w:rPr>
        <w:t>Assessment</w:t>
      </w:r>
      <w:r w:rsidR="008A6106" w:rsidRPr="00841F69">
        <w:t xml:space="preserve"> made by social worker or an occupational therapist to determine care package.</w:t>
      </w:r>
      <w:r w:rsidR="008F0DE0" w:rsidRPr="00841F69">
        <w:t xml:space="preserve"> Appropriate referrals made to other services if necessary: eg, Occupational Therapy, Speech and Language Team (SALT), Mental Health teams, learning disability services. Wing location decision to be made</w:t>
      </w:r>
      <w:r w:rsidR="00686235" w:rsidRPr="00841F69">
        <w:t xml:space="preserve"> </w:t>
      </w:r>
      <w:r w:rsidR="00C84780">
        <w:t xml:space="preserve">and care overseen </w:t>
      </w:r>
      <w:r w:rsidR="00686235" w:rsidRPr="00841F69">
        <w:t>by</w:t>
      </w:r>
      <w:r w:rsidR="003B2B8F" w:rsidRPr="00841F69">
        <w:t xml:space="preserve"> dementia </w:t>
      </w:r>
      <w:r w:rsidR="00B340BA">
        <w:t>trained nurse</w:t>
      </w:r>
      <w:r w:rsidR="000E707B" w:rsidRPr="00841F69">
        <w:t>.</w:t>
      </w:r>
      <w:r w:rsidR="008A6106" w:rsidRPr="00841F69">
        <w:t xml:space="preserve"> </w:t>
      </w:r>
    </w:p>
    <w:p w:rsidR="00FF7A11" w:rsidRPr="00841F69" w:rsidRDefault="00FF7A11" w:rsidP="008F0DE0">
      <w:pPr>
        <w:rPr>
          <w:b/>
          <w:i/>
        </w:rPr>
      </w:pPr>
    </w:p>
    <w:p w:rsidR="00134160" w:rsidRPr="00841F69" w:rsidRDefault="008F0DE0" w:rsidP="00134160">
      <w:pPr>
        <w:pStyle w:val="ListParagraph"/>
        <w:numPr>
          <w:ilvl w:val="0"/>
          <w:numId w:val="11"/>
        </w:numPr>
        <w:rPr>
          <w:b/>
          <w:i/>
        </w:rPr>
      </w:pPr>
      <w:r w:rsidRPr="00841F69">
        <w:rPr>
          <w:b/>
          <w:i/>
        </w:rPr>
        <w:lastRenderedPageBreak/>
        <w:t>Accommodation:</w:t>
      </w:r>
      <w:r w:rsidR="00134160" w:rsidRPr="00841F69">
        <w:rPr>
          <w:b/>
          <w:i/>
        </w:rPr>
        <w:t xml:space="preserve"> </w:t>
      </w:r>
      <w:r w:rsidR="00134160" w:rsidRPr="00841F69">
        <w:t xml:space="preserve">Residents with a diagnosis of </w:t>
      </w:r>
      <w:r w:rsidR="0094581C" w:rsidRPr="00841F69">
        <w:t>dementia or M</w:t>
      </w:r>
      <w:r w:rsidR="006B0EDC" w:rsidRPr="00841F69">
        <w:t>il</w:t>
      </w:r>
      <w:r w:rsidR="0094581C" w:rsidRPr="00841F69">
        <w:t>d Cognitive Impairment (MCI)</w:t>
      </w:r>
      <w:r w:rsidR="00C84780">
        <w:t xml:space="preserve"> </w:t>
      </w:r>
      <w:r w:rsidR="00134160" w:rsidRPr="00841F69">
        <w:t xml:space="preserve">can choose to be located on </w:t>
      </w:r>
      <w:r w:rsidR="0094581C" w:rsidRPr="00841F69">
        <w:t xml:space="preserve">dementia friendly </w:t>
      </w:r>
      <w:r w:rsidR="00134160" w:rsidRPr="00841F69">
        <w:t xml:space="preserve">normal location if they are </w:t>
      </w:r>
      <w:r w:rsidR="0094581C" w:rsidRPr="00841F69">
        <w:t xml:space="preserve">deemed </w:t>
      </w:r>
      <w:r w:rsidR="00134160" w:rsidRPr="00841F69">
        <w:t>well enough</w:t>
      </w:r>
      <w:r w:rsidR="0094581C" w:rsidRPr="00841F69">
        <w:t xml:space="preserve"> by the dementia trained </w:t>
      </w:r>
      <w:r w:rsidR="005C68C2">
        <w:t>nurse</w:t>
      </w:r>
      <w:r w:rsidR="00134160" w:rsidRPr="00841F69">
        <w:t>, those with severe dementia will be located on a</w:t>
      </w:r>
      <w:r w:rsidR="00C84780">
        <w:t>n</w:t>
      </w:r>
      <w:r w:rsidR="00134160" w:rsidRPr="00841F69">
        <w:t xml:space="preserve"> </w:t>
      </w:r>
      <w:r w:rsidR="0094581C" w:rsidRPr="00841F69">
        <w:t xml:space="preserve">adapted </w:t>
      </w:r>
      <w:r w:rsidR="00134160" w:rsidRPr="00841F69">
        <w:t xml:space="preserve">specialist wing. </w:t>
      </w:r>
    </w:p>
    <w:p w:rsidR="00134160" w:rsidRPr="00841F69" w:rsidRDefault="00134160" w:rsidP="00134160">
      <w:pPr>
        <w:pStyle w:val="ListParagraph"/>
        <w:rPr>
          <w:b/>
          <w:i/>
        </w:rPr>
      </w:pPr>
    </w:p>
    <w:p w:rsidR="006F474D" w:rsidRPr="00841F69" w:rsidRDefault="00134160" w:rsidP="006F474D">
      <w:r w:rsidRPr="00841F69">
        <w:rPr>
          <w:b/>
          <w:i/>
        </w:rPr>
        <w:t xml:space="preserve">Dementia </w:t>
      </w:r>
      <w:r w:rsidR="0094581C" w:rsidRPr="00841F69">
        <w:rPr>
          <w:b/>
          <w:i/>
        </w:rPr>
        <w:t>f</w:t>
      </w:r>
      <w:r w:rsidRPr="00841F69">
        <w:rPr>
          <w:b/>
          <w:i/>
        </w:rPr>
        <w:t xml:space="preserve">riendly normal location: </w:t>
      </w:r>
      <w:r w:rsidR="001C63BD" w:rsidRPr="00841F69">
        <w:t>M</w:t>
      </w:r>
      <w:r w:rsidRPr="00841F69">
        <w:t>odifications to make a wing</w:t>
      </w:r>
      <w:r w:rsidR="001C63BD" w:rsidRPr="00841F69">
        <w:t xml:space="preserve"> dementia friendly </w:t>
      </w:r>
      <w:r w:rsidRPr="00841F69">
        <w:t>include</w:t>
      </w:r>
      <w:r w:rsidR="006F474D" w:rsidRPr="00841F69">
        <w:t>:</w:t>
      </w:r>
    </w:p>
    <w:p w:rsidR="006F474D" w:rsidRPr="00841F69" w:rsidRDefault="005C68C2" w:rsidP="00AA08B5">
      <w:pPr>
        <w:pStyle w:val="ListParagraph"/>
        <w:numPr>
          <w:ilvl w:val="0"/>
          <w:numId w:val="22"/>
        </w:numPr>
        <w:rPr>
          <w:sz w:val="24"/>
          <w:szCs w:val="24"/>
        </w:rPr>
      </w:pPr>
      <w:r>
        <w:t>O</w:t>
      </w:r>
      <w:r w:rsidR="006F474D" w:rsidRPr="00841F69">
        <w:t xml:space="preserve">pen plan layouts, and </w:t>
      </w:r>
      <w:r w:rsidR="00134160" w:rsidRPr="00841F69">
        <w:t>clear signage</w:t>
      </w:r>
      <w:r w:rsidR="006F474D" w:rsidRPr="00841F69">
        <w:rPr>
          <w:sz w:val="24"/>
          <w:szCs w:val="24"/>
        </w:rPr>
        <w:t xml:space="preserve"> to assist people with finding their way</w:t>
      </w:r>
      <w:r w:rsidR="00134160" w:rsidRPr="00841F69">
        <w:t>,</w:t>
      </w:r>
    </w:p>
    <w:p w:rsidR="006F474D" w:rsidRPr="00841F69" w:rsidRDefault="005C68C2" w:rsidP="00AA08B5">
      <w:pPr>
        <w:pStyle w:val="ListParagraph"/>
        <w:numPr>
          <w:ilvl w:val="0"/>
          <w:numId w:val="22"/>
        </w:numPr>
        <w:rPr>
          <w:sz w:val="24"/>
          <w:szCs w:val="24"/>
        </w:rPr>
      </w:pPr>
      <w:r>
        <w:t>L</w:t>
      </w:r>
      <w:r w:rsidR="00134160" w:rsidRPr="00841F69">
        <w:t>abel</w:t>
      </w:r>
      <w:r w:rsidR="0059540C" w:rsidRPr="00841F69">
        <w:t xml:space="preserve"> </w:t>
      </w:r>
      <w:r w:rsidR="00134160" w:rsidRPr="00841F69">
        <w:t>cupboard</w:t>
      </w:r>
      <w:r w:rsidR="006F474D" w:rsidRPr="00841F69">
        <w:t>s</w:t>
      </w:r>
      <w:r w:rsidR="00134160" w:rsidRPr="00841F69">
        <w:t xml:space="preserve"> with pictures of the contents and us</w:t>
      </w:r>
      <w:r w:rsidR="006F474D" w:rsidRPr="00841F69">
        <w:t>e</w:t>
      </w:r>
      <w:r w:rsidR="00C33465" w:rsidRPr="00841F69">
        <w:t xml:space="preserve"> of</w:t>
      </w:r>
      <w:r w:rsidR="00134160" w:rsidRPr="00841F69">
        <w:t xml:space="preserve"> contrasting colours to make everyday items easier to identify. </w:t>
      </w:r>
      <w:r w:rsidR="006F474D" w:rsidRPr="00841F69">
        <w:t xml:space="preserve"> </w:t>
      </w:r>
    </w:p>
    <w:p w:rsidR="006F474D" w:rsidRPr="00841F69" w:rsidRDefault="006F474D" w:rsidP="00AA08B5">
      <w:pPr>
        <w:pStyle w:val="ListParagraph"/>
        <w:numPr>
          <w:ilvl w:val="0"/>
          <w:numId w:val="22"/>
        </w:numPr>
        <w:rPr>
          <w:sz w:val="24"/>
          <w:szCs w:val="24"/>
        </w:rPr>
      </w:pPr>
      <w:r w:rsidRPr="00841F69">
        <w:rPr>
          <w:sz w:val="24"/>
          <w:szCs w:val="24"/>
        </w:rPr>
        <w:t xml:space="preserve">Handrails and door handles should be easy to use and comfortable and contrasting in colour with the walls, with clear safety features to indicate where they end. </w:t>
      </w:r>
    </w:p>
    <w:p w:rsidR="006F474D" w:rsidRPr="00841F69" w:rsidRDefault="00C33465" w:rsidP="00AA08B5">
      <w:pPr>
        <w:pStyle w:val="ListParagraph"/>
        <w:numPr>
          <w:ilvl w:val="0"/>
          <w:numId w:val="22"/>
        </w:numPr>
        <w:rPr>
          <w:sz w:val="24"/>
          <w:szCs w:val="24"/>
        </w:rPr>
      </w:pPr>
      <w:r w:rsidRPr="00841F69">
        <w:rPr>
          <w:sz w:val="24"/>
          <w:szCs w:val="24"/>
        </w:rPr>
        <w:t>Call systems should be fitted and easy to identify in bedroom areas and WC facilities which they may use alone.</w:t>
      </w:r>
    </w:p>
    <w:p w:rsidR="00C33465" w:rsidRPr="00841F69" w:rsidRDefault="00C33465" w:rsidP="00C33465">
      <w:pPr>
        <w:pStyle w:val="ListParagraph"/>
        <w:numPr>
          <w:ilvl w:val="0"/>
          <w:numId w:val="22"/>
        </w:numPr>
        <w:rPr>
          <w:sz w:val="24"/>
          <w:szCs w:val="24"/>
        </w:rPr>
      </w:pPr>
      <w:r w:rsidRPr="00841F69">
        <w:rPr>
          <w:sz w:val="24"/>
          <w:szCs w:val="24"/>
        </w:rPr>
        <w:t xml:space="preserve">Entrance to reception areas should be bright and well-lit with maximum use of natural light. Corridors should be bright and evenly lit. </w:t>
      </w:r>
    </w:p>
    <w:p w:rsidR="00C33465" w:rsidRPr="00841F69" w:rsidRDefault="00C33465" w:rsidP="0059540C">
      <w:pPr>
        <w:pStyle w:val="ListParagraph"/>
        <w:ind w:left="765"/>
        <w:rPr>
          <w:sz w:val="24"/>
          <w:szCs w:val="24"/>
        </w:rPr>
      </w:pPr>
    </w:p>
    <w:p w:rsidR="00C33465" w:rsidRPr="00841F69" w:rsidRDefault="00C33465" w:rsidP="0059540C">
      <w:pPr>
        <w:pStyle w:val="ListParagraph"/>
        <w:ind w:left="765"/>
        <w:rPr>
          <w:sz w:val="24"/>
          <w:szCs w:val="24"/>
        </w:rPr>
      </w:pPr>
      <w:r w:rsidRPr="00841F69">
        <w:rPr>
          <w:sz w:val="24"/>
          <w:szCs w:val="24"/>
        </w:rPr>
        <w:t>Further information on how to make areas dementia-friendly can be found:</w:t>
      </w:r>
    </w:p>
    <w:p w:rsidR="00B66702" w:rsidRPr="00841F69" w:rsidRDefault="005602A1" w:rsidP="008173C7">
      <w:pPr>
        <w:pStyle w:val="ListParagraph"/>
        <w:numPr>
          <w:ilvl w:val="0"/>
          <w:numId w:val="22"/>
        </w:numPr>
        <w:rPr>
          <w:sz w:val="24"/>
          <w:szCs w:val="24"/>
        </w:rPr>
      </w:pPr>
      <w:hyperlink r:id="rId8" w:history="1">
        <w:r w:rsidR="00B66702" w:rsidRPr="00841F69">
          <w:rPr>
            <w:rStyle w:val="Hyperlink"/>
            <w:sz w:val="24"/>
            <w:szCs w:val="24"/>
          </w:rPr>
          <w:t>https://www.dementiaaction.org.uk/resources</w:t>
        </w:r>
      </w:hyperlink>
    </w:p>
    <w:p w:rsidR="00B66702" w:rsidRPr="00841F69" w:rsidRDefault="005602A1" w:rsidP="008173C7">
      <w:pPr>
        <w:pStyle w:val="ListParagraph"/>
        <w:numPr>
          <w:ilvl w:val="0"/>
          <w:numId w:val="22"/>
        </w:numPr>
        <w:rPr>
          <w:sz w:val="24"/>
          <w:szCs w:val="24"/>
        </w:rPr>
      </w:pPr>
      <w:hyperlink r:id="rId9" w:history="1">
        <w:r w:rsidR="005C4993" w:rsidRPr="00841F69">
          <w:rPr>
            <w:rStyle w:val="Hyperlink"/>
            <w:sz w:val="24"/>
            <w:szCs w:val="24"/>
          </w:rPr>
          <w:t>http://dementia.stir.ac.uk/design/virtual-environments/virtual-care-home</w:t>
        </w:r>
      </w:hyperlink>
      <w:r w:rsidR="005C4993" w:rsidRPr="00841F69">
        <w:rPr>
          <w:sz w:val="24"/>
          <w:szCs w:val="24"/>
        </w:rPr>
        <w:t xml:space="preserve"> </w:t>
      </w:r>
    </w:p>
    <w:p w:rsidR="00134160" w:rsidRPr="00841F69" w:rsidRDefault="00134160" w:rsidP="00134160">
      <w:pPr>
        <w:ind w:left="720" w:firstLine="720"/>
      </w:pPr>
    </w:p>
    <w:p w:rsidR="00607342" w:rsidRPr="00841F69" w:rsidRDefault="00B93C90" w:rsidP="005C68C2">
      <w:r w:rsidRPr="00841F69">
        <w:rPr>
          <w:b/>
          <w:i/>
        </w:rPr>
        <w:t>Adapted specialist wing:</w:t>
      </w:r>
      <w:r w:rsidR="00B25FB7" w:rsidRPr="00841F69">
        <w:rPr>
          <w:b/>
          <w:i/>
        </w:rPr>
        <w:t xml:space="preserve"> </w:t>
      </w:r>
      <w:r w:rsidR="00B25FB7" w:rsidRPr="00841F69">
        <w:t xml:space="preserve">regional, 8-12 bed facility. Receives </w:t>
      </w:r>
      <w:r w:rsidR="008C57DE" w:rsidRPr="00841F69">
        <w:t>prisoners with dementia and A</w:t>
      </w:r>
      <w:r w:rsidR="000F1F75" w:rsidRPr="00841F69">
        <w:t>ctivities of Daily Living (A</w:t>
      </w:r>
      <w:r w:rsidR="008C57DE" w:rsidRPr="00841F69">
        <w:t>DL</w:t>
      </w:r>
      <w:r w:rsidR="000F1F75" w:rsidRPr="00841F69">
        <w:t>)</w:t>
      </w:r>
      <w:r w:rsidR="008C57DE" w:rsidRPr="00841F69">
        <w:t xml:space="preserve"> needs</w:t>
      </w:r>
      <w:r w:rsidR="00B40134" w:rsidRPr="00841F69">
        <w:t xml:space="preserve"> on a referral basis</w:t>
      </w:r>
      <w:r w:rsidR="000F1F75" w:rsidRPr="00841F69">
        <w:t xml:space="preserve">. Referrals taken </w:t>
      </w:r>
      <w:r w:rsidR="00B40134" w:rsidRPr="00841F69">
        <w:t xml:space="preserve">from </w:t>
      </w:r>
      <w:r w:rsidR="008C57DE" w:rsidRPr="00841F69">
        <w:t>local group prisons.</w:t>
      </w:r>
      <w:r w:rsidR="00E84B17" w:rsidRPr="00841F69">
        <w:t xml:space="preserve"> Staffing is </w:t>
      </w:r>
      <w:r w:rsidR="00A44416" w:rsidRPr="00841F69">
        <w:t>consistent and</w:t>
      </w:r>
      <w:r w:rsidR="00E84B17" w:rsidRPr="00841F69">
        <w:t xml:space="preserve"> a flexible regime is in place. </w:t>
      </w:r>
    </w:p>
    <w:p w:rsidR="003D53A4" w:rsidRPr="00841F69" w:rsidRDefault="00607342" w:rsidP="005C68C2">
      <w:r w:rsidRPr="00841F69">
        <w:rPr>
          <w:b/>
          <w:i/>
        </w:rPr>
        <w:t>Alternative environ</w:t>
      </w:r>
      <w:r w:rsidR="00FD284F" w:rsidRPr="00841F69">
        <w:rPr>
          <w:b/>
          <w:i/>
        </w:rPr>
        <w:t>ments:</w:t>
      </w:r>
      <w:r w:rsidR="003D53A4" w:rsidRPr="00841F69">
        <w:t xml:space="preserve"> </w:t>
      </w:r>
      <w:r w:rsidR="002F5168" w:rsidRPr="00841F69">
        <w:t>options for severe dementia</w:t>
      </w:r>
      <w:r w:rsidR="003D53A4" w:rsidRPr="00841F69">
        <w:t>:</w:t>
      </w:r>
    </w:p>
    <w:p w:rsidR="00EE5AA8" w:rsidRPr="00841F69" w:rsidRDefault="00EE5AA8" w:rsidP="006C3CF1">
      <w:pPr>
        <w:pStyle w:val="ListParagraph"/>
        <w:numPr>
          <w:ilvl w:val="0"/>
          <w:numId w:val="15"/>
        </w:numPr>
      </w:pPr>
      <w:r w:rsidRPr="00841F69">
        <w:rPr>
          <w:i/>
        </w:rPr>
        <w:t>Release on temporary license:</w:t>
      </w:r>
      <w:r w:rsidRPr="00841F69">
        <w:t xml:space="preserve"> </w:t>
      </w:r>
      <w:r w:rsidR="002F5168" w:rsidRPr="00841F69">
        <w:t>In order for this to be an option t</w:t>
      </w:r>
      <w:r w:rsidRPr="00841F69">
        <w:t>his individual would have severe dementia and there would be no concerns around an individual’s risk</w:t>
      </w:r>
      <w:r w:rsidR="001152BB" w:rsidRPr="00841F69">
        <w:t xml:space="preserve"> of reoffending</w:t>
      </w:r>
      <w:r w:rsidR="002F5168" w:rsidRPr="00841F69">
        <w:t>.</w:t>
      </w:r>
    </w:p>
    <w:p w:rsidR="002F5168" w:rsidRPr="00841F69" w:rsidRDefault="00EE5AA8" w:rsidP="006C3CF1">
      <w:pPr>
        <w:pStyle w:val="ListParagraph"/>
        <w:numPr>
          <w:ilvl w:val="0"/>
          <w:numId w:val="15"/>
        </w:numPr>
        <w:rPr>
          <w:b/>
          <w:i/>
        </w:rPr>
      </w:pPr>
      <w:r w:rsidRPr="00841F69">
        <w:rPr>
          <w:i/>
        </w:rPr>
        <w:t>Forensic hospital:</w:t>
      </w:r>
      <w:r w:rsidR="00A379BC" w:rsidRPr="00841F69">
        <w:t xml:space="preserve"> referral made under the Mental Health Act for a forensic hospital bed. Regional unit, complex dementia specialist unit. For those with severe dementia, mental health commodities and </w:t>
      </w:r>
      <w:r w:rsidR="002F5168" w:rsidRPr="00841F69">
        <w:t>associated risk.</w:t>
      </w:r>
    </w:p>
    <w:p w:rsidR="002F5168" w:rsidRPr="00841F69" w:rsidRDefault="002F5168" w:rsidP="006C3CF1">
      <w:pPr>
        <w:pStyle w:val="ListParagraph"/>
        <w:numPr>
          <w:ilvl w:val="0"/>
          <w:numId w:val="15"/>
        </w:numPr>
        <w:rPr>
          <w:b/>
          <w:i/>
        </w:rPr>
      </w:pPr>
      <w:r w:rsidRPr="00841F69">
        <w:rPr>
          <w:i/>
        </w:rPr>
        <w:t xml:space="preserve">Secure nursing home: </w:t>
      </w:r>
      <w:r w:rsidRPr="00841F69">
        <w:t>There would be no risk associated with this individual, but this person would need support with their activities of daily living (ADLs).</w:t>
      </w:r>
      <w:r w:rsidR="001C63BD" w:rsidRPr="00841F69">
        <w:t xml:space="preserve"> Secure nursing homes have not been established in the UK, this option needs exploration of practical and financial implications of implementation.</w:t>
      </w:r>
    </w:p>
    <w:p w:rsidR="002F5168" w:rsidRPr="00841F69" w:rsidRDefault="002F5168" w:rsidP="002F5168">
      <w:pPr>
        <w:pStyle w:val="ListParagraph"/>
        <w:ind w:left="1695"/>
        <w:rPr>
          <w:b/>
          <w:i/>
        </w:rPr>
      </w:pPr>
      <w:r w:rsidRPr="00841F69">
        <w:t xml:space="preserve"> </w:t>
      </w:r>
    </w:p>
    <w:p w:rsidR="002F5A13" w:rsidRPr="00841F69" w:rsidRDefault="00C1336A" w:rsidP="00F70E8B">
      <w:pPr>
        <w:pStyle w:val="ListParagraph"/>
        <w:numPr>
          <w:ilvl w:val="0"/>
          <w:numId w:val="11"/>
        </w:numPr>
        <w:rPr>
          <w:b/>
          <w:i/>
        </w:rPr>
      </w:pPr>
      <w:r w:rsidRPr="00841F69">
        <w:rPr>
          <w:b/>
          <w:i/>
        </w:rPr>
        <w:t>Support:</w:t>
      </w:r>
      <w:r w:rsidR="00BE3C84" w:rsidRPr="00841F69">
        <w:rPr>
          <w:b/>
          <w:i/>
        </w:rPr>
        <w:t xml:space="preserve"> </w:t>
      </w:r>
      <w:r w:rsidR="00BE3C84" w:rsidRPr="00841F69">
        <w:t>All individuals</w:t>
      </w:r>
      <w:r w:rsidR="008306BA" w:rsidRPr="00841F69">
        <w:t xml:space="preserve"> are eligible for support, this is dependent on </w:t>
      </w:r>
      <w:r w:rsidR="00A17329" w:rsidRPr="00841F69">
        <w:t xml:space="preserve">specific needs </w:t>
      </w:r>
      <w:r w:rsidR="00E55DA3" w:rsidRPr="00841F69">
        <w:t xml:space="preserve">and </w:t>
      </w:r>
      <w:r w:rsidR="00F064BA" w:rsidRPr="00841F69">
        <w:t>assessed by a social worker (step 5)</w:t>
      </w:r>
      <w:r w:rsidR="00A15542" w:rsidRPr="00841F69">
        <w:t>.</w:t>
      </w:r>
      <w:r w:rsidR="00BE3C84" w:rsidRPr="00841F69">
        <w:t xml:space="preserve"> </w:t>
      </w:r>
      <w:r w:rsidR="00610D02" w:rsidRPr="00841F69">
        <w:rPr>
          <w:i/>
        </w:rPr>
        <w:tab/>
      </w:r>
    </w:p>
    <w:p w:rsidR="002F5A13" w:rsidRPr="00841F69" w:rsidRDefault="002F5A13" w:rsidP="00D06ED1">
      <w:pPr>
        <w:pStyle w:val="ListParagraph"/>
        <w:ind w:left="0"/>
        <w:rPr>
          <w:i/>
        </w:rPr>
      </w:pPr>
    </w:p>
    <w:p w:rsidR="009D2647" w:rsidRPr="00841F69" w:rsidRDefault="009D2647" w:rsidP="00D06ED1">
      <w:pPr>
        <w:pStyle w:val="ListParagraph"/>
        <w:ind w:left="0"/>
        <w:rPr>
          <w:b/>
          <w:i/>
        </w:rPr>
      </w:pPr>
      <w:r w:rsidRPr="00841F69">
        <w:rPr>
          <w:b/>
          <w:i/>
        </w:rPr>
        <w:t>People:</w:t>
      </w:r>
    </w:p>
    <w:p w:rsidR="002B73C8" w:rsidRPr="00841F69" w:rsidRDefault="002B73C8" w:rsidP="00D06ED1">
      <w:pPr>
        <w:pStyle w:val="ListParagraph"/>
        <w:ind w:left="0"/>
        <w:rPr>
          <w:b/>
          <w:i/>
        </w:rPr>
      </w:pPr>
    </w:p>
    <w:p w:rsidR="008E4921" w:rsidRPr="00841F69" w:rsidRDefault="002B73C8" w:rsidP="00D06ED1">
      <w:pPr>
        <w:pStyle w:val="ListParagraph"/>
        <w:ind w:left="0"/>
      </w:pPr>
      <w:r w:rsidRPr="00841F69">
        <w:rPr>
          <w:i/>
        </w:rPr>
        <w:t xml:space="preserve">Dementia </w:t>
      </w:r>
      <w:r w:rsidR="00B9568C">
        <w:rPr>
          <w:i/>
        </w:rPr>
        <w:t>trained nurse</w:t>
      </w:r>
      <w:r w:rsidR="00EB1D0C" w:rsidRPr="00841F69">
        <w:rPr>
          <w:i/>
        </w:rPr>
        <w:t>:</w:t>
      </w:r>
      <w:r w:rsidR="00EB1D0C" w:rsidRPr="00841F69">
        <w:t xml:space="preserve"> Each prison site should identify</w:t>
      </w:r>
      <w:r w:rsidR="001152BB" w:rsidRPr="00841F69">
        <w:t>/employ</w:t>
      </w:r>
      <w:r w:rsidR="00EB1D0C" w:rsidRPr="00841F69">
        <w:t xml:space="preserve"> a</w:t>
      </w:r>
      <w:r w:rsidR="00B9568C">
        <w:t xml:space="preserve"> </w:t>
      </w:r>
      <w:r w:rsidR="00EB1D0C" w:rsidRPr="00841F69">
        <w:t xml:space="preserve">member of staff who will lead the dementia care pathway. This person will have received training in </w:t>
      </w:r>
      <w:r w:rsidR="001E495E" w:rsidRPr="00841F69">
        <w:t xml:space="preserve">relation to managing </w:t>
      </w:r>
      <w:r w:rsidR="00EB1D0C" w:rsidRPr="00841F69">
        <w:t>dementia</w:t>
      </w:r>
      <w:r w:rsidR="00B9568C">
        <w:t xml:space="preserve"> in prison. </w:t>
      </w:r>
      <w:r w:rsidR="00EB1D0C" w:rsidRPr="00841F69">
        <w:t>They will manage the screening</w:t>
      </w:r>
      <w:r w:rsidR="00E51339" w:rsidRPr="00841F69">
        <w:t xml:space="preserve"> and </w:t>
      </w:r>
      <w:r w:rsidR="00EB1D0C" w:rsidRPr="00841F69">
        <w:t>referral process, and monitor patients</w:t>
      </w:r>
      <w:r w:rsidR="00E51339" w:rsidRPr="00841F69">
        <w:t xml:space="preserve">. </w:t>
      </w:r>
      <w:r w:rsidR="001E495E" w:rsidRPr="00841F69">
        <w:t xml:space="preserve">This </w:t>
      </w:r>
      <w:r w:rsidR="00EB1D0C" w:rsidRPr="00841F69">
        <w:t xml:space="preserve">centralised </w:t>
      </w:r>
      <w:r w:rsidR="00EB1D0C" w:rsidRPr="00841F69">
        <w:lastRenderedPageBreak/>
        <w:t xml:space="preserve">role will support both healthcare and the prison in the care </w:t>
      </w:r>
      <w:r w:rsidR="00A6206B" w:rsidRPr="00841F69">
        <w:t xml:space="preserve">and management </w:t>
      </w:r>
      <w:r w:rsidR="00EB1D0C" w:rsidRPr="00841F69">
        <w:t>of prisoners with dementia and mild cognitive impairment.</w:t>
      </w:r>
    </w:p>
    <w:p w:rsidR="002B73C8" w:rsidRPr="00841F69" w:rsidRDefault="002B73C8" w:rsidP="00D06ED1">
      <w:pPr>
        <w:pStyle w:val="ListParagraph"/>
        <w:ind w:left="0"/>
        <w:rPr>
          <w:b/>
          <w:i/>
        </w:rPr>
      </w:pPr>
    </w:p>
    <w:p w:rsidR="009E68C9" w:rsidRPr="00841F69" w:rsidRDefault="004A37BD" w:rsidP="00D94E28">
      <w:pPr>
        <w:pStyle w:val="ListParagraph"/>
        <w:ind w:left="0" w:firstLine="360"/>
        <w:rPr>
          <w:i/>
        </w:rPr>
      </w:pPr>
      <w:r w:rsidRPr="00841F69">
        <w:rPr>
          <w:i/>
        </w:rPr>
        <w:t>For all:</w:t>
      </w:r>
    </w:p>
    <w:p w:rsidR="009E68C9" w:rsidRPr="00841F69" w:rsidRDefault="009E68C9" w:rsidP="009E68C9">
      <w:pPr>
        <w:pStyle w:val="ListParagraph"/>
        <w:numPr>
          <w:ilvl w:val="0"/>
          <w:numId w:val="16"/>
        </w:numPr>
        <w:rPr>
          <w:i/>
        </w:rPr>
      </w:pPr>
      <w:r w:rsidRPr="00841F69">
        <w:rPr>
          <w:i/>
        </w:rPr>
        <w:t>In order to establish a dementia friendly community prison and healthcare staff will be trained</w:t>
      </w:r>
      <w:r w:rsidR="00686235" w:rsidRPr="00841F69">
        <w:rPr>
          <w:i/>
        </w:rPr>
        <w:t xml:space="preserve"> in dementia</w:t>
      </w:r>
      <w:r w:rsidR="001C63BD" w:rsidRPr="00841F69">
        <w:rPr>
          <w:i/>
        </w:rPr>
        <w:t xml:space="preserve"> using the DeCIsion study training package</w:t>
      </w:r>
      <w:r w:rsidR="00194D60" w:rsidRPr="00841F69">
        <w:rPr>
          <w:i/>
        </w:rPr>
        <w:t xml:space="preserve"> and other relevant training depending on the staff </w:t>
      </w:r>
      <w:r w:rsidR="00E51339" w:rsidRPr="00841F69">
        <w:rPr>
          <w:i/>
        </w:rPr>
        <w:t>member’s</w:t>
      </w:r>
      <w:r w:rsidR="00194D60" w:rsidRPr="00841F69">
        <w:rPr>
          <w:i/>
        </w:rPr>
        <w:t xml:space="preserve"> needs.</w:t>
      </w:r>
    </w:p>
    <w:p w:rsidR="004A37BD" w:rsidRPr="00841F69" w:rsidRDefault="004A37BD" w:rsidP="004A37BD">
      <w:pPr>
        <w:pStyle w:val="NoSpacing"/>
        <w:numPr>
          <w:ilvl w:val="0"/>
          <w:numId w:val="16"/>
        </w:numPr>
        <w:rPr>
          <w:iCs/>
        </w:rPr>
      </w:pPr>
      <w:r w:rsidRPr="00841F69">
        <w:t xml:space="preserve">If there are no nursing needs and people </w:t>
      </w:r>
      <w:r w:rsidR="009C6282" w:rsidRPr="00841F69">
        <w:t xml:space="preserve">are </w:t>
      </w:r>
      <w:r w:rsidRPr="00841F69">
        <w:t>able to be placed on normal location</w:t>
      </w:r>
      <w:r w:rsidR="00194D60" w:rsidRPr="00841F69">
        <w:t>,</w:t>
      </w:r>
      <w:r w:rsidRPr="00841F69">
        <w:t xml:space="preserve"> </w:t>
      </w:r>
      <w:r w:rsidR="001C63BD" w:rsidRPr="00841F69">
        <w:t>peer carers</w:t>
      </w:r>
      <w:r w:rsidRPr="00841F69">
        <w:rPr>
          <w:iCs/>
        </w:rPr>
        <w:t xml:space="preserve"> </w:t>
      </w:r>
      <w:r w:rsidR="009C6282" w:rsidRPr="00841F69">
        <w:rPr>
          <w:iCs/>
        </w:rPr>
        <w:t xml:space="preserve">should </w:t>
      </w:r>
      <w:r w:rsidRPr="00841F69">
        <w:rPr>
          <w:iCs/>
        </w:rPr>
        <w:t xml:space="preserve">be </w:t>
      </w:r>
      <w:r w:rsidR="005C68C2">
        <w:rPr>
          <w:iCs/>
        </w:rPr>
        <w:t>employed</w:t>
      </w:r>
      <w:r w:rsidRPr="00841F69">
        <w:rPr>
          <w:iCs/>
        </w:rPr>
        <w:t xml:space="preserve">. </w:t>
      </w:r>
      <w:r w:rsidR="00194D60" w:rsidRPr="00841F69">
        <w:rPr>
          <w:iCs/>
        </w:rPr>
        <w:t>Guidance</w:t>
      </w:r>
      <w:r w:rsidR="006B0EDC" w:rsidRPr="00841F69">
        <w:rPr>
          <w:iCs/>
        </w:rPr>
        <w:t xml:space="preserve"> </w:t>
      </w:r>
      <w:r w:rsidR="00C960C6" w:rsidRPr="00841F69">
        <w:rPr>
          <w:iCs/>
        </w:rPr>
        <w:t>regarding training, review and close monitoring of</w:t>
      </w:r>
      <w:r w:rsidR="001C63BD" w:rsidRPr="00841F69">
        <w:rPr>
          <w:iCs/>
        </w:rPr>
        <w:t xml:space="preserve"> peer carers</w:t>
      </w:r>
      <w:r w:rsidR="00C960C6" w:rsidRPr="00841F69">
        <w:rPr>
          <w:iCs/>
        </w:rPr>
        <w:t xml:space="preserve"> can be found in PSI 17/2015. </w:t>
      </w:r>
    </w:p>
    <w:p w:rsidR="001C63BD" w:rsidRPr="00841F69" w:rsidRDefault="001C63BD" w:rsidP="001C63BD">
      <w:pPr>
        <w:pStyle w:val="NoSpacing"/>
        <w:ind w:left="720"/>
        <w:rPr>
          <w:iCs/>
        </w:rPr>
      </w:pPr>
    </w:p>
    <w:p w:rsidR="004A37BD" w:rsidRPr="00841F69" w:rsidRDefault="004A37BD" w:rsidP="009E68C9">
      <w:pPr>
        <w:pStyle w:val="ListParagraph"/>
        <w:numPr>
          <w:ilvl w:val="0"/>
          <w:numId w:val="16"/>
        </w:numPr>
        <w:rPr>
          <w:i/>
        </w:rPr>
      </w:pPr>
      <w:r w:rsidRPr="00841F69">
        <w:rPr>
          <w:i/>
        </w:rPr>
        <w:t>Support from third sector to support dementia awareness.</w:t>
      </w:r>
    </w:p>
    <w:p w:rsidR="00C960C6" w:rsidRPr="00841F69" w:rsidRDefault="004A37BD" w:rsidP="00D94E28">
      <w:pPr>
        <w:pStyle w:val="NoSpacing"/>
        <w:ind w:firstLine="360"/>
        <w:rPr>
          <w:i/>
        </w:rPr>
      </w:pPr>
      <w:r w:rsidRPr="00841F69">
        <w:rPr>
          <w:i/>
        </w:rPr>
        <w:t>For those with ADL and nursing needs:</w:t>
      </w:r>
    </w:p>
    <w:p w:rsidR="009D2647" w:rsidRPr="00841F69" w:rsidRDefault="009D2647" w:rsidP="005C68C2">
      <w:pPr>
        <w:pStyle w:val="NoSpacing"/>
        <w:numPr>
          <w:ilvl w:val="0"/>
          <w:numId w:val="23"/>
        </w:numPr>
      </w:pPr>
      <w:r w:rsidRPr="00841F69">
        <w:rPr>
          <w:iCs/>
        </w:rPr>
        <w:t xml:space="preserve">Peer </w:t>
      </w:r>
      <w:r w:rsidR="00194D60" w:rsidRPr="00841F69">
        <w:rPr>
          <w:iCs/>
        </w:rPr>
        <w:t>c</w:t>
      </w:r>
      <w:r w:rsidRPr="00841F69">
        <w:rPr>
          <w:iCs/>
        </w:rPr>
        <w:t xml:space="preserve">arers and </w:t>
      </w:r>
      <w:r w:rsidR="00C960C6" w:rsidRPr="00841F69">
        <w:rPr>
          <w:iCs/>
        </w:rPr>
        <w:t xml:space="preserve">healthcare </w:t>
      </w:r>
      <w:r w:rsidRPr="00841F69">
        <w:rPr>
          <w:iCs/>
        </w:rPr>
        <w:t xml:space="preserve">support workers </w:t>
      </w:r>
      <w:r w:rsidR="002A372C" w:rsidRPr="00841F69">
        <w:rPr>
          <w:iCs/>
        </w:rPr>
        <w:t>will support daily activities – such as dressing,</w:t>
      </w:r>
      <w:r w:rsidR="00C960C6" w:rsidRPr="00841F69">
        <w:rPr>
          <w:iCs/>
        </w:rPr>
        <w:t xml:space="preserve"> </w:t>
      </w:r>
      <w:r w:rsidR="002A372C" w:rsidRPr="00841F69">
        <w:rPr>
          <w:iCs/>
        </w:rPr>
        <w:t xml:space="preserve"> </w:t>
      </w:r>
      <w:r w:rsidR="008F3947" w:rsidRPr="00841F69">
        <w:rPr>
          <w:iCs/>
        </w:rPr>
        <w:t>washing and wheelchair assistance.</w:t>
      </w:r>
      <w:r w:rsidR="001C63BD" w:rsidRPr="00841F69">
        <w:rPr>
          <w:iCs/>
        </w:rPr>
        <w:t xml:space="preserve"> Peer carer’s will not be responsible for </w:t>
      </w:r>
      <w:r w:rsidR="00801255" w:rsidRPr="00841F69">
        <w:rPr>
          <w:iCs/>
        </w:rPr>
        <w:t>any intimate personal care, please see PSI 17/2015 for further guidance.</w:t>
      </w:r>
    </w:p>
    <w:p w:rsidR="004A37BD" w:rsidRPr="00841F69" w:rsidRDefault="004A37BD" w:rsidP="009D2647">
      <w:pPr>
        <w:widowControl w:val="0"/>
        <w:spacing w:after="0"/>
        <w:ind w:left="567" w:hanging="567"/>
        <w:rPr>
          <w:iCs/>
        </w:rPr>
      </w:pPr>
    </w:p>
    <w:p w:rsidR="004A37BD" w:rsidRPr="00841F69" w:rsidRDefault="00801255" w:rsidP="00D94E28">
      <w:pPr>
        <w:widowControl w:val="0"/>
        <w:spacing w:after="0"/>
        <w:ind w:left="567" w:hanging="207"/>
        <w:rPr>
          <w:i/>
          <w:iCs/>
        </w:rPr>
      </w:pPr>
      <w:r w:rsidRPr="00841F69">
        <w:rPr>
          <w:i/>
          <w:iCs/>
        </w:rPr>
        <w:t xml:space="preserve">For those in the advanced stages of </w:t>
      </w:r>
      <w:r w:rsidR="009C6282" w:rsidRPr="00841F69">
        <w:rPr>
          <w:i/>
          <w:iCs/>
        </w:rPr>
        <w:t>dementia</w:t>
      </w:r>
      <w:r w:rsidR="004A37BD" w:rsidRPr="00841F69">
        <w:rPr>
          <w:i/>
          <w:iCs/>
        </w:rPr>
        <w:t>:</w:t>
      </w:r>
    </w:p>
    <w:p w:rsidR="004A37BD" w:rsidRPr="00841F69" w:rsidRDefault="004A37BD" w:rsidP="004A37BD">
      <w:pPr>
        <w:pStyle w:val="NoSpacing"/>
        <w:numPr>
          <w:ilvl w:val="0"/>
          <w:numId w:val="20"/>
        </w:numPr>
        <w:rPr>
          <w:iCs/>
        </w:rPr>
      </w:pPr>
      <w:r w:rsidRPr="00841F69">
        <w:t>In order to</w:t>
      </w:r>
      <w:r w:rsidR="008F3947" w:rsidRPr="00841F69">
        <w:t xml:space="preserve"> maintain</w:t>
      </w:r>
      <w:r w:rsidRPr="00841F69">
        <w:t xml:space="preserve"> open co</w:t>
      </w:r>
      <w:r w:rsidR="00AC4C0E" w:rsidRPr="00841F69">
        <w:t xml:space="preserve">mmunication amongst staff </w:t>
      </w:r>
      <w:r w:rsidRPr="00841F69">
        <w:t>a</w:t>
      </w:r>
      <w:r w:rsidRPr="00841F69">
        <w:rPr>
          <w:iCs/>
        </w:rPr>
        <w:t xml:space="preserve"> named nurse and officer</w:t>
      </w:r>
      <w:r w:rsidR="00AC4C0E" w:rsidRPr="00841F69">
        <w:rPr>
          <w:iCs/>
        </w:rPr>
        <w:t xml:space="preserve"> will </w:t>
      </w:r>
      <w:r w:rsidRPr="00841F69">
        <w:rPr>
          <w:iCs/>
        </w:rPr>
        <w:t>be allocated to each individual, for a Multi-Disciplinary approach.</w:t>
      </w:r>
    </w:p>
    <w:p w:rsidR="004A37BD" w:rsidRPr="00841F69" w:rsidRDefault="008F3947" w:rsidP="004A37BD">
      <w:pPr>
        <w:pStyle w:val="NoSpacing"/>
        <w:numPr>
          <w:ilvl w:val="0"/>
          <w:numId w:val="19"/>
        </w:numPr>
        <w:rPr>
          <w:iCs/>
        </w:rPr>
      </w:pPr>
      <w:r w:rsidRPr="00841F69">
        <w:rPr>
          <w:iCs/>
        </w:rPr>
        <w:t xml:space="preserve">A dementia </w:t>
      </w:r>
      <w:r w:rsidR="00EB1D0C" w:rsidRPr="00841F69">
        <w:rPr>
          <w:iCs/>
        </w:rPr>
        <w:t>trained</w:t>
      </w:r>
      <w:r w:rsidRPr="00841F69">
        <w:rPr>
          <w:iCs/>
        </w:rPr>
        <w:t xml:space="preserve"> </w:t>
      </w:r>
      <w:r w:rsidR="00B9568C">
        <w:rPr>
          <w:iCs/>
        </w:rPr>
        <w:t xml:space="preserve">nurse </w:t>
      </w:r>
      <w:r w:rsidRPr="00841F69">
        <w:rPr>
          <w:iCs/>
        </w:rPr>
        <w:t xml:space="preserve">will be allocated to an individual to </w:t>
      </w:r>
      <w:r w:rsidR="00470CC0" w:rsidRPr="00841F69">
        <w:rPr>
          <w:iCs/>
        </w:rPr>
        <w:t>monitor</w:t>
      </w:r>
      <w:r w:rsidRPr="00841F69">
        <w:rPr>
          <w:iCs/>
        </w:rPr>
        <w:t xml:space="preserve"> their health and wellbeing to support</w:t>
      </w:r>
      <w:r w:rsidR="00470CC0" w:rsidRPr="00841F69">
        <w:rPr>
          <w:iCs/>
        </w:rPr>
        <w:t>.</w:t>
      </w:r>
      <w:r w:rsidRPr="00841F69">
        <w:rPr>
          <w:iCs/>
        </w:rPr>
        <w:t xml:space="preserve"> </w:t>
      </w:r>
    </w:p>
    <w:p w:rsidR="0051615E" w:rsidRPr="00841F69" w:rsidRDefault="0051615E" w:rsidP="009D2647">
      <w:pPr>
        <w:pStyle w:val="NoSpacing"/>
      </w:pPr>
    </w:p>
    <w:p w:rsidR="009D2647" w:rsidRPr="00841F69" w:rsidRDefault="009D2647" w:rsidP="00D06ED1">
      <w:pPr>
        <w:pStyle w:val="ListParagraph"/>
        <w:ind w:left="0"/>
        <w:rPr>
          <w:i/>
        </w:rPr>
      </w:pPr>
    </w:p>
    <w:p w:rsidR="000E349D" w:rsidRPr="00841F69" w:rsidRDefault="000E349D" w:rsidP="00D06ED1">
      <w:pPr>
        <w:pStyle w:val="ListParagraph"/>
        <w:ind w:left="0"/>
        <w:rPr>
          <w:b/>
          <w:i/>
        </w:rPr>
      </w:pPr>
      <w:r w:rsidRPr="00841F69">
        <w:rPr>
          <w:b/>
          <w:i/>
        </w:rPr>
        <w:t>Intervention:</w:t>
      </w:r>
    </w:p>
    <w:p w:rsidR="006D516D" w:rsidRPr="00841F69" w:rsidRDefault="00F82C2A" w:rsidP="006D516D">
      <w:pPr>
        <w:pStyle w:val="ListParagraph"/>
        <w:numPr>
          <w:ilvl w:val="0"/>
          <w:numId w:val="19"/>
        </w:numPr>
      </w:pPr>
      <w:r w:rsidRPr="00841F69">
        <w:t>Psychology based support:</w:t>
      </w:r>
    </w:p>
    <w:p w:rsidR="0071540C" w:rsidRPr="00B9568C" w:rsidRDefault="001E495E" w:rsidP="006D516D">
      <w:pPr>
        <w:pStyle w:val="ListParagraph"/>
        <w:numPr>
          <w:ilvl w:val="0"/>
          <w:numId w:val="21"/>
        </w:numPr>
        <w:rPr>
          <w:rStyle w:val="apple-converted-space"/>
        </w:rPr>
      </w:pPr>
      <w:r w:rsidRPr="00841F69">
        <w:t xml:space="preserve">Therapies such as </w:t>
      </w:r>
      <w:r w:rsidR="00F82C2A" w:rsidRPr="00841F69">
        <w:t>C</w:t>
      </w:r>
      <w:r w:rsidR="006A4575" w:rsidRPr="00841F69">
        <w:t>ognitive Stimulation Therapy</w:t>
      </w:r>
      <w:r w:rsidRPr="00841F69">
        <w:t xml:space="preserve"> </w:t>
      </w:r>
      <w:r w:rsidR="00E73589" w:rsidRPr="00841F69">
        <w:t xml:space="preserve">(CST) </w:t>
      </w:r>
      <w:r w:rsidRPr="00841F69">
        <w:t xml:space="preserve">could be considered where appropriate. </w:t>
      </w:r>
      <w:r w:rsidR="006A4575" w:rsidRPr="00841F69">
        <w:t xml:space="preserve"> </w:t>
      </w:r>
      <w:r w:rsidR="00E73589" w:rsidRPr="00841F69">
        <w:t>Sessions would be</w:t>
      </w:r>
      <w:r w:rsidR="005C4993" w:rsidRPr="00841F69">
        <w:t xml:space="preserve"> </w:t>
      </w:r>
      <w:r w:rsidR="006A4575" w:rsidRPr="00841F69">
        <w:t>delivered by a trained facilitator</w:t>
      </w:r>
      <w:r w:rsidR="00BA65A4" w:rsidRPr="00841F69">
        <w:t xml:space="preserve"> (</w:t>
      </w:r>
      <w:r w:rsidR="00316AA5" w:rsidRPr="00841F69">
        <w:t>support worker, assistant psychologist)</w:t>
      </w:r>
      <w:r w:rsidR="00BA65A4" w:rsidRPr="00841F69">
        <w:t xml:space="preserve"> </w:t>
      </w:r>
      <w:r w:rsidR="00316AA5" w:rsidRPr="00841F69">
        <w:t xml:space="preserve">in prison. </w:t>
      </w:r>
      <w:r w:rsidR="006A4575" w:rsidRPr="00841F69">
        <w:t>Th</w:t>
      </w:r>
      <w:r w:rsidR="00E73589" w:rsidRPr="00841F69">
        <w:t>is particular</w:t>
      </w:r>
      <w:r w:rsidR="006A4575" w:rsidRPr="00841F69">
        <w:t xml:space="preserve"> programme is </w:t>
      </w:r>
      <w:r w:rsidR="00E73589" w:rsidRPr="00841F69">
        <w:t xml:space="preserve">usually </w:t>
      </w:r>
      <w:r w:rsidR="006A4575" w:rsidRPr="00841F69">
        <w:t xml:space="preserve">delivered over 14 weeks, 45 minutes per session with 5-8 people per group. At the end of this initial block, maintenance blocks can also be delivered. </w:t>
      </w:r>
      <w:r w:rsidR="006A4575" w:rsidRPr="00841F69">
        <w:rPr>
          <w:rFonts w:cs="Arial"/>
          <w:shd w:val="clear" w:color="auto" w:fill="FFFFFF"/>
        </w:rPr>
        <w:t>Each session follows the same structure, though the theme changes. Topics might include childhood, food, current affairs and using money. Different activities will be offered around each theme, for example, one week the activities might involve word puzzles or games, another week playing a musical instrument.</w:t>
      </w:r>
      <w:r w:rsidR="006A4575" w:rsidRPr="00841F69">
        <w:rPr>
          <w:rStyle w:val="apple-converted-space"/>
          <w:rFonts w:cs="Arial"/>
          <w:sz w:val="27"/>
          <w:szCs w:val="27"/>
          <w:shd w:val="clear" w:color="auto" w:fill="FFFFFF"/>
        </w:rPr>
        <w:t> </w:t>
      </w:r>
    </w:p>
    <w:p w:rsidR="00B9568C" w:rsidRPr="00B9568C" w:rsidRDefault="00B9568C" w:rsidP="006D516D">
      <w:pPr>
        <w:pStyle w:val="ListParagraph"/>
        <w:numPr>
          <w:ilvl w:val="0"/>
          <w:numId w:val="21"/>
        </w:numPr>
        <w:rPr>
          <w:rStyle w:val="apple-converted-space"/>
        </w:rPr>
      </w:pPr>
      <w:r w:rsidRPr="00B9568C">
        <w:rPr>
          <w:rStyle w:val="apple-converted-space"/>
          <w:rFonts w:cs="Arial"/>
          <w:shd w:val="clear" w:color="auto" w:fill="FFFFFF"/>
        </w:rPr>
        <w:t>‘</w:t>
      </w:r>
      <w:r w:rsidRPr="00B9568C">
        <w:rPr>
          <w:rStyle w:val="apple-converted-space"/>
          <w:rFonts w:cs="Arial"/>
          <w:i/>
          <w:shd w:val="clear" w:color="auto" w:fill="FFFFFF"/>
        </w:rPr>
        <w:t>Post-diagnostic support for people living with dementia’</w:t>
      </w:r>
      <w:r w:rsidRPr="00B9568C">
        <w:rPr>
          <w:rStyle w:val="apple-converted-space"/>
          <w:rFonts w:cs="Arial"/>
          <w:shd w:val="clear" w:color="auto" w:fill="FFFFFF"/>
        </w:rPr>
        <w:t>, page 40 in Clinical Psychology in the Early Stage Dementia Care Pathway (BPS, 2014) provides a useful summary of psychology intervention and support.</w:t>
      </w:r>
    </w:p>
    <w:p w:rsidR="00A11CB6" w:rsidRPr="00841F69" w:rsidRDefault="00A11CB6" w:rsidP="00A11CB6">
      <w:pPr>
        <w:pStyle w:val="ListParagraph"/>
        <w:ind w:left="1080"/>
        <w:rPr>
          <w:rStyle w:val="apple-converted-space"/>
        </w:rPr>
      </w:pPr>
    </w:p>
    <w:p w:rsidR="00A11CB6" w:rsidRPr="00841F69" w:rsidRDefault="00A11CB6" w:rsidP="00A11CB6">
      <w:pPr>
        <w:pStyle w:val="ListParagraph"/>
        <w:numPr>
          <w:ilvl w:val="0"/>
          <w:numId w:val="19"/>
        </w:numPr>
        <w:rPr>
          <w:i/>
        </w:rPr>
      </w:pPr>
      <w:r w:rsidRPr="00841F69">
        <w:rPr>
          <w:i/>
        </w:rPr>
        <w:t>Medical/Health based support:</w:t>
      </w:r>
    </w:p>
    <w:p w:rsidR="00A11CB6" w:rsidRPr="00841F69" w:rsidRDefault="005C4993" w:rsidP="00A11CB6">
      <w:pPr>
        <w:pStyle w:val="ListParagraph"/>
        <w:numPr>
          <w:ilvl w:val="0"/>
          <w:numId w:val="21"/>
        </w:numPr>
      </w:pPr>
      <w:r w:rsidRPr="00841F69">
        <w:t>Tech assisted support, or dos</w:t>
      </w:r>
      <w:r w:rsidR="00A11CB6" w:rsidRPr="00841F69">
        <w:t>ett</w:t>
      </w:r>
      <w:r w:rsidRPr="00841F69">
        <w:t>e</w:t>
      </w:r>
      <w:r w:rsidR="00A11CB6" w:rsidRPr="00841F69">
        <w:t xml:space="preserve"> boxes will be available dependent on needs.</w:t>
      </w:r>
      <w:r w:rsidR="00316AA5" w:rsidRPr="00841F69">
        <w:t xml:space="preserve"> </w:t>
      </w:r>
    </w:p>
    <w:p w:rsidR="00A11CB6" w:rsidRPr="00841F69" w:rsidRDefault="00A11CB6" w:rsidP="00A11CB6">
      <w:pPr>
        <w:pStyle w:val="ListParagraph"/>
        <w:numPr>
          <w:ilvl w:val="0"/>
          <w:numId w:val="21"/>
        </w:numPr>
      </w:pPr>
      <w:r w:rsidRPr="00841F69">
        <w:t xml:space="preserve">For all </w:t>
      </w:r>
      <w:r w:rsidR="00194D60" w:rsidRPr="00841F69">
        <w:t>50s and over</w:t>
      </w:r>
      <w:r w:rsidRPr="00841F69">
        <w:t>, a dementia</w:t>
      </w:r>
      <w:r w:rsidR="004857EF" w:rsidRPr="00841F69">
        <w:t xml:space="preserve"> </w:t>
      </w:r>
      <w:r w:rsidR="00EE74EE">
        <w:t>nurse</w:t>
      </w:r>
      <w:r w:rsidRPr="00841F69">
        <w:t xml:space="preserve"> will reassess once a year using the MoCa. </w:t>
      </w:r>
    </w:p>
    <w:p w:rsidR="00A11CB6" w:rsidRPr="00841F69" w:rsidRDefault="00A11CB6" w:rsidP="00A11CB6">
      <w:pPr>
        <w:pStyle w:val="ListParagraph"/>
        <w:numPr>
          <w:ilvl w:val="0"/>
          <w:numId w:val="21"/>
        </w:numPr>
      </w:pPr>
      <w:r w:rsidRPr="00841F69">
        <w:t xml:space="preserve">For the purposes of information sharing a combined register will be available which will summarise any co-morbidities and other significant information. </w:t>
      </w:r>
      <w:r w:rsidR="00791E05" w:rsidRPr="00841F69">
        <w:t xml:space="preserve">This will be managed by the dementia </w:t>
      </w:r>
      <w:r w:rsidR="00EE74EE">
        <w:t>nurse</w:t>
      </w:r>
      <w:r w:rsidR="00791E05" w:rsidRPr="00841F69">
        <w:t xml:space="preserve"> with information by other healthcare staff</w:t>
      </w:r>
      <w:r w:rsidR="00E233D9" w:rsidRPr="00841F69">
        <w:t>, subject to prisoners providing consent</w:t>
      </w:r>
      <w:r w:rsidR="00791E05" w:rsidRPr="00841F69">
        <w:t>.</w:t>
      </w:r>
    </w:p>
    <w:p w:rsidR="00E13D10" w:rsidRPr="00841F69" w:rsidRDefault="00A11CB6" w:rsidP="00DD20D6">
      <w:pPr>
        <w:pStyle w:val="ListParagraph"/>
        <w:numPr>
          <w:ilvl w:val="0"/>
          <w:numId w:val="21"/>
        </w:numPr>
      </w:pPr>
      <w:r w:rsidRPr="00841F69">
        <w:lastRenderedPageBreak/>
        <w:t>A personalised care plan will also be available</w:t>
      </w:r>
      <w:r w:rsidR="00E233D9" w:rsidRPr="00841F69">
        <w:t xml:space="preserve"> developed by the dementia </w:t>
      </w:r>
      <w:r w:rsidR="00EE74EE">
        <w:t>nurse</w:t>
      </w:r>
      <w:r w:rsidR="00E233D9" w:rsidRPr="00841F69">
        <w:t>. B</w:t>
      </w:r>
      <w:r w:rsidRPr="00841F69">
        <w:t>oth healthcare and prison staff will be able to view</w:t>
      </w:r>
      <w:r w:rsidR="009169A1" w:rsidRPr="00841F69">
        <w:t xml:space="preserve"> subject to prisoners providing consent</w:t>
      </w:r>
      <w:r w:rsidRPr="00841F69">
        <w:t>. This document will include how medication and care times and if applicable to diagnosis, how to effectively communicate (i.e are there any triggers for this person.) It would also highlight any problems with social isolation.</w:t>
      </w:r>
    </w:p>
    <w:p w:rsidR="00DD20D6" w:rsidRPr="00841F69" w:rsidRDefault="00DD20D6" w:rsidP="00DD20D6">
      <w:pPr>
        <w:pStyle w:val="ListParagraph"/>
        <w:ind w:left="1080"/>
      </w:pPr>
    </w:p>
    <w:p w:rsidR="008C3EE7" w:rsidRPr="00841F69" w:rsidRDefault="008C3EE7" w:rsidP="00D06ED1">
      <w:pPr>
        <w:pStyle w:val="ListParagraph"/>
        <w:ind w:left="0"/>
        <w:rPr>
          <w:b/>
          <w:i/>
        </w:rPr>
      </w:pPr>
    </w:p>
    <w:p w:rsidR="00E13D10" w:rsidRPr="00841F69" w:rsidRDefault="00E13D10" w:rsidP="00D06ED1">
      <w:pPr>
        <w:pStyle w:val="ListParagraph"/>
        <w:ind w:left="0"/>
        <w:rPr>
          <w:b/>
          <w:i/>
        </w:rPr>
      </w:pPr>
      <w:r w:rsidRPr="00841F69">
        <w:rPr>
          <w:b/>
          <w:i/>
        </w:rPr>
        <w:t>Social:</w:t>
      </w:r>
    </w:p>
    <w:p w:rsidR="00A23590" w:rsidRPr="00841F69" w:rsidRDefault="00DD20D6" w:rsidP="00DD20D6">
      <w:pPr>
        <w:pStyle w:val="ListParagraph"/>
        <w:ind w:left="0" w:firstLine="720"/>
      </w:pPr>
      <w:r w:rsidRPr="00841F69">
        <w:t>For all:</w:t>
      </w:r>
    </w:p>
    <w:p w:rsidR="00DD20D6" w:rsidRPr="00841F69" w:rsidRDefault="00DD20D6" w:rsidP="00DD20D6">
      <w:pPr>
        <w:pStyle w:val="ListParagraph"/>
        <w:numPr>
          <w:ilvl w:val="0"/>
          <w:numId w:val="19"/>
        </w:numPr>
        <w:rPr>
          <w:i/>
        </w:rPr>
      </w:pPr>
      <w:r w:rsidRPr="00841F69">
        <w:t>Older age day</w:t>
      </w:r>
      <w:r w:rsidR="009C6282" w:rsidRPr="00841F69">
        <w:t xml:space="preserve"> </w:t>
      </w:r>
      <w:r w:rsidRPr="00841F69">
        <w:t>groups</w:t>
      </w:r>
      <w:r w:rsidR="00760A22" w:rsidRPr="00841F69">
        <w:t xml:space="preserve"> </w:t>
      </w:r>
      <w:r w:rsidR="00194D60" w:rsidRPr="00841F69">
        <w:t>should</w:t>
      </w:r>
      <w:r w:rsidRPr="00841F69">
        <w:t xml:space="preserve"> be available offering stimulating activities such as book club, board games, </w:t>
      </w:r>
      <w:r w:rsidR="004204D3" w:rsidRPr="00841F69">
        <w:t xml:space="preserve">cookery and </w:t>
      </w:r>
      <w:r w:rsidRPr="00841F69">
        <w:t xml:space="preserve">arts &amp; crafts. </w:t>
      </w:r>
      <w:r w:rsidR="009C6282" w:rsidRPr="00841F69">
        <w:t>These could be provided by Age UK, Alzheimer</w:t>
      </w:r>
      <w:r w:rsidR="009778B4" w:rsidRPr="00841F69">
        <w:t xml:space="preserve"> UK, volunteers, peers or older p</w:t>
      </w:r>
      <w:r w:rsidR="009C6282" w:rsidRPr="00841F69">
        <w:t>erson’s lead.</w:t>
      </w:r>
    </w:p>
    <w:p w:rsidR="00A76DDA" w:rsidRPr="00841F69" w:rsidRDefault="004204D3" w:rsidP="00A76DDA">
      <w:pPr>
        <w:pStyle w:val="ListParagraph"/>
        <w:numPr>
          <w:ilvl w:val="0"/>
          <w:numId w:val="19"/>
        </w:numPr>
        <w:rPr>
          <w:i/>
        </w:rPr>
      </w:pPr>
      <w:r w:rsidRPr="00841F69">
        <w:t xml:space="preserve">Support groups or sessions will be available to offer advice regarding pensions, </w:t>
      </w:r>
      <w:r w:rsidR="00A76DDA" w:rsidRPr="00841F69">
        <w:t>housing and legal advice.</w:t>
      </w:r>
      <w:r w:rsidR="00FB3625" w:rsidRPr="00841F69">
        <w:t xml:space="preserve"> This could be provided through the third sector, such as RECOOP</w:t>
      </w:r>
      <w:r w:rsidR="00194D60" w:rsidRPr="00841F69">
        <w:t>, Age UK etc.</w:t>
      </w:r>
    </w:p>
    <w:p w:rsidR="00A76DDA" w:rsidRPr="00841F69" w:rsidRDefault="00A76DDA" w:rsidP="0021581B">
      <w:pPr>
        <w:pStyle w:val="NoSpacing"/>
        <w:ind w:left="720"/>
      </w:pPr>
      <w:r w:rsidRPr="00841F69">
        <w:t>For those with dementia:</w:t>
      </w:r>
    </w:p>
    <w:p w:rsidR="00A76DDA" w:rsidRPr="00841F69" w:rsidRDefault="00E73589" w:rsidP="0021581B">
      <w:pPr>
        <w:pStyle w:val="NoSpacing"/>
        <w:numPr>
          <w:ilvl w:val="0"/>
          <w:numId w:val="19"/>
        </w:numPr>
      </w:pPr>
      <w:r w:rsidRPr="00841F69">
        <w:t xml:space="preserve">Services such as </w:t>
      </w:r>
      <w:r w:rsidR="0021581B" w:rsidRPr="00841F69">
        <w:t xml:space="preserve">Dementia Café’s </w:t>
      </w:r>
      <w:r w:rsidR="001E495E" w:rsidRPr="00841F69">
        <w:t xml:space="preserve">should be considered where appropriate. </w:t>
      </w:r>
      <w:r w:rsidRPr="00841F69">
        <w:t xml:space="preserve"> These could be </w:t>
      </w:r>
      <w:r w:rsidR="0021581B" w:rsidRPr="00841F69">
        <w:t xml:space="preserve">held once a month/ once every two months to signpost dementia support in a sociable and stimulating environment. </w:t>
      </w:r>
    </w:p>
    <w:p w:rsidR="00A76DDA" w:rsidRPr="00CD6EE8" w:rsidRDefault="00A76DDA" w:rsidP="00A76DDA">
      <w:pPr>
        <w:ind w:left="720"/>
        <w:rPr>
          <w:i/>
        </w:rPr>
      </w:pPr>
    </w:p>
    <w:p w:rsidR="00A80B52" w:rsidRPr="00CD6EE8" w:rsidRDefault="002940E5" w:rsidP="008A039A">
      <w:pPr>
        <w:pStyle w:val="ListParagraph"/>
        <w:ind w:left="0"/>
        <w:rPr>
          <w:b/>
          <w:i/>
        </w:rPr>
      </w:pPr>
      <w:r w:rsidRPr="00CD6EE8">
        <w:rPr>
          <w:b/>
          <w:i/>
        </w:rPr>
        <w:t>End of Life Care:</w:t>
      </w:r>
    </w:p>
    <w:p w:rsidR="008E4921" w:rsidRPr="00841F69" w:rsidRDefault="00576F58" w:rsidP="00330AEA">
      <w:pPr>
        <w:rPr>
          <w:i/>
        </w:rPr>
      </w:pPr>
      <w:r w:rsidRPr="00841F69">
        <w:rPr>
          <w:i/>
        </w:rPr>
        <w:t xml:space="preserve">The document ‘Dying Well in Custody Charter’ is a useful resource for supporting those on an end of life pathway in custody. </w:t>
      </w:r>
      <w:hyperlink r:id="rId10" w:history="1">
        <w:r w:rsidR="00FC6FFD" w:rsidRPr="00841F69">
          <w:rPr>
            <w:rStyle w:val="Hyperlink"/>
            <w:i/>
          </w:rPr>
          <w:t>http://endoflifecareambitions.org.uk/wp-content/uploads/2018/06/Dying-Well-in-Custody-Self-Assessment-Tool-June-2018.pdf</w:t>
        </w:r>
      </w:hyperlink>
      <w:r w:rsidR="00FC6FFD" w:rsidRPr="00841F69">
        <w:rPr>
          <w:i/>
        </w:rPr>
        <w:t xml:space="preserve"> </w:t>
      </w:r>
    </w:p>
    <w:p w:rsidR="008A039A" w:rsidRPr="00CD6EE8" w:rsidRDefault="008A039A" w:rsidP="00330AEA">
      <w:pPr>
        <w:rPr>
          <w:b/>
          <w:i/>
        </w:rPr>
      </w:pPr>
    </w:p>
    <w:p w:rsidR="00CD6EE8" w:rsidRPr="00CD6EE8" w:rsidRDefault="00CD6EE8" w:rsidP="00330AEA">
      <w:pPr>
        <w:rPr>
          <w:b/>
          <w:i/>
        </w:rPr>
      </w:pPr>
      <w:r w:rsidRPr="00CD6EE8">
        <w:rPr>
          <w:b/>
          <w:i/>
        </w:rPr>
        <w:t>Staff support and awareness:</w:t>
      </w:r>
    </w:p>
    <w:p w:rsidR="00CD6EE8" w:rsidRDefault="00CD6EE8" w:rsidP="00CD6EE8">
      <w:pPr>
        <w:pStyle w:val="ListParagraph"/>
        <w:numPr>
          <w:ilvl w:val="0"/>
          <w:numId w:val="24"/>
        </w:numPr>
      </w:pPr>
      <w:r>
        <w:t>Staff should submit a referral form to the dementia trained nurse if they have any concerns about a resident.</w:t>
      </w:r>
    </w:p>
    <w:p w:rsidR="00CD6EE8" w:rsidRDefault="00CD6EE8" w:rsidP="00CD6EE8">
      <w:pPr>
        <w:pStyle w:val="ListParagraph"/>
        <w:numPr>
          <w:ilvl w:val="0"/>
          <w:numId w:val="24"/>
        </w:numPr>
      </w:pPr>
      <w:r>
        <w:t>Staff should receive dementia awareness training on induction</w:t>
      </w:r>
    </w:p>
    <w:p w:rsidR="00CD6EE8" w:rsidRDefault="00CD6EE8" w:rsidP="00CD6EE8">
      <w:pPr>
        <w:pStyle w:val="ListParagraph"/>
        <w:numPr>
          <w:ilvl w:val="0"/>
          <w:numId w:val="24"/>
        </w:numPr>
      </w:pPr>
      <w:r>
        <w:t xml:space="preserve">Regular information sessions should be held to keep staff informed </w:t>
      </w:r>
    </w:p>
    <w:p w:rsidR="00CD6EE8" w:rsidRPr="00CD6EE8" w:rsidRDefault="00CD6EE8" w:rsidP="00CD6EE8">
      <w:pPr>
        <w:pStyle w:val="ListParagraph"/>
        <w:numPr>
          <w:ilvl w:val="0"/>
          <w:numId w:val="24"/>
        </w:numPr>
      </w:pPr>
      <w:r>
        <w:t>Staff should be made aware of their dementia advisor.</w:t>
      </w: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Default="00CD6EE8" w:rsidP="00330AEA">
      <w:pPr>
        <w:rPr>
          <w:i/>
        </w:rPr>
      </w:pPr>
    </w:p>
    <w:p w:rsidR="00CD6EE8" w:rsidRPr="00841F69" w:rsidRDefault="00CD6EE8" w:rsidP="00330AEA">
      <w:pPr>
        <w:rPr>
          <w:i/>
        </w:rPr>
      </w:pPr>
    </w:p>
    <w:p w:rsidR="008E4921" w:rsidRPr="00841F69" w:rsidRDefault="008E4921" w:rsidP="008E4921">
      <w:pPr>
        <w:pStyle w:val="ListParagraph"/>
        <w:ind w:left="0"/>
        <w:rPr>
          <w:i/>
        </w:rPr>
      </w:pPr>
      <w:r w:rsidRPr="00841F69">
        <w:rPr>
          <w:i/>
        </w:rPr>
        <w:t>References</w:t>
      </w:r>
    </w:p>
    <w:p w:rsidR="00330AEA" w:rsidRPr="00841F69" w:rsidRDefault="00330AEA" w:rsidP="00DB3A06">
      <w:pPr>
        <w:pStyle w:val="NoSpacing"/>
      </w:pPr>
      <w:r w:rsidRPr="00841F69">
        <w:t xml:space="preserve">Dementia Action Alliance. Dementia friendly envrionments. </w:t>
      </w:r>
      <w:hyperlink r:id="rId11" w:history="1">
        <w:r w:rsidRPr="00841F69">
          <w:rPr>
            <w:rStyle w:val="Hyperlink"/>
          </w:rPr>
          <w:t>https://www.dementiaaction.org.uk/</w:t>
        </w:r>
      </w:hyperlink>
      <w:r w:rsidRPr="00841F69">
        <w:t xml:space="preserve"> </w:t>
      </w:r>
    </w:p>
    <w:p w:rsidR="00490DC7" w:rsidRPr="00841F69" w:rsidRDefault="00490DC7" w:rsidP="00490DC7">
      <w:pPr>
        <w:pStyle w:val="Bibliography"/>
        <w:rPr>
          <w:rFonts w:eastAsia="Times New Roman"/>
        </w:rPr>
      </w:pPr>
    </w:p>
    <w:p w:rsidR="00490DC7" w:rsidRPr="00841F69" w:rsidRDefault="00490DC7" w:rsidP="00490DC7">
      <w:pPr>
        <w:pStyle w:val="Bibliography"/>
        <w:rPr>
          <w:noProof/>
          <w:lang w:val="en-US"/>
        </w:rPr>
      </w:pPr>
      <w:r w:rsidRPr="00841F69">
        <w:rPr>
          <w:i/>
          <w:iCs/>
          <w:noProof/>
          <w:lang w:val="en-US"/>
        </w:rPr>
        <w:t xml:space="preserve">Ambitions for Palliative &amp; End of Life Care Partnership. Dying Well in Custody Charter: A National Framework for Local Action. 2018. </w:t>
      </w:r>
    </w:p>
    <w:p w:rsidR="00691A7B" w:rsidRPr="00841F69" w:rsidRDefault="00691A7B" w:rsidP="00691A7B">
      <w:pPr>
        <w:rPr>
          <w:rFonts w:eastAsia="Times New Roman"/>
        </w:rPr>
      </w:pPr>
      <w:r w:rsidRPr="00841F69">
        <w:rPr>
          <w:rFonts w:eastAsia="Times New Roman"/>
        </w:rPr>
        <w:t>Elamin, M., Holloway, G., Bak, T. H., &amp; Pal, S. (2015). The utility of the Addenbrooke's Cognitive Examination version three in early-onset dementia. Dementia and Geriatric Cognitive Disorders, 41, 9-15. doi: 10.1159/000439248</w:t>
      </w:r>
    </w:p>
    <w:p w:rsidR="00691A7B" w:rsidRPr="00841F69" w:rsidRDefault="00691A7B" w:rsidP="00691A7B">
      <w:pPr>
        <w:rPr>
          <w:rFonts w:eastAsia="Times New Roman"/>
        </w:rPr>
      </w:pPr>
      <w:r w:rsidRPr="00841F69">
        <w:rPr>
          <w:rFonts w:eastAsia="Times New Roman"/>
        </w:rPr>
        <w:t>Hsieh, S., Schubert, S., Hoon, C., Mioshi, E., &amp; Hodges, J. R. (2013). Validation of the Addenbrooke’s Cognitive Examination III in frontotemporal dementia and Alzheimer’s disease. Dementia and Geriatric Cognitive Disorders, 36, 242-250. doi: 10.1159/000351671</w:t>
      </w:r>
    </w:p>
    <w:p w:rsidR="00330AEA" w:rsidRPr="00841F69" w:rsidRDefault="00330AEA" w:rsidP="00DB3A06">
      <w:pPr>
        <w:pStyle w:val="NoSpacing"/>
      </w:pPr>
    </w:p>
    <w:p w:rsidR="008E4921" w:rsidRPr="00841F69" w:rsidRDefault="008E4921" w:rsidP="00DB3A06">
      <w:pPr>
        <w:pStyle w:val="NoSpacing"/>
      </w:pPr>
      <w:r w:rsidRPr="00841F69">
        <w:t>Moll, A. (2013), ‘Losing Track of Time’. London: Mental Health Foundation</w:t>
      </w:r>
    </w:p>
    <w:p w:rsidR="008E4921" w:rsidRPr="00841F69" w:rsidRDefault="008E4921" w:rsidP="00DB3A06">
      <w:pPr>
        <w:pStyle w:val="NoSpacing"/>
      </w:pPr>
    </w:p>
    <w:p w:rsidR="008E4921" w:rsidRPr="00841F69" w:rsidRDefault="008E4921" w:rsidP="00DB3A06">
      <w:pPr>
        <w:pStyle w:val="NoSpacing"/>
      </w:pPr>
      <w:r w:rsidRPr="00841F69">
        <w:t>Nasreddine, Z. S., Phillips, N. A., Bédirian, V., Charbonneau, S., Whitehead, V., Collin, I., Cummings,</w:t>
      </w:r>
    </w:p>
    <w:p w:rsidR="008E4921" w:rsidRPr="00841F69" w:rsidRDefault="008E4921" w:rsidP="00DB3A06">
      <w:pPr>
        <w:pStyle w:val="NoSpacing"/>
      </w:pPr>
      <w:r w:rsidRPr="00841F69">
        <w:t>J. L. &amp; Chertkow, H. (2005), ‘The Montreal Cognitive Assessment, MoCA: A Brief Screening Tool For</w:t>
      </w:r>
    </w:p>
    <w:p w:rsidR="008E4921" w:rsidRPr="00841F69" w:rsidRDefault="008E4921" w:rsidP="00DB3A06">
      <w:pPr>
        <w:pStyle w:val="NoSpacing"/>
      </w:pPr>
      <w:r w:rsidRPr="00841F69">
        <w:t>Mild Cognitive Impairment’. Journal of the American Geriatrics Society, 53, 695–699</w:t>
      </w:r>
    </w:p>
    <w:p w:rsidR="008E4921" w:rsidRPr="00841F69" w:rsidRDefault="008E4921" w:rsidP="00DB3A06">
      <w:pPr>
        <w:pStyle w:val="NoSpacing"/>
        <w:rPr>
          <w:i/>
        </w:rPr>
      </w:pPr>
    </w:p>
    <w:p w:rsidR="00791865" w:rsidRPr="00841F69" w:rsidRDefault="000D2EAC" w:rsidP="00DB3A06">
      <w:pPr>
        <w:pStyle w:val="NoSpacing"/>
        <w:rPr>
          <w:noProof/>
          <w:lang w:val="en-US"/>
        </w:rPr>
      </w:pPr>
      <w:r w:rsidRPr="00841F69">
        <w:rPr>
          <w:i/>
        </w:rPr>
        <w:t>NOMS. (2016), ‘PSI 17/2015: Prisoners Assisting Other Prisoners’, London: Ministry of Justice</w:t>
      </w:r>
      <w:r w:rsidR="00791865" w:rsidRPr="00841F69">
        <w:rPr>
          <w:noProof/>
          <w:lang w:val="en-US"/>
        </w:rPr>
        <w:t xml:space="preserve">Spector, A. &amp; Orell, M. a. W. B., 2018. </w:t>
      </w:r>
      <w:r w:rsidR="00791865" w:rsidRPr="00841F69">
        <w:rPr>
          <w:i/>
          <w:iCs/>
          <w:noProof/>
          <w:lang w:val="en-US"/>
        </w:rPr>
        <w:t xml:space="preserve">Cognitive Stimulation Therapy. </w:t>
      </w:r>
      <w:r w:rsidR="00791865" w:rsidRPr="00841F69">
        <w:rPr>
          <w:noProof/>
          <w:lang w:val="en-US"/>
        </w:rPr>
        <w:t xml:space="preserve">[Online] </w:t>
      </w:r>
      <w:r w:rsidR="00791865" w:rsidRPr="00841F69">
        <w:rPr>
          <w:noProof/>
          <w:lang w:val="en-US"/>
        </w:rPr>
        <w:br/>
        <w:t xml:space="preserve">Available at: </w:t>
      </w:r>
      <w:r w:rsidR="00791865" w:rsidRPr="00841F69">
        <w:rPr>
          <w:noProof/>
          <w:u w:val="single"/>
          <w:lang w:val="en-US"/>
        </w:rPr>
        <w:t>http://www.cstdementia.com/</w:t>
      </w:r>
      <w:r w:rsidR="00791865" w:rsidRPr="00841F69">
        <w:rPr>
          <w:noProof/>
          <w:lang w:val="en-US"/>
        </w:rPr>
        <w:t>[Accessed 24 October 2018].</w:t>
      </w:r>
    </w:p>
    <w:p w:rsidR="00330AEA" w:rsidRPr="00841F69" w:rsidRDefault="00330AEA" w:rsidP="00DB3A06">
      <w:pPr>
        <w:pStyle w:val="NoSpacing"/>
        <w:rPr>
          <w:noProof/>
          <w:lang w:val="en-US"/>
        </w:rPr>
      </w:pPr>
    </w:p>
    <w:p w:rsidR="00330AEA" w:rsidRPr="00841F69" w:rsidRDefault="00330AEA" w:rsidP="00330AEA">
      <w:pPr>
        <w:pStyle w:val="Bibliography"/>
        <w:rPr>
          <w:noProof/>
          <w:lang w:val="en-US"/>
        </w:rPr>
      </w:pPr>
      <w:r w:rsidRPr="00841F69">
        <w:rPr>
          <w:noProof/>
          <w:lang w:val="en-US"/>
        </w:rPr>
        <w:t xml:space="preserve">The University of Striling. </w:t>
      </w:r>
      <w:r w:rsidRPr="00841F69">
        <w:rPr>
          <w:i/>
          <w:iCs/>
          <w:noProof/>
          <w:lang w:val="en-US"/>
        </w:rPr>
        <w:t xml:space="preserve">Dementia Services Development Centre. </w:t>
      </w:r>
      <w:r w:rsidRPr="00841F69">
        <w:rPr>
          <w:noProof/>
          <w:lang w:val="en-US"/>
        </w:rPr>
        <w:t xml:space="preserve">[Online] </w:t>
      </w:r>
      <w:r w:rsidRPr="00841F69">
        <w:rPr>
          <w:noProof/>
          <w:lang w:val="en-US"/>
        </w:rPr>
        <w:br/>
        <w:t xml:space="preserve">Available at: </w:t>
      </w:r>
      <w:r w:rsidRPr="00841F69">
        <w:rPr>
          <w:noProof/>
          <w:u w:val="single"/>
          <w:lang w:val="en-US"/>
        </w:rPr>
        <w:t>http://dementia.stir.ac.uk/design/virtual-environments/virtual-care-home</w:t>
      </w:r>
      <w:r w:rsidRPr="00841F69">
        <w:rPr>
          <w:noProof/>
          <w:lang w:val="en-US"/>
        </w:rPr>
        <w:br/>
        <w:t>[Accessed 24 October 2018].</w:t>
      </w:r>
    </w:p>
    <w:p w:rsidR="00490DC7" w:rsidRDefault="00490DC7" w:rsidP="00490DC7">
      <w:pPr>
        <w:pStyle w:val="Heading1"/>
      </w:pPr>
    </w:p>
    <w:p w:rsidR="00330AEA" w:rsidRPr="00A80B52" w:rsidRDefault="00330AEA" w:rsidP="008E4921">
      <w:pPr>
        <w:pStyle w:val="ListParagraph"/>
        <w:ind w:left="0"/>
        <w:rPr>
          <w:i/>
        </w:rPr>
      </w:pPr>
    </w:p>
    <w:sectPr w:rsidR="00330AEA" w:rsidRPr="00A80B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AA" w:rsidRDefault="00426CAA" w:rsidP="00D06ED1">
      <w:pPr>
        <w:spacing w:after="0" w:line="240" w:lineRule="auto"/>
      </w:pPr>
      <w:r>
        <w:separator/>
      </w:r>
    </w:p>
  </w:endnote>
  <w:endnote w:type="continuationSeparator" w:id="0">
    <w:p w:rsidR="00426CAA" w:rsidRDefault="00426CAA" w:rsidP="00D0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AA" w:rsidRDefault="00426CAA" w:rsidP="00D06ED1">
      <w:pPr>
        <w:spacing w:after="0" w:line="240" w:lineRule="auto"/>
      </w:pPr>
      <w:r>
        <w:separator/>
      </w:r>
    </w:p>
  </w:footnote>
  <w:footnote w:type="continuationSeparator" w:id="0">
    <w:p w:rsidR="00426CAA" w:rsidRDefault="00426CAA" w:rsidP="00D06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106"/>
    <w:multiLevelType w:val="hybridMultilevel"/>
    <w:tmpl w:val="2C8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7080D"/>
    <w:multiLevelType w:val="hybridMultilevel"/>
    <w:tmpl w:val="2056F244"/>
    <w:lvl w:ilvl="0" w:tplc="0809000F">
      <w:start w:val="1"/>
      <w:numFmt w:val="decimal"/>
      <w:lvlText w:val="%1."/>
      <w:lvlJc w:val="left"/>
      <w:pPr>
        <w:ind w:left="1695" w:hanging="360"/>
      </w:p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2" w15:restartNumberingAfterBreak="0">
    <w:nsid w:val="0F22418E"/>
    <w:multiLevelType w:val="hybridMultilevel"/>
    <w:tmpl w:val="2D82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4CC1"/>
    <w:multiLevelType w:val="hybridMultilevel"/>
    <w:tmpl w:val="8C8A1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66B21"/>
    <w:multiLevelType w:val="hybridMultilevel"/>
    <w:tmpl w:val="EB8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21E89"/>
    <w:multiLevelType w:val="hybridMultilevel"/>
    <w:tmpl w:val="34FE66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DC7EE2"/>
    <w:multiLevelType w:val="hybridMultilevel"/>
    <w:tmpl w:val="0D560A1C"/>
    <w:lvl w:ilvl="0" w:tplc="08090017">
      <w:start w:val="1"/>
      <w:numFmt w:val="lowerLetter"/>
      <w:lvlText w:val="%1)"/>
      <w:lvlJc w:val="left"/>
      <w:pPr>
        <w:ind w:left="1695" w:hanging="360"/>
      </w:p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7" w15:restartNumberingAfterBreak="0">
    <w:nsid w:val="3A812EC8"/>
    <w:multiLevelType w:val="hybridMultilevel"/>
    <w:tmpl w:val="F9782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B1510A"/>
    <w:multiLevelType w:val="hybridMultilevel"/>
    <w:tmpl w:val="63D8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CA7EAE"/>
    <w:multiLevelType w:val="hybridMultilevel"/>
    <w:tmpl w:val="2AEA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277E2"/>
    <w:multiLevelType w:val="hybridMultilevel"/>
    <w:tmpl w:val="17020778"/>
    <w:lvl w:ilvl="0" w:tplc="29B2EB78">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3C62E1"/>
    <w:multiLevelType w:val="hybridMultilevel"/>
    <w:tmpl w:val="2F3E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53CBA"/>
    <w:multiLevelType w:val="hybridMultilevel"/>
    <w:tmpl w:val="AA921AD0"/>
    <w:lvl w:ilvl="0" w:tplc="02E69C92">
      <w:start w:val="1"/>
      <w:numFmt w:val="lowerLetter"/>
      <w:lvlText w:val="%1."/>
      <w:lvlJc w:val="left"/>
      <w:pPr>
        <w:ind w:left="2055" w:hanging="360"/>
      </w:pPr>
      <w:rPr>
        <w:rFonts w:hint="default"/>
        <w:b w:val="0"/>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3" w15:restartNumberingAfterBreak="0">
    <w:nsid w:val="4B29191D"/>
    <w:multiLevelType w:val="hybridMultilevel"/>
    <w:tmpl w:val="FB8252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54F720A"/>
    <w:multiLevelType w:val="hybridMultilevel"/>
    <w:tmpl w:val="7A1875CC"/>
    <w:lvl w:ilvl="0" w:tplc="35BE03B4">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EE7915"/>
    <w:multiLevelType w:val="hybridMultilevel"/>
    <w:tmpl w:val="F04C44C6"/>
    <w:lvl w:ilvl="0" w:tplc="29B2EB7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35428"/>
    <w:multiLevelType w:val="hybridMultilevel"/>
    <w:tmpl w:val="ADEA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73EEE"/>
    <w:multiLevelType w:val="hybridMultilevel"/>
    <w:tmpl w:val="F790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227CA"/>
    <w:multiLevelType w:val="hybridMultilevel"/>
    <w:tmpl w:val="5E5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66D73"/>
    <w:multiLevelType w:val="hybridMultilevel"/>
    <w:tmpl w:val="4754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F6E83"/>
    <w:multiLevelType w:val="hybridMultilevel"/>
    <w:tmpl w:val="CB60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D066E"/>
    <w:multiLevelType w:val="hybridMultilevel"/>
    <w:tmpl w:val="D2581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893E4F"/>
    <w:multiLevelType w:val="hybridMultilevel"/>
    <w:tmpl w:val="55E247E8"/>
    <w:lvl w:ilvl="0" w:tplc="08090013">
      <w:start w:val="1"/>
      <w:numFmt w:val="upperRoman"/>
      <w:lvlText w:val="%1."/>
      <w:lvlJc w:val="right"/>
      <w:pPr>
        <w:ind w:left="2055" w:hanging="360"/>
      </w:pPr>
      <w:rPr>
        <w:rFonts w:hint="default"/>
        <w:b w:val="0"/>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3" w15:restartNumberingAfterBreak="0">
    <w:nsid w:val="7C3E204B"/>
    <w:multiLevelType w:val="hybridMultilevel"/>
    <w:tmpl w:val="4A4A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
  </w:num>
  <w:num w:numId="4">
    <w:abstractNumId w:val="2"/>
  </w:num>
  <w:num w:numId="5">
    <w:abstractNumId w:val="8"/>
  </w:num>
  <w:num w:numId="6">
    <w:abstractNumId w:val="7"/>
  </w:num>
  <w:num w:numId="7">
    <w:abstractNumId w:val="9"/>
  </w:num>
  <w:num w:numId="8">
    <w:abstractNumId w:val="16"/>
  </w:num>
  <w:num w:numId="9">
    <w:abstractNumId w:val="0"/>
  </w:num>
  <w:num w:numId="10">
    <w:abstractNumId w:val="21"/>
  </w:num>
  <w:num w:numId="11">
    <w:abstractNumId w:val="14"/>
  </w:num>
  <w:num w:numId="12">
    <w:abstractNumId w:val="1"/>
  </w:num>
  <w:num w:numId="13">
    <w:abstractNumId w:val="6"/>
  </w:num>
  <w:num w:numId="14">
    <w:abstractNumId w:val="12"/>
  </w:num>
  <w:num w:numId="15">
    <w:abstractNumId w:val="22"/>
  </w:num>
  <w:num w:numId="16">
    <w:abstractNumId w:val="11"/>
  </w:num>
  <w:num w:numId="17">
    <w:abstractNumId w:val="20"/>
  </w:num>
  <w:num w:numId="18">
    <w:abstractNumId w:val="5"/>
  </w:num>
  <w:num w:numId="19">
    <w:abstractNumId w:val="4"/>
  </w:num>
  <w:num w:numId="20">
    <w:abstractNumId w:val="23"/>
  </w:num>
  <w:num w:numId="21">
    <w:abstractNumId w:val="10"/>
  </w:num>
  <w:num w:numId="22">
    <w:abstractNumId w:val="13"/>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D1"/>
    <w:rsid w:val="00003569"/>
    <w:rsid w:val="00017AA9"/>
    <w:rsid w:val="00053ECD"/>
    <w:rsid w:val="00092156"/>
    <w:rsid w:val="0009718C"/>
    <w:rsid w:val="000D2EAC"/>
    <w:rsid w:val="000D5675"/>
    <w:rsid w:val="000E349D"/>
    <w:rsid w:val="000E707B"/>
    <w:rsid w:val="000E7E5F"/>
    <w:rsid w:val="000F1F75"/>
    <w:rsid w:val="001152BB"/>
    <w:rsid w:val="00134160"/>
    <w:rsid w:val="001470BB"/>
    <w:rsid w:val="00152C41"/>
    <w:rsid w:val="00152D78"/>
    <w:rsid w:val="001649C0"/>
    <w:rsid w:val="00183A24"/>
    <w:rsid w:val="00190864"/>
    <w:rsid w:val="00194D60"/>
    <w:rsid w:val="001A6261"/>
    <w:rsid w:val="001C63BD"/>
    <w:rsid w:val="001D5622"/>
    <w:rsid w:val="001E495E"/>
    <w:rsid w:val="00205417"/>
    <w:rsid w:val="002101E4"/>
    <w:rsid w:val="0021581B"/>
    <w:rsid w:val="00217174"/>
    <w:rsid w:val="002212AC"/>
    <w:rsid w:val="0027578E"/>
    <w:rsid w:val="002940E5"/>
    <w:rsid w:val="002946FA"/>
    <w:rsid w:val="002A1AD7"/>
    <w:rsid w:val="002A372C"/>
    <w:rsid w:val="002A4208"/>
    <w:rsid w:val="002B25C3"/>
    <w:rsid w:val="002B73C8"/>
    <w:rsid w:val="002D36A0"/>
    <w:rsid w:val="002F5168"/>
    <w:rsid w:val="002F51AF"/>
    <w:rsid w:val="002F5A13"/>
    <w:rsid w:val="00316AA5"/>
    <w:rsid w:val="00322B5C"/>
    <w:rsid w:val="00330AEA"/>
    <w:rsid w:val="003404EB"/>
    <w:rsid w:val="003727BB"/>
    <w:rsid w:val="003763D7"/>
    <w:rsid w:val="00381E59"/>
    <w:rsid w:val="003A2408"/>
    <w:rsid w:val="003B2B8F"/>
    <w:rsid w:val="003D53A4"/>
    <w:rsid w:val="003F4E40"/>
    <w:rsid w:val="004204D3"/>
    <w:rsid w:val="00426CAA"/>
    <w:rsid w:val="00432A47"/>
    <w:rsid w:val="004370C0"/>
    <w:rsid w:val="0045245B"/>
    <w:rsid w:val="00460170"/>
    <w:rsid w:val="00470CC0"/>
    <w:rsid w:val="00471083"/>
    <w:rsid w:val="004857EF"/>
    <w:rsid w:val="00490DA5"/>
    <w:rsid w:val="00490DC7"/>
    <w:rsid w:val="004911E4"/>
    <w:rsid w:val="004935BD"/>
    <w:rsid w:val="004A37BD"/>
    <w:rsid w:val="004B03BE"/>
    <w:rsid w:val="004B5F66"/>
    <w:rsid w:val="004C5CF6"/>
    <w:rsid w:val="004F10F3"/>
    <w:rsid w:val="0051615E"/>
    <w:rsid w:val="005179A7"/>
    <w:rsid w:val="00534ADB"/>
    <w:rsid w:val="005602A1"/>
    <w:rsid w:val="00576F58"/>
    <w:rsid w:val="0058160C"/>
    <w:rsid w:val="0059540C"/>
    <w:rsid w:val="00597F03"/>
    <w:rsid w:val="005A5833"/>
    <w:rsid w:val="005B59A8"/>
    <w:rsid w:val="005C4993"/>
    <w:rsid w:val="005C68C2"/>
    <w:rsid w:val="005C75B4"/>
    <w:rsid w:val="005D3D49"/>
    <w:rsid w:val="005D5EB5"/>
    <w:rsid w:val="005D6ED4"/>
    <w:rsid w:val="005E7470"/>
    <w:rsid w:val="00607342"/>
    <w:rsid w:val="00610D02"/>
    <w:rsid w:val="0062246E"/>
    <w:rsid w:val="00663E51"/>
    <w:rsid w:val="00686235"/>
    <w:rsid w:val="00691A7B"/>
    <w:rsid w:val="006A4575"/>
    <w:rsid w:val="006B0EDC"/>
    <w:rsid w:val="006C3CF1"/>
    <w:rsid w:val="006C6ECE"/>
    <w:rsid w:val="006D516D"/>
    <w:rsid w:val="006D625D"/>
    <w:rsid w:val="006D7675"/>
    <w:rsid w:val="006F0EC9"/>
    <w:rsid w:val="006F2CCA"/>
    <w:rsid w:val="006F474D"/>
    <w:rsid w:val="007073A7"/>
    <w:rsid w:val="0071540C"/>
    <w:rsid w:val="007214A5"/>
    <w:rsid w:val="00725D4F"/>
    <w:rsid w:val="00727F4D"/>
    <w:rsid w:val="00731331"/>
    <w:rsid w:val="007452D5"/>
    <w:rsid w:val="00745DBA"/>
    <w:rsid w:val="00760A22"/>
    <w:rsid w:val="00775DD2"/>
    <w:rsid w:val="00791865"/>
    <w:rsid w:val="00791E05"/>
    <w:rsid w:val="007A6EF5"/>
    <w:rsid w:val="007C2128"/>
    <w:rsid w:val="007E6C20"/>
    <w:rsid w:val="00800310"/>
    <w:rsid w:val="00801255"/>
    <w:rsid w:val="008173C7"/>
    <w:rsid w:val="00823674"/>
    <w:rsid w:val="0082757B"/>
    <w:rsid w:val="008306BA"/>
    <w:rsid w:val="00841F69"/>
    <w:rsid w:val="00874CBB"/>
    <w:rsid w:val="00876A1C"/>
    <w:rsid w:val="0088056A"/>
    <w:rsid w:val="008A039A"/>
    <w:rsid w:val="008A4471"/>
    <w:rsid w:val="008A6106"/>
    <w:rsid w:val="008B46F5"/>
    <w:rsid w:val="008C31AC"/>
    <w:rsid w:val="008C3EE7"/>
    <w:rsid w:val="008C4DEC"/>
    <w:rsid w:val="008C57DE"/>
    <w:rsid w:val="008D4C1B"/>
    <w:rsid w:val="008E0063"/>
    <w:rsid w:val="008E2037"/>
    <w:rsid w:val="008E2DF8"/>
    <w:rsid w:val="008E4921"/>
    <w:rsid w:val="008E7EFC"/>
    <w:rsid w:val="008F0DE0"/>
    <w:rsid w:val="008F2A98"/>
    <w:rsid w:val="008F3947"/>
    <w:rsid w:val="0090657F"/>
    <w:rsid w:val="009169A1"/>
    <w:rsid w:val="0092181C"/>
    <w:rsid w:val="0094581C"/>
    <w:rsid w:val="009778B4"/>
    <w:rsid w:val="00982987"/>
    <w:rsid w:val="00991241"/>
    <w:rsid w:val="00992D76"/>
    <w:rsid w:val="00997CB4"/>
    <w:rsid w:val="009C1E6F"/>
    <w:rsid w:val="009C6282"/>
    <w:rsid w:val="009D1AF1"/>
    <w:rsid w:val="009D2647"/>
    <w:rsid w:val="009E68C9"/>
    <w:rsid w:val="009F630C"/>
    <w:rsid w:val="00A11CB6"/>
    <w:rsid w:val="00A15542"/>
    <w:rsid w:val="00A17329"/>
    <w:rsid w:val="00A23590"/>
    <w:rsid w:val="00A379BC"/>
    <w:rsid w:val="00A44416"/>
    <w:rsid w:val="00A44B92"/>
    <w:rsid w:val="00A6206B"/>
    <w:rsid w:val="00A643C1"/>
    <w:rsid w:val="00A7244A"/>
    <w:rsid w:val="00A7377F"/>
    <w:rsid w:val="00A741B6"/>
    <w:rsid w:val="00A76DDA"/>
    <w:rsid w:val="00A80B52"/>
    <w:rsid w:val="00AA08B5"/>
    <w:rsid w:val="00AC4C0E"/>
    <w:rsid w:val="00B062B9"/>
    <w:rsid w:val="00B106FC"/>
    <w:rsid w:val="00B25081"/>
    <w:rsid w:val="00B25FB7"/>
    <w:rsid w:val="00B340BA"/>
    <w:rsid w:val="00B40134"/>
    <w:rsid w:val="00B6017B"/>
    <w:rsid w:val="00B631D2"/>
    <w:rsid w:val="00B66702"/>
    <w:rsid w:val="00B75BD3"/>
    <w:rsid w:val="00B773A7"/>
    <w:rsid w:val="00B80A2C"/>
    <w:rsid w:val="00B93C90"/>
    <w:rsid w:val="00B9568C"/>
    <w:rsid w:val="00BA65A4"/>
    <w:rsid w:val="00BD1F49"/>
    <w:rsid w:val="00BE3C84"/>
    <w:rsid w:val="00BF4AA4"/>
    <w:rsid w:val="00C06DCD"/>
    <w:rsid w:val="00C1336A"/>
    <w:rsid w:val="00C135C4"/>
    <w:rsid w:val="00C13A31"/>
    <w:rsid w:val="00C219EA"/>
    <w:rsid w:val="00C264BF"/>
    <w:rsid w:val="00C33465"/>
    <w:rsid w:val="00C45777"/>
    <w:rsid w:val="00C4667D"/>
    <w:rsid w:val="00C6197E"/>
    <w:rsid w:val="00C70254"/>
    <w:rsid w:val="00C75B80"/>
    <w:rsid w:val="00C84780"/>
    <w:rsid w:val="00C960C6"/>
    <w:rsid w:val="00CC6C00"/>
    <w:rsid w:val="00CD6D3E"/>
    <w:rsid w:val="00CD6EE8"/>
    <w:rsid w:val="00CE5204"/>
    <w:rsid w:val="00CE6203"/>
    <w:rsid w:val="00CF2A41"/>
    <w:rsid w:val="00CF2EC7"/>
    <w:rsid w:val="00D06D35"/>
    <w:rsid w:val="00D06ED1"/>
    <w:rsid w:val="00D34018"/>
    <w:rsid w:val="00D41471"/>
    <w:rsid w:val="00D4675D"/>
    <w:rsid w:val="00D547C4"/>
    <w:rsid w:val="00D54940"/>
    <w:rsid w:val="00D676B9"/>
    <w:rsid w:val="00D77B3C"/>
    <w:rsid w:val="00D84F1B"/>
    <w:rsid w:val="00D94E28"/>
    <w:rsid w:val="00DB3A06"/>
    <w:rsid w:val="00DC475A"/>
    <w:rsid w:val="00DC650C"/>
    <w:rsid w:val="00DD20D6"/>
    <w:rsid w:val="00DD6A2F"/>
    <w:rsid w:val="00E1306C"/>
    <w:rsid w:val="00E13D10"/>
    <w:rsid w:val="00E233D9"/>
    <w:rsid w:val="00E27F38"/>
    <w:rsid w:val="00E32E69"/>
    <w:rsid w:val="00E51339"/>
    <w:rsid w:val="00E55DA3"/>
    <w:rsid w:val="00E73589"/>
    <w:rsid w:val="00E84B17"/>
    <w:rsid w:val="00EB1D0C"/>
    <w:rsid w:val="00EB2509"/>
    <w:rsid w:val="00EB47C3"/>
    <w:rsid w:val="00EC4F53"/>
    <w:rsid w:val="00ED3951"/>
    <w:rsid w:val="00EE5AA8"/>
    <w:rsid w:val="00EE74EE"/>
    <w:rsid w:val="00F064BA"/>
    <w:rsid w:val="00F15C87"/>
    <w:rsid w:val="00F20749"/>
    <w:rsid w:val="00F44082"/>
    <w:rsid w:val="00F448F4"/>
    <w:rsid w:val="00F70E8B"/>
    <w:rsid w:val="00F82C2A"/>
    <w:rsid w:val="00FA6945"/>
    <w:rsid w:val="00FB3625"/>
    <w:rsid w:val="00FC6FFD"/>
    <w:rsid w:val="00FD284F"/>
    <w:rsid w:val="00FE1276"/>
    <w:rsid w:val="00FF7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0DF52-82A9-43DF-81F3-06A0AD3D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186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ED1"/>
  </w:style>
  <w:style w:type="paragraph" w:styleId="Footer">
    <w:name w:val="footer"/>
    <w:basedOn w:val="Normal"/>
    <w:link w:val="FooterChar"/>
    <w:uiPriority w:val="99"/>
    <w:unhideWhenUsed/>
    <w:rsid w:val="00D06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ED1"/>
  </w:style>
  <w:style w:type="paragraph" w:styleId="ListParagraph">
    <w:name w:val="List Paragraph"/>
    <w:basedOn w:val="Normal"/>
    <w:uiPriority w:val="34"/>
    <w:qFormat/>
    <w:rsid w:val="00D06ED1"/>
    <w:pPr>
      <w:ind w:left="720"/>
      <w:contextualSpacing/>
    </w:pPr>
  </w:style>
  <w:style w:type="paragraph" w:styleId="NoSpacing">
    <w:name w:val="No Spacing"/>
    <w:uiPriority w:val="1"/>
    <w:qFormat/>
    <w:rsid w:val="0062246E"/>
    <w:pPr>
      <w:spacing w:after="0" w:line="240" w:lineRule="auto"/>
    </w:pPr>
  </w:style>
  <w:style w:type="character" w:customStyle="1" w:styleId="apple-converted-space">
    <w:name w:val="apple-converted-space"/>
    <w:basedOn w:val="DefaultParagraphFont"/>
    <w:rsid w:val="006A4575"/>
  </w:style>
  <w:style w:type="character" w:styleId="CommentReference">
    <w:name w:val="annotation reference"/>
    <w:basedOn w:val="DefaultParagraphFont"/>
    <w:uiPriority w:val="99"/>
    <w:semiHidden/>
    <w:unhideWhenUsed/>
    <w:rsid w:val="00ED3951"/>
    <w:rPr>
      <w:sz w:val="16"/>
      <w:szCs w:val="16"/>
    </w:rPr>
  </w:style>
  <w:style w:type="paragraph" w:styleId="CommentText">
    <w:name w:val="annotation text"/>
    <w:basedOn w:val="Normal"/>
    <w:link w:val="CommentTextChar"/>
    <w:uiPriority w:val="99"/>
    <w:semiHidden/>
    <w:unhideWhenUsed/>
    <w:rsid w:val="00ED3951"/>
    <w:pPr>
      <w:spacing w:line="240" w:lineRule="auto"/>
    </w:pPr>
    <w:rPr>
      <w:sz w:val="20"/>
      <w:szCs w:val="20"/>
    </w:rPr>
  </w:style>
  <w:style w:type="character" w:customStyle="1" w:styleId="CommentTextChar">
    <w:name w:val="Comment Text Char"/>
    <w:basedOn w:val="DefaultParagraphFont"/>
    <w:link w:val="CommentText"/>
    <w:uiPriority w:val="99"/>
    <w:semiHidden/>
    <w:rsid w:val="00ED3951"/>
    <w:rPr>
      <w:sz w:val="20"/>
      <w:szCs w:val="20"/>
    </w:rPr>
  </w:style>
  <w:style w:type="paragraph" w:styleId="CommentSubject">
    <w:name w:val="annotation subject"/>
    <w:basedOn w:val="CommentText"/>
    <w:next w:val="CommentText"/>
    <w:link w:val="CommentSubjectChar"/>
    <w:uiPriority w:val="99"/>
    <w:semiHidden/>
    <w:unhideWhenUsed/>
    <w:rsid w:val="00ED3951"/>
    <w:rPr>
      <w:b/>
      <w:bCs/>
    </w:rPr>
  </w:style>
  <w:style w:type="character" w:customStyle="1" w:styleId="CommentSubjectChar">
    <w:name w:val="Comment Subject Char"/>
    <w:basedOn w:val="CommentTextChar"/>
    <w:link w:val="CommentSubject"/>
    <w:uiPriority w:val="99"/>
    <w:semiHidden/>
    <w:rsid w:val="00ED3951"/>
    <w:rPr>
      <w:b/>
      <w:bCs/>
      <w:sz w:val="20"/>
      <w:szCs w:val="20"/>
    </w:rPr>
  </w:style>
  <w:style w:type="paragraph" w:styleId="BalloonText">
    <w:name w:val="Balloon Text"/>
    <w:basedOn w:val="Normal"/>
    <w:link w:val="BalloonTextChar"/>
    <w:uiPriority w:val="99"/>
    <w:semiHidden/>
    <w:unhideWhenUsed/>
    <w:rsid w:val="00ED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951"/>
    <w:rPr>
      <w:rFonts w:ascii="Tahoma" w:hAnsi="Tahoma" w:cs="Tahoma"/>
      <w:sz w:val="16"/>
      <w:szCs w:val="16"/>
    </w:rPr>
  </w:style>
  <w:style w:type="table" w:styleId="TableGrid">
    <w:name w:val="Table Grid"/>
    <w:basedOn w:val="TableNormal"/>
    <w:uiPriority w:val="59"/>
    <w:rsid w:val="00C3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1865"/>
    <w:rPr>
      <w:rFonts w:asciiTheme="majorHAnsi" w:eastAsiaTheme="majorEastAsia" w:hAnsiTheme="majorHAnsi" w:cstheme="majorBidi"/>
      <w:b/>
      <w:bCs/>
      <w:color w:val="2E74B5" w:themeColor="accent1" w:themeShade="BF"/>
      <w:sz w:val="28"/>
      <w:szCs w:val="28"/>
      <w:lang w:val="en-US" w:eastAsia="ja-JP"/>
    </w:rPr>
  </w:style>
  <w:style w:type="paragraph" w:styleId="Bibliography">
    <w:name w:val="Bibliography"/>
    <w:basedOn w:val="Normal"/>
    <w:next w:val="Normal"/>
    <w:uiPriority w:val="37"/>
    <w:unhideWhenUsed/>
    <w:rsid w:val="00791865"/>
  </w:style>
  <w:style w:type="character" w:styleId="Hyperlink">
    <w:name w:val="Hyperlink"/>
    <w:basedOn w:val="DefaultParagraphFont"/>
    <w:uiPriority w:val="99"/>
    <w:unhideWhenUsed/>
    <w:rsid w:val="00B6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5194">
      <w:bodyDiv w:val="1"/>
      <w:marLeft w:val="0"/>
      <w:marRight w:val="0"/>
      <w:marTop w:val="0"/>
      <w:marBottom w:val="0"/>
      <w:divBdr>
        <w:top w:val="none" w:sz="0" w:space="0" w:color="auto"/>
        <w:left w:val="none" w:sz="0" w:space="0" w:color="auto"/>
        <w:bottom w:val="none" w:sz="0" w:space="0" w:color="auto"/>
        <w:right w:val="none" w:sz="0" w:space="0" w:color="auto"/>
      </w:divBdr>
    </w:div>
    <w:div w:id="171527145">
      <w:bodyDiv w:val="1"/>
      <w:marLeft w:val="0"/>
      <w:marRight w:val="0"/>
      <w:marTop w:val="0"/>
      <w:marBottom w:val="0"/>
      <w:divBdr>
        <w:top w:val="none" w:sz="0" w:space="0" w:color="auto"/>
        <w:left w:val="none" w:sz="0" w:space="0" w:color="auto"/>
        <w:bottom w:val="none" w:sz="0" w:space="0" w:color="auto"/>
        <w:right w:val="none" w:sz="0" w:space="0" w:color="auto"/>
      </w:divBdr>
    </w:div>
    <w:div w:id="456872620">
      <w:bodyDiv w:val="1"/>
      <w:marLeft w:val="0"/>
      <w:marRight w:val="0"/>
      <w:marTop w:val="0"/>
      <w:marBottom w:val="0"/>
      <w:divBdr>
        <w:top w:val="none" w:sz="0" w:space="0" w:color="auto"/>
        <w:left w:val="none" w:sz="0" w:space="0" w:color="auto"/>
        <w:bottom w:val="none" w:sz="0" w:space="0" w:color="auto"/>
        <w:right w:val="none" w:sz="0" w:space="0" w:color="auto"/>
      </w:divBdr>
    </w:div>
    <w:div w:id="570508198">
      <w:bodyDiv w:val="1"/>
      <w:marLeft w:val="0"/>
      <w:marRight w:val="0"/>
      <w:marTop w:val="0"/>
      <w:marBottom w:val="0"/>
      <w:divBdr>
        <w:top w:val="none" w:sz="0" w:space="0" w:color="auto"/>
        <w:left w:val="none" w:sz="0" w:space="0" w:color="auto"/>
        <w:bottom w:val="none" w:sz="0" w:space="0" w:color="auto"/>
        <w:right w:val="none" w:sz="0" w:space="0" w:color="auto"/>
      </w:divBdr>
    </w:div>
    <w:div w:id="7485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entiaaction.org.uk/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entiaaction.org.uk/" TargetMode="External"/><Relationship Id="rId5" Type="http://schemas.openxmlformats.org/officeDocument/2006/relationships/webSettings" Target="webSettings.xml"/><Relationship Id="rId10" Type="http://schemas.openxmlformats.org/officeDocument/2006/relationships/hyperlink" Target="http://endoflifecareambitions.org.uk/wp-content/uploads/2018/06/Dying-Well-in-Custody-Self-Assessment-Tool-June-2018.pdf" TargetMode="External"/><Relationship Id="rId4" Type="http://schemas.openxmlformats.org/officeDocument/2006/relationships/settings" Target="settings.xml"/><Relationship Id="rId9" Type="http://schemas.openxmlformats.org/officeDocument/2006/relationships/hyperlink" Target="http://dementia.stir.ac.uk/design/virtual-environments/virtual-car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Nas</b:Tag>
    <b:SourceType>JournalArticle</b:SourceType>
    <b:Guid>{A404B372-C2AC-4A86-A80E-43E7A328C669}</b:Guid>
    <b:Author>
      <b:Author>
        <b:NameList>
          <b:Person>
            <b:Last>Nasreddine</b:Last>
            <b:First>Z.</b:First>
            <b:Middle>S., Phillips, N. A., Bédirian, V., Charbonneau, S., Whitehead, V., Collin, I., Cummings, J. L. &amp; Chertkow, H.</b:Middle>
          </b:Person>
        </b:NameList>
      </b:Author>
    </b:Author>
    <b:Year>2005</b:Year>
    <b:Title>‘The Montreal Cognitive Assessment, MoCA: A Brief Screening Tool For Mild Cognitive Impairment</b:Title>
    <b:JournalName>Journal of the American Geriatrics Society</b:JournalName>
    <b:Pages>695-699</b:Pages>
    <b:Volume>53</b:Volume>
    <b:RefOrder>1</b:RefOrder>
  </b:Source>
  <b:Source>
    <b:Tag>Spe18</b:Tag>
    <b:SourceType>InternetSite</b:SourceType>
    <b:Guid>{941CC9DA-D4A0-4BA6-94D3-E89FB91FA158}</b:Guid>
    <b:Title>Cognitive Stimulation Therapy</b:Title>
    <b:Year>2018</b:Year>
    <b:Author>
      <b:Author>
        <b:NameList>
          <b:Person>
            <b:Last>Spector</b:Last>
            <b:First>A</b:First>
          </b:Person>
          <b:Person>
            <b:Last>Orell</b:Last>
            <b:First>M</b:First>
            <b:Middle>and Woods, B</b:Middle>
          </b:Person>
        </b:NameList>
      </b:Author>
    </b:Author>
    <b:YearAccessed>2018</b:YearAccessed>
    <b:MonthAccessed>October</b:MonthAccessed>
    <b:DayAccessed>24</b:DayAccessed>
    <b:URL>http://www.cstdementia.com/</b:URL>
    <b:RefOrder>2</b:RefOrder>
  </b:Source>
  <b:Source>
    <b:Tag>The18</b:Tag>
    <b:SourceType>InternetSite</b:SourceType>
    <b:Guid>{CDEE0A67-9CA5-4470-A915-B37A58124C5B}</b:Guid>
    <b:Author>
      <b:Author>
        <b:NameList>
          <b:Person>
            <b:Last>Stirling</b:Last>
            <b:First>The</b:First>
            <b:Middle>University of</b:Middle>
          </b:Person>
        </b:NameList>
      </b:Author>
    </b:Author>
    <b:Title>Dementia Services Development Centre</b:Title>
    <b:Year>2018</b:Year>
    <b:YearAccessed>2018</b:YearAccessed>
    <b:MonthAccessed>October</b:MonthAccessed>
    <b:DayAccessed>24</b:DayAccessed>
    <b:URL>http://dementia.stir.ac.uk/design/virtual-environments/virtual-care-home</b:URL>
    <b:RefOrder>3</b:RefOrder>
  </b:Source>
  <b:Source>
    <b:Tag>Amb18</b:Tag>
    <b:SourceType>ElectronicSource</b:SourceType>
    <b:Guid>{D83D4C28-0AF6-4524-81F9-735BF17F9109}</b:Guid>
    <b:Author>
      <b:Author>
        <b:NameList>
          <b:Person>
            <b:Last>Partnership</b:Last>
            <b:First>Ambitions</b:First>
            <b:Middle>for Palliative &amp; End of Life Care</b:Middle>
          </b:Person>
        </b:NameList>
      </b:Author>
    </b:Author>
    <b:Title>Dying Well in Custody Charter: A National Framework for Local Action</b:Title>
    <b:Year>2018</b:Year>
    <b:RefOrder>4</b:RefOrder>
  </b:Source>
</b:Sources>
</file>

<file path=customXml/itemProps1.xml><?xml version="1.0" encoding="utf-8"?>
<ds:datastoreItem xmlns:ds="http://schemas.openxmlformats.org/officeDocument/2006/customXml" ds:itemID="{6A353151-06B6-40E2-820C-323FC15C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Heathcote</dc:creator>
  <cp:lastModifiedBy>Leanne Heathcote</cp:lastModifiedBy>
  <cp:revision>2</cp:revision>
  <cp:lastPrinted>2019-02-28T10:23:00Z</cp:lastPrinted>
  <dcterms:created xsi:type="dcterms:W3CDTF">2020-01-30T12:56:00Z</dcterms:created>
  <dcterms:modified xsi:type="dcterms:W3CDTF">2020-01-30T12:56:00Z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d2079506-90c2-36d9-91a7-2efc909779a8</vt:lpwstr>
  </property>
</Properties>
</file>