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6FBA" w14:textId="6C5BDDD2" w:rsidR="00F25552" w:rsidRDefault="00982A02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  <w:r>
        <w:rPr>
          <w:rFonts w:eastAsiaTheme="majorEastAsia"/>
          <w:b/>
          <w:bCs/>
          <w:sz w:val="28"/>
          <w:szCs w:val="28"/>
          <w:lang w:val="en-US"/>
        </w:rPr>
        <w:t xml:space="preserve">File </w:t>
      </w:r>
      <w:r w:rsidR="00B41729">
        <w:rPr>
          <w:rFonts w:eastAsiaTheme="majorEastAsia"/>
          <w:b/>
          <w:bCs/>
          <w:sz w:val="28"/>
          <w:szCs w:val="28"/>
          <w:lang w:val="en-US"/>
        </w:rPr>
        <w:t>1</w:t>
      </w:r>
      <w:r w:rsidR="00803534">
        <w:rPr>
          <w:rFonts w:eastAsiaTheme="majorEastAsia"/>
          <w:b/>
          <w:bCs/>
          <w:sz w:val="28"/>
          <w:szCs w:val="28"/>
          <w:lang w:val="en-US"/>
        </w:rPr>
        <w:t>1</w:t>
      </w:r>
      <w:r w:rsidR="00F25552" w:rsidRPr="00F25552">
        <w:rPr>
          <w:rFonts w:eastAsiaTheme="majorEastAsia"/>
          <w:b/>
          <w:bCs/>
          <w:sz w:val="28"/>
          <w:szCs w:val="28"/>
          <w:lang w:val="en-US"/>
        </w:rPr>
        <w:t>: Economic model 3: Project local site data (before and after, deterministic sensitivity analysis)</w:t>
      </w:r>
    </w:p>
    <w:p w14:paraId="3EB4B618" w14:textId="77777777" w:rsidR="00632E5A" w:rsidRPr="00F25552" w:rsidRDefault="00632E5A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</w:p>
    <w:p w14:paraId="06340A8A" w14:textId="590582B3" w:rsidR="00F25552" w:rsidRPr="00F25552" w:rsidRDefault="00982A02" w:rsidP="00F25552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File 1</w:t>
      </w:r>
      <w:r w:rsidR="00803534">
        <w:rPr>
          <w:rFonts w:eastAsiaTheme="minorEastAsia"/>
          <w:b/>
          <w:lang w:val="en-US"/>
        </w:rPr>
        <w:t>1</w:t>
      </w:r>
      <w:r w:rsidR="00F25552" w:rsidRPr="00F25552">
        <w:rPr>
          <w:rFonts w:eastAsiaTheme="minorEastAsia"/>
          <w:b/>
          <w:lang w:val="en-US"/>
        </w:rPr>
        <w:t>, Table 1: Economic model 3: one way sensitivity analyses for conf.2 data (questionnaire)</w:t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1134"/>
        <w:gridCol w:w="1096"/>
        <w:gridCol w:w="1053"/>
        <w:gridCol w:w="960"/>
        <w:gridCol w:w="1285"/>
        <w:gridCol w:w="1417"/>
      </w:tblGrid>
      <w:tr w:rsidR="00F25552" w:rsidRPr="00F25552" w14:paraId="6C4659EB" w14:textId="77777777" w:rsidTr="002C176A">
        <w:trPr>
          <w:trHeight w:val="420"/>
        </w:trPr>
        <w:tc>
          <w:tcPr>
            <w:tcW w:w="2410" w:type="dxa"/>
            <w:hideMark/>
          </w:tcPr>
          <w:p w14:paraId="15850D0D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2C52790D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2FAAC94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Baseline</w:t>
            </w:r>
          </w:p>
        </w:tc>
        <w:tc>
          <w:tcPr>
            <w:tcW w:w="2149" w:type="dxa"/>
            <w:gridSpan w:val="2"/>
            <w:hideMark/>
          </w:tcPr>
          <w:p w14:paraId="15BBA733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Follow up</w:t>
            </w:r>
          </w:p>
        </w:tc>
        <w:tc>
          <w:tcPr>
            <w:tcW w:w="960" w:type="dxa"/>
            <w:hideMark/>
          </w:tcPr>
          <w:p w14:paraId="5B0A05B3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85" w:type="dxa"/>
            <w:hideMark/>
          </w:tcPr>
          <w:p w14:paraId="2A898A62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7" w:type="dxa"/>
            <w:hideMark/>
          </w:tcPr>
          <w:p w14:paraId="798E89B8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 </w:t>
            </w:r>
          </w:p>
        </w:tc>
      </w:tr>
      <w:tr w:rsidR="00F25552" w:rsidRPr="00F25552" w14:paraId="48BAE305" w14:textId="77777777" w:rsidTr="002C176A">
        <w:trPr>
          <w:trHeight w:val="600"/>
        </w:trPr>
        <w:tc>
          <w:tcPr>
            <w:tcW w:w="2410" w:type="dxa"/>
            <w:hideMark/>
          </w:tcPr>
          <w:p w14:paraId="61F472CC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79E4E1A2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5CB108C6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1134" w:type="dxa"/>
            <w:hideMark/>
          </w:tcPr>
          <w:p w14:paraId="0EAA76C3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1096" w:type="dxa"/>
            <w:hideMark/>
          </w:tcPr>
          <w:p w14:paraId="3C9AE0B8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1053" w:type="dxa"/>
            <w:hideMark/>
          </w:tcPr>
          <w:p w14:paraId="1CABD06F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960" w:type="dxa"/>
            <w:hideMark/>
          </w:tcPr>
          <w:p w14:paraId="0667E0C9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P value</w:t>
            </w:r>
          </w:p>
        </w:tc>
        <w:tc>
          <w:tcPr>
            <w:tcW w:w="1285" w:type="dxa"/>
            <w:hideMark/>
          </w:tcPr>
          <w:p w14:paraId="5A2723CF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Diff (fup-base)</w:t>
            </w:r>
          </w:p>
        </w:tc>
        <w:tc>
          <w:tcPr>
            <w:tcW w:w="1417" w:type="dxa"/>
            <w:hideMark/>
          </w:tcPr>
          <w:p w14:paraId="2A959D28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ICER</w:t>
            </w:r>
          </w:p>
        </w:tc>
      </w:tr>
      <w:tr w:rsidR="00F25552" w:rsidRPr="00F25552" w14:paraId="1E9B4808" w14:textId="77777777" w:rsidTr="002C176A">
        <w:trPr>
          <w:trHeight w:val="420"/>
        </w:trPr>
        <w:tc>
          <w:tcPr>
            <w:tcW w:w="2410" w:type="dxa"/>
            <w:hideMark/>
          </w:tcPr>
          <w:p w14:paraId="44A40857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Primary</w:t>
            </w:r>
          </w:p>
        </w:tc>
        <w:tc>
          <w:tcPr>
            <w:tcW w:w="3119" w:type="dxa"/>
            <w:hideMark/>
          </w:tcPr>
          <w:p w14:paraId="63E0BD0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134" w:type="dxa"/>
            <w:hideMark/>
          </w:tcPr>
          <w:p w14:paraId="3FC1BEE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06C6086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13426.44</w:t>
            </w:r>
          </w:p>
        </w:tc>
        <w:tc>
          <w:tcPr>
            <w:tcW w:w="1096" w:type="dxa"/>
            <w:hideMark/>
          </w:tcPr>
          <w:p w14:paraId="763C1DE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6128.24</w:t>
            </w:r>
          </w:p>
        </w:tc>
        <w:tc>
          <w:tcPr>
            <w:tcW w:w="1053" w:type="dxa"/>
            <w:hideMark/>
          </w:tcPr>
          <w:p w14:paraId="7B53BDE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4579.24</w:t>
            </w:r>
          </w:p>
        </w:tc>
        <w:tc>
          <w:tcPr>
            <w:tcW w:w="960" w:type="dxa"/>
            <w:hideMark/>
          </w:tcPr>
          <w:p w14:paraId="56A9D79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0.1678</w:t>
            </w:r>
          </w:p>
        </w:tc>
        <w:tc>
          <w:tcPr>
            <w:tcW w:w="1285" w:type="dxa"/>
            <w:hideMark/>
          </w:tcPr>
          <w:p w14:paraId="4CC048A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2755.66</w:t>
            </w:r>
          </w:p>
        </w:tc>
        <w:tc>
          <w:tcPr>
            <w:tcW w:w="1417" w:type="dxa"/>
            <w:hideMark/>
          </w:tcPr>
          <w:p w14:paraId="07B0A44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17,222.875</w:t>
            </w:r>
          </w:p>
        </w:tc>
      </w:tr>
      <w:tr w:rsidR="00F25552" w:rsidRPr="00F25552" w14:paraId="76CF5D25" w14:textId="77777777" w:rsidTr="002C176A">
        <w:trPr>
          <w:trHeight w:val="420"/>
        </w:trPr>
        <w:tc>
          <w:tcPr>
            <w:tcW w:w="2410" w:type="dxa"/>
            <w:hideMark/>
          </w:tcPr>
          <w:p w14:paraId="462727A2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67284BB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 plus intervention</w:t>
            </w:r>
          </w:p>
        </w:tc>
        <w:tc>
          <w:tcPr>
            <w:tcW w:w="1134" w:type="dxa"/>
            <w:hideMark/>
          </w:tcPr>
          <w:p w14:paraId="0FEC96F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0268A7D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03FBFE1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27987.17</w:t>
            </w:r>
          </w:p>
        </w:tc>
        <w:tc>
          <w:tcPr>
            <w:tcW w:w="1053" w:type="dxa"/>
            <w:hideMark/>
          </w:tcPr>
          <w:p w14:paraId="754E513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9919.39</w:t>
            </w:r>
          </w:p>
        </w:tc>
        <w:tc>
          <w:tcPr>
            <w:tcW w:w="960" w:type="dxa"/>
            <w:hideMark/>
          </w:tcPr>
          <w:p w14:paraId="588E1AD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0.91</w:t>
            </w:r>
          </w:p>
        </w:tc>
        <w:tc>
          <w:tcPr>
            <w:tcW w:w="1285" w:type="dxa"/>
            <w:hideMark/>
          </w:tcPr>
          <w:p w14:paraId="5EA958E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333.95</w:t>
            </w:r>
          </w:p>
        </w:tc>
        <w:tc>
          <w:tcPr>
            <w:tcW w:w="1417" w:type="dxa"/>
            <w:hideMark/>
          </w:tcPr>
          <w:p w14:paraId="21C3FD0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2,087.1875</w:t>
            </w:r>
          </w:p>
        </w:tc>
      </w:tr>
      <w:tr w:rsidR="00F25552" w:rsidRPr="00F25552" w14:paraId="02232A4C" w14:textId="77777777" w:rsidTr="002C176A">
        <w:trPr>
          <w:trHeight w:val="420"/>
        </w:trPr>
        <w:tc>
          <w:tcPr>
            <w:tcW w:w="2410" w:type="dxa"/>
            <w:hideMark/>
          </w:tcPr>
          <w:p w14:paraId="0C353F98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71D5541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QALY (utility)</w:t>
            </w:r>
          </w:p>
        </w:tc>
        <w:tc>
          <w:tcPr>
            <w:tcW w:w="1134" w:type="dxa"/>
            <w:hideMark/>
          </w:tcPr>
          <w:p w14:paraId="200857E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0.48</w:t>
            </w:r>
          </w:p>
        </w:tc>
        <w:tc>
          <w:tcPr>
            <w:tcW w:w="1134" w:type="dxa"/>
            <w:hideMark/>
          </w:tcPr>
          <w:p w14:paraId="7B2095C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0.26</w:t>
            </w:r>
          </w:p>
        </w:tc>
        <w:tc>
          <w:tcPr>
            <w:tcW w:w="1096" w:type="dxa"/>
            <w:hideMark/>
          </w:tcPr>
          <w:p w14:paraId="2C1EC5D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0.64</w:t>
            </w:r>
          </w:p>
        </w:tc>
        <w:tc>
          <w:tcPr>
            <w:tcW w:w="1053" w:type="dxa"/>
            <w:hideMark/>
          </w:tcPr>
          <w:p w14:paraId="33998FB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0.22</w:t>
            </w:r>
          </w:p>
        </w:tc>
        <w:tc>
          <w:tcPr>
            <w:tcW w:w="960" w:type="dxa"/>
            <w:noWrap/>
            <w:hideMark/>
          </w:tcPr>
          <w:p w14:paraId="252B56E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285" w:type="dxa"/>
            <w:hideMark/>
          </w:tcPr>
          <w:p w14:paraId="0AB23D6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</w:t>
            </w:r>
          </w:p>
        </w:tc>
        <w:tc>
          <w:tcPr>
            <w:tcW w:w="1417" w:type="dxa"/>
            <w:hideMark/>
          </w:tcPr>
          <w:p w14:paraId="72E97B1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</w:tr>
      <w:tr w:rsidR="00F25552" w:rsidRPr="00F25552" w14:paraId="57A09B1B" w14:textId="77777777" w:rsidTr="002C176A">
        <w:trPr>
          <w:trHeight w:val="420"/>
        </w:trPr>
        <w:tc>
          <w:tcPr>
            <w:tcW w:w="2410" w:type="dxa"/>
            <w:hideMark/>
          </w:tcPr>
          <w:p w14:paraId="1A1A6779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no intervention </w:t>
            </w:r>
          </w:p>
        </w:tc>
        <w:tc>
          <w:tcPr>
            <w:tcW w:w="3119" w:type="dxa"/>
            <w:hideMark/>
          </w:tcPr>
          <w:p w14:paraId="020059D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134" w:type="dxa"/>
            <w:hideMark/>
          </w:tcPr>
          <w:p w14:paraId="62833F2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601AC84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5230.38</w:t>
            </w:r>
          </w:p>
        </w:tc>
        <w:tc>
          <w:tcPr>
            <w:tcW w:w="1096" w:type="dxa"/>
            <w:hideMark/>
          </w:tcPr>
          <w:p w14:paraId="7E817DF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2516.4</w:t>
            </w:r>
          </w:p>
        </w:tc>
        <w:tc>
          <w:tcPr>
            <w:tcW w:w="1053" w:type="dxa"/>
            <w:hideMark/>
          </w:tcPr>
          <w:p w14:paraId="48C96AF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4008.3</w:t>
            </w:r>
          </w:p>
        </w:tc>
        <w:tc>
          <w:tcPr>
            <w:tcW w:w="960" w:type="dxa"/>
            <w:hideMark/>
          </w:tcPr>
          <w:p w14:paraId="7218FBC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0.34</w:t>
            </w:r>
          </w:p>
        </w:tc>
        <w:tc>
          <w:tcPr>
            <w:tcW w:w="1285" w:type="dxa"/>
            <w:hideMark/>
          </w:tcPr>
          <w:p w14:paraId="437F61F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-856.18</w:t>
            </w:r>
          </w:p>
        </w:tc>
        <w:tc>
          <w:tcPr>
            <w:tcW w:w="1417" w:type="dxa"/>
            <w:hideMark/>
          </w:tcPr>
          <w:p w14:paraId="08DE6A4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-5,351.125</w:t>
            </w:r>
          </w:p>
        </w:tc>
      </w:tr>
      <w:tr w:rsidR="00F25552" w:rsidRPr="00F25552" w14:paraId="7B611A2D" w14:textId="77777777" w:rsidTr="002C176A">
        <w:trPr>
          <w:trHeight w:val="420"/>
        </w:trPr>
        <w:tc>
          <w:tcPr>
            <w:tcW w:w="2410" w:type="dxa"/>
            <w:hideMark/>
          </w:tcPr>
          <w:p w14:paraId="476B4F2C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7AC9283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</w:t>
            </w:r>
          </w:p>
        </w:tc>
        <w:tc>
          <w:tcPr>
            <w:tcW w:w="1134" w:type="dxa"/>
            <w:hideMark/>
          </w:tcPr>
          <w:p w14:paraId="1217DE8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38BFDAB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3335C4B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21894.55</w:t>
            </w:r>
          </w:p>
        </w:tc>
        <w:tc>
          <w:tcPr>
            <w:tcW w:w="1053" w:type="dxa"/>
            <w:hideMark/>
          </w:tcPr>
          <w:p w14:paraId="30C889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10920.1</w:t>
            </w:r>
          </w:p>
        </w:tc>
        <w:tc>
          <w:tcPr>
            <w:tcW w:w="960" w:type="dxa"/>
            <w:hideMark/>
          </w:tcPr>
          <w:p w14:paraId="184E135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0.0666</w:t>
            </w:r>
          </w:p>
        </w:tc>
        <w:tc>
          <w:tcPr>
            <w:tcW w:w="1285" w:type="dxa"/>
            <w:hideMark/>
          </w:tcPr>
          <w:p w14:paraId="0648AF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-5758.67</w:t>
            </w:r>
          </w:p>
        </w:tc>
        <w:tc>
          <w:tcPr>
            <w:tcW w:w="1417" w:type="dxa"/>
            <w:hideMark/>
          </w:tcPr>
          <w:p w14:paraId="2D74F82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-35,991.688</w:t>
            </w:r>
          </w:p>
        </w:tc>
      </w:tr>
      <w:tr w:rsidR="00F25552" w:rsidRPr="00F25552" w14:paraId="0EE4103B" w14:textId="77777777" w:rsidTr="002C176A">
        <w:trPr>
          <w:trHeight w:val="420"/>
        </w:trPr>
        <w:tc>
          <w:tcPr>
            <w:tcW w:w="2410" w:type="dxa"/>
            <w:hideMark/>
          </w:tcPr>
          <w:p w14:paraId="5736360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intervention costs increased by10%</w:t>
            </w:r>
          </w:p>
        </w:tc>
        <w:tc>
          <w:tcPr>
            <w:tcW w:w="3119" w:type="dxa"/>
            <w:hideMark/>
          </w:tcPr>
          <w:p w14:paraId="55C3397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134" w:type="dxa"/>
            <w:hideMark/>
          </w:tcPr>
          <w:p w14:paraId="3D7FF69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7124352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5230.38</w:t>
            </w:r>
          </w:p>
        </w:tc>
        <w:tc>
          <w:tcPr>
            <w:tcW w:w="1096" w:type="dxa"/>
            <w:hideMark/>
          </w:tcPr>
          <w:p w14:paraId="151816C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9218.28</w:t>
            </w:r>
          </w:p>
        </w:tc>
        <w:tc>
          <w:tcPr>
            <w:tcW w:w="1053" w:type="dxa"/>
            <w:hideMark/>
          </w:tcPr>
          <w:p w14:paraId="582D87B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11983.76</w:t>
            </w:r>
          </w:p>
        </w:tc>
        <w:tc>
          <w:tcPr>
            <w:tcW w:w="960" w:type="dxa"/>
            <w:hideMark/>
          </w:tcPr>
          <w:p w14:paraId="65BC214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285" w:type="dxa"/>
            <w:hideMark/>
          </w:tcPr>
          <w:p w14:paraId="7D55FB5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5845.7</w:t>
            </w:r>
          </w:p>
        </w:tc>
        <w:tc>
          <w:tcPr>
            <w:tcW w:w="1417" w:type="dxa"/>
            <w:hideMark/>
          </w:tcPr>
          <w:p w14:paraId="6698CC5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36,535.625</w:t>
            </w:r>
          </w:p>
        </w:tc>
      </w:tr>
      <w:tr w:rsidR="00F25552" w:rsidRPr="00F25552" w14:paraId="7976A62F" w14:textId="77777777" w:rsidTr="002C176A">
        <w:trPr>
          <w:trHeight w:val="420"/>
        </w:trPr>
        <w:tc>
          <w:tcPr>
            <w:tcW w:w="2410" w:type="dxa"/>
            <w:hideMark/>
          </w:tcPr>
          <w:p w14:paraId="5E4F6D1E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2819EEE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</w:t>
            </w:r>
          </w:p>
        </w:tc>
        <w:tc>
          <w:tcPr>
            <w:tcW w:w="1134" w:type="dxa"/>
            <w:hideMark/>
          </w:tcPr>
          <w:p w14:paraId="05EE764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283B2B6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00FDB49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28596.43</w:t>
            </w:r>
          </w:p>
        </w:tc>
        <w:tc>
          <w:tcPr>
            <w:tcW w:w="1053" w:type="dxa"/>
            <w:hideMark/>
          </w:tcPr>
          <w:p w14:paraId="2005BCF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17175.36</w:t>
            </w:r>
          </w:p>
        </w:tc>
        <w:tc>
          <w:tcPr>
            <w:tcW w:w="960" w:type="dxa"/>
            <w:hideMark/>
          </w:tcPr>
          <w:p w14:paraId="172F9E8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0.792</w:t>
            </w:r>
          </w:p>
        </w:tc>
        <w:tc>
          <w:tcPr>
            <w:tcW w:w="1285" w:type="dxa"/>
            <w:hideMark/>
          </w:tcPr>
          <w:p w14:paraId="18E1B95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943.21</w:t>
            </w:r>
          </w:p>
        </w:tc>
        <w:tc>
          <w:tcPr>
            <w:tcW w:w="1417" w:type="dxa"/>
            <w:hideMark/>
          </w:tcPr>
          <w:p w14:paraId="268FE5F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5,895.0625</w:t>
            </w:r>
          </w:p>
        </w:tc>
      </w:tr>
      <w:tr w:rsidR="00F25552" w:rsidRPr="00F25552" w14:paraId="11359EE5" w14:textId="77777777" w:rsidTr="002C176A">
        <w:trPr>
          <w:trHeight w:val="420"/>
        </w:trPr>
        <w:tc>
          <w:tcPr>
            <w:tcW w:w="2410" w:type="dxa"/>
            <w:hideMark/>
          </w:tcPr>
          <w:p w14:paraId="57D2530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intervention costs increased by20%</w:t>
            </w:r>
          </w:p>
        </w:tc>
        <w:tc>
          <w:tcPr>
            <w:tcW w:w="3119" w:type="dxa"/>
            <w:hideMark/>
          </w:tcPr>
          <w:p w14:paraId="3AC7C54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134" w:type="dxa"/>
            <w:hideMark/>
          </w:tcPr>
          <w:p w14:paraId="1CE8F6B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304C7E0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13426.44</w:t>
            </w:r>
          </w:p>
        </w:tc>
        <w:tc>
          <w:tcPr>
            <w:tcW w:w="1096" w:type="dxa"/>
            <w:hideMark/>
          </w:tcPr>
          <w:p w14:paraId="018AAB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9827.54</w:t>
            </w:r>
          </w:p>
        </w:tc>
        <w:tc>
          <w:tcPr>
            <w:tcW w:w="1053" w:type="dxa"/>
            <w:hideMark/>
          </w:tcPr>
          <w:p w14:paraId="3FE058B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12775.8</w:t>
            </w:r>
          </w:p>
        </w:tc>
        <w:tc>
          <w:tcPr>
            <w:tcW w:w="960" w:type="dxa"/>
            <w:hideMark/>
          </w:tcPr>
          <w:p w14:paraId="1CB8E4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0.01</w:t>
            </w:r>
          </w:p>
        </w:tc>
        <w:tc>
          <w:tcPr>
            <w:tcW w:w="1285" w:type="dxa"/>
            <w:hideMark/>
          </w:tcPr>
          <w:p w14:paraId="7C2BEDB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6454.96</w:t>
            </w:r>
          </w:p>
        </w:tc>
        <w:tc>
          <w:tcPr>
            <w:tcW w:w="1417" w:type="dxa"/>
            <w:hideMark/>
          </w:tcPr>
          <w:p w14:paraId="3C4A80A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40,343.5</w:t>
            </w:r>
          </w:p>
        </w:tc>
      </w:tr>
      <w:tr w:rsidR="00F25552" w:rsidRPr="00F25552" w14:paraId="58BFCC7B" w14:textId="77777777" w:rsidTr="002C176A">
        <w:trPr>
          <w:trHeight w:val="420"/>
        </w:trPr>
        <w:tc>
          <w:tcPr>
            <w:tcW w:w="2410" w:type="dxa"/>
            <w:hideMark/>
          </w:tcPr>
          <w:p w14:paraId="511D7B13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7307777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</w:t>
            </w:r>
          </w:p>
        </w:tc>
        <w:tc>
          <w:tcPr>
            <w:tcW w:w="1134" w:type="dxa"/>
            <w:hideMark/>
          </w:tcPr>
          <w:p w14:paraId="007F223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284F855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0DBB6F1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29205.69</w:t>
            </w:r>
          </w:p>
        </w:tc>
        <w:tc>
          <w:tcPr>
            <w:tcW w:w="1053" w:type="dxa"/>
            <w:hideMark/>
          </w:tcPr>
          <w:p w14:paraId="6AA2915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37967.4</w:t>
            </w:r>
          </w:p>
        </w:tc>
        <w:tc>
          <w:tcPr>
            <w:tcW w:w="960" w:type="dxa"/>
            <w:hideMark/>
          </w:tcPr>
          <w:p w14:paraId="79AE00E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0.7795</w:t>
            </w:r>
          </w:p>
        </w:tc>
        <w:tc>
          <w:tcPr>
            <w:tcW w:w="1285" w:type="dxa"/>
            <w:hideMark/>
          </w:tcPr>
          <w:p w14:paraId="23661EC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1552.47</w:t>
            </w:r>
          </w:p>
        </w:tc>
        <w:tc>
          <w:tcPr>
            <w:tcW w:w="1417" w:type="dxa"/>
            <w:hideMark/>
          </w:tcPr>
          <w:p w14:paraId="1FB75EE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9,702.9375</w:t>
            </w:r>
          </w:p>
        </w:tc>
      </w:tr>
      <w:tr w:rsidR="00F25552" w:rsidRPr="00F25552" w14:paraId="435D1341" w14:textId="77777777" w:rsidTr="002C176A">
        <w:trPr>
          <w:trHeight w:val="420"/>
        </w:trPr>
        <w:tc>
          <w:tcPr>
            <w:tcW w:w="2410" w:type="dxa"/>
            <w:hideMark/>
          </w:tcPr>
          <w:p w14:paraId="5114765B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mean hospitalisation cost@ fup=upper limit 95%CI</w:t>
            </w:r>
          </w:p>
        </w:tc>
        <w:tc>
          <w:tcPr>
            <w:tcW w:w="3119" w:type="dxa"/>
            <w:hideMark/>
          </w:tcPr>
          <w:p w14:paraId="190D5B9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134" w:type="dxa"/>
            <w:hideMark/>
          </w:tcPr>
          <w:p w14:paraId="307EDA1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0D80727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5230.38</w:t>
            </w:r>
          </w:p>
        </w:tc>
        <w:tc>
          <w:tcPr>
            <w:tcW w:w="1096" w:type="dxa"/>
            <w:hideMark/>
          </w:tcPr>
          <w:p w14:paraId="13B483E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9607.48</w:t>
            </w:r>
          </w:p>
        </w:tc>
        <w:tc>
          <w:tcPr>
            <w:tcW w:w="1053" w:type="dxa"/>
            <w:hideMark/>
          </w:tcPr>
          <w:p w14:paraId="0F35A0C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14411.22</w:t>
            </w:r>
          </w:p>
        </w:tc>
        <w:tc>
          <w:tcPr>
            <w:tcW w:w="960" w:type="dxa"/>
            <w:hideMark/>
          </w:tcPr>
          <w:p w14:paraId="17665E1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285" w:type="dxa"/>
            <w:hideMark/>
          </w:tcPr>
          <w:p w14:paraId="4D348A1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6234.9</w:t>
            </w:r>
          </w:p>
        </w:tc>
        <w:tc>
          <w:tcPr>
            <w:tcW w:w="1417" w:type="dxa"/>
            <w:hideMark/>
          </w:tcPr>
          <w:p w14:paraId="73A2B09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38,968.125</w:t>
            </w:r>
          </w:p>
        </w:tc>
      </w:tr>
      <w:tr w:rsidR="00F25552" w:rsidRPr="00F25552" w14:paraId="4D49421C" w14:textId="77777777" w:rsidTr="002C176A">
        <w:trPr>
          <w:trHeight w:val="420"/>
        </w:trPr>
        <w:tc>
          <w:tcPr>
            <w:tcW w:w="2410" w:type="dxa"/>
            <w:hideMark/>
          </w:tcPr>
          <w:p w14:paraId="64B87742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lastRenderedPageBreak/>
              <w:t> </w:t>
            </w:r>
          </w:p>
        </w:tc>
        <w:tc>
          <w:tcPr>
            <w:tcW w:w="3119" w:type="dxa"/>
            <w:hideMark/>
          </w:tcPr>
          <w:p w14:paraId="13C4063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 plus intervention</w:t>
            </w:r>
          </w:p>
        </w:tc>
        <w:tc>
          <w:tcPr>
            <w:tcW w:w="1134" w:type="dxa"/>
            <w:hideMark/>
          </w:tcPr>
          <w:p w14:paraId="622FC47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5D90406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020373F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28985.63</w:t>
            </w:r>
          </w:p>
        </w:tc>
        <w:tc>
          <w:tcPr>
            <w:tcW w:w="1053" w:type="dxa"/>
            <w:hideMark/>
          </w:tcPr>
          <w:p w14:paraId="59851F6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43478.45</w:t>
            </w:r>
          </w:p>
        </w:tc>
        <w:tc>
          <w:tcPr>
            <w:tcW w:w="960" w:type="dxa"/>
            <w:hideMark/>
          </w:tcPr>
          <w:p w14:paraId="631192B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0.83</w:t>
            </w:r>
          </w:p>
        </w:tc>
        <w:tc>
          <w:tcPr>
            <w:tcW w:w="1285" w:type="dxa"/>
            <w:hideMark/>
          </w:tcPr>
          <w:p w14:paraId="3437974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1332.41</w:t>
            </w:r>
          </w:p>
        </w:tc>
        <w:tc>
          <w:tcPr>
            <w:tcW w:w="1417" w:type="dxa"/>
            <w:hideMark/>
          </w:tcPr>
          <w:p w14:paraId="53B4771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8327.5625</w:t>
            </w:r>
          </w:p>
        </w:tc>
      </w:tr>
      <w:tr w:rsidR="00F25552" w:rsidRPr="00F25552" w14:paraId="260B2524" w14:textId="77777777" w:rsidTr="002C176A">
        <w:trPr>
          <w:trHeight w:val="420"/>
        </w:trPr>
        <w:tc>
          <w:tcPr>
            <w:tcW w:w="2410" w:type="dxa"/>
            <w:hideMark/>
          </w:tcPr>
          <w:p w14:paraId="0E7A1214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mean housing costs@fup=upper limit 95%CI</w:t>
            </w:r>
          </w:p>
        </w:tc>
        <w:tc>
          <w:tcPr>
            <w:tcW w:w="3119" w:type="dxa"/>
            <w:hideMark/>
          </w:tcPr>
          <w:p w14:paraId="7C143DF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134" w:type="dxa"/>
            <w:hideMark/>
          </w:tcPr>
          <w:p w14:paraId="2F9914A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1EB922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13426.44</w:t>
            </w:r>
          </w:p>
        </w:tc>
        <w:tc>
          <w:tcPr>
            <w:tcW w:w="1096" w:type="dxa"/>
            <w:hideMark/>
          </w:tcPr>
          <w:p w14:paraId="3F6B9E4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6128.24</w:t>
            </w:r>
          </w:p>
        </w:tc>
        <w:tc>
          <w:tcPr>
            <w:tcW w:w="1053" w:type="dxa"/>
            <w:hideMark/>
          </w:tcPr>
          <w:p w14:paraId="1EA4A18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4579.24</w:t>
            </w:r>
          </w:p>
        </w:tc>
        <w:tc>
          <w:tcPr>
            <w:tcW w:w="960" w:type="dxa"/>
            <w:hideMark/>
          </w:tcPr>
          <w:p w14:paraId="2CD487D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0.1678</w:t>
            </w:r>
          </w:p>
        </w:tc>
        <w:tc>
          <w:tcPr>
            <w:tcW w:w="1285" w:type="dxa"/>
            <w:hideMark/>
          </w:tcPr>
          <w:p w14:paraId="706B080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2755.66</w:t>
            </w:r>
          </w:p>
        </w:tc>
        <w:tc>
          <w:tcPr>
            <w:tcW w:w="1417" w:type="dxa"/>
            <w:hideMark/>
          </w:tcPr>
          <w:p w14:paraId="551F1F9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17,222.875</w:t>
            </w:r>
          </w:p>
        </w:tc>
      </w:tr>
      <w:tr w:rsidR="00F25552" w:rsidRPr="00F25552" w14:paraId="21A590BB" w14:textId="77777777" w:rsidTr="002C176A">
        <w:trPr>
          <w:trHeight w:val="420"/>
        </w:trPr>
        <w:tc>
          <w:tcPr>
            <w:tcW w:w="2410" w:type="dxa"/>
            <w:hideMark/>
          </w:tcPr>
          <w:p w14:paraId="149CAEA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59E4BE3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 plus intervention</w:t>
            </w:r>
          </w:p>
        </w:tc>
        <w:tc>
          <w:tcPr>
            <w:tcW w:w="1134" w:type="dxa"/>
            <w:hideMark/>
          </w:tcPr>
          <w:p w14:paraId="3763233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714BEFB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41479.84</w:t>
            </w:r>
          </w:p>
        </w:tc>
        <w:tc>
          <w:tcPr>
            <w:tcW w:w="1096" w:type="dxa"/>
            <w:hideMark/>
          </w:tcPr>
          <w:p w14:paraId="09392D4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30038.36</w:t>
            </w:r>
          </w:p>
        </w:tc>
        <w:tc>
          <w:tcPr>
            <w:tcW w:w="1053" w:type="dxa"/>
            <w:hideMark/>
          </w:tcPr>
          <w:p w14:paraId="718AF44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45057.53</w:t>
            </w:r>
          </w:p>
        </w:tc>
        <w:tc>
          <w:tcPr>
            <w:tcW w:w="960" w:type="dxa"/>
            <w:hideMark/>
          </w:tcPr>
          <w:p w14:paraId="7ACB234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0.77</w:t>
            </w:r>
          </w:p>
        </w:tc>
        <w:tc>
          <w:tcPr>
            <w:tcW w:w="1285" w:type="dxa"/>
            <w:hideMark/>
          </w:tcPr>
          <w:p w14:paraId="5E1678E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2385.13</w:t>
            </w:r>
          </w:p>
        </w:tc>
        <w:tc>
          <w:tcPr>
            <w:tcW w:w="1417" w:type="dxa"/>
            <w:hideMark/>
          </w:tcPr>
          <w:p w14:paraId="1F29CCE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14,907.0625</w:t>
            </w:r>
          </w:p>
        </w:tc>
      </w:tr>
      <w:tr w:rsidR="00F25552" w:rsidRPr="00F25552" w14:paraId="65CEA2FC" w14:textId="77777777" w:rsidTr="002C176A">
        <w:trPr>
          <w:trHeight w:val="420"/>
        </w:trPr>
        <w:tc>
          <w:tcPr>
            <w:tcW w:w="2410" w:type="dxa"/>
            <w:hideMark/>
          </w:tcPr>
          <w:p w14:paraId="67AE2A3A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sensitivity analysis: mean QALY@fup=lower limit 95%CI</w:t>
            </w:r>
          </w:p>
        </w:tc>
        <w:tc>
          <w:tcPr>
            <w:tcW w:w="3119" w:type="dxa"/>
            <w:hideMark/>
          </w:tcPr>
          <w:p w14:paraId="1F96DA2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134" w:type="dxa"/>
            <w:hideMark/>
          </w:tcPr>
          <w:p w14:paraId="793CA16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1134" w:type="dxa"/>
            <w:hideMark/>
          </w:tcPr>
          <w:p w14:paraId="2609AB7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13426.44</w:t>
            </w:r>
          </w:p>
        </w:tc>
        <w:tc>
          <w:tcPr>
            <w:tcW w:w="1096" w:type="dxa"/>
            <w:hideMark/>
          </w:tcPr>
          <w:p w14:paraId="5C03B83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6128.24</w:t>
            </w:r>
          </w:p>
        </w:tc>
        <w:tc>
          <w:tcPr>
            <w:tcW w:w="1053" w:type="dxa"/>
            <w:hideMark/>
          </w:tcPr>
          <w:p w14:paraId="15BDFFF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4579.24</w:t>
            </w:r>
          </w:p>
        </w:tc>
        <w:tc>
          <w:tcPr>
            <w:tcW w:w="960" w:type="dxa"/>
            <w:hideMark/>
          </w:tcPr>
          <w:p w14:paraId="3511DAE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0.1678</w:t>
            </w:r>
          </w:p>
        </w:tc>
        <w:tc>
          <w:tcPr>
            <w:tcW w:w="1285" w:type="dxa"/>
            <w:hideMark/>
          </w:tcPr>
          <w:p w14:paraId="0908D6B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2755.66</w:t>
            </w:r>
          </w:p>
        </w:tc>
        <w:tc>
          <w:tcPr>
            <w:tcW w:w="1417" w:type="dxa"/>
            <w:hideMark/>
          </w:tcPr>
          <w:p w14:paraId="332321A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27,556.6</w:t>
            </w:r>
          </w:p>
        </w:tc>
      </w:tr>
      <w:tr w:rsidR="00F25552" w:rsidRPr="00F25552" w14:paraId="5648016F" w14:textId="77777777" w:rsidTr="002C176A">
        <w:trPr>
          <w:trHeight w:val="420"/>
        </w:trPr>
        <w:tc>
          <w:tcPr>
            <w:tcW w:w="2410" w:type="dxa"/>
            <w:hideMark/>
          </w:tcPr>
          <w:p w14:paraId="434F9AE7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5FF6655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 plus intervention</w:t>
            </w:r>
          </w:p>
        </w:tc>
        <w:tc>
          <w:tcPr>
            <w:tcW w:w="1134" w:type="dxa"/>
            <w:hideMark/>
          </w:tcPr>
          <w:p w14:paraId="0A9A70C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1134" w:type="dxa"/>
            <w:hideMark/>
          </w:tcPr>
          <w:p w14:paraId="61E568A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1096" w:type="dxa"/>
            <w:hideMark/>
          </w:tcPr>
          <w:p w14:paraId="38EC606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27987.17</w:t>
            </w:r>
          </w:p>
        </w:tc>
        <w:tc>
          <w:tcPr>
            <w:tcW w:w="1053" w:type="dxa"/>
            <w:hideMark/>
          </w:tcPr>
          <w:p w14:paraId="5F3C114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9919.39</w:t>
            </w:r>
          </w:p>
        </w:tc>
        <w:tc>
          <w:tcPr>
            <w:tcW w:w="960" w:type="dxa"/>
            <w:hideMark/>
          </w:tcPr>
          <w:p w14:paraId="1E70EA2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0.91</w:t>
            </w:r>
          </w:p>
        </w:tc>
        <w:tc>
          <w:tcPr>
            <w:tcW w:w="1285" w:type="dxa"/>
            <w:hideMark/>
          </w:tcPr>
          <w:p w14:paraId="6CD2B31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333.95</w:t>
            </w:r>
          </w:p>
        </w:tc>
        <w:tc>
          <w:tcPr>
            <w:tcW w:w="1417" w:type="dxa"/>
            <w:hideMark/>
          </w:tcPr>
          <w:p w14:paraId="6A2CDDD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3,339.5</w:t>
            </w:r>
          </w:p>
        </w:tc>
      </w:tr>
      <w:tr w:rsidR="00F25552" w:rsidRPr="00F25552" w14:paraId="2EC35A0D" w14:textId="77777777" w:rsidTr="002C176A">
        <w:trPr>
          <w:trHeight w:val="420"/>
        </w:trPr>
        <w:tc>
          <w:tcPr>
            <w:tcW w:w="2410" w:type="dxa"/>
            <w:hideMark/>
          </w:tcPr>
          <w:p w14:paraId="236BE83A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3119" w:type="dxa"/>
            <w:hideMark/>
          </w:tcPr>
          <w:p w14:paraId="7DB8B7E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QALY (utility)</w:t>
            </w:r>
          </w:p>
        </w:tc>
        <w:tc>
          <w:tcPr>
            <w:tcW w:w="1134" w:type="dxa"/>
            <w:hideMark/>
          </w:tcPr>
          <w:p w14:paraId="327534E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0.48</w:t>
            </w:r>
          </w:p>
        </w:tc>
        <w:tc>
          <w:tcPr>
            <w:tcW w:w="1134" w:type="dxa"/>
            <w:hideMark/>
          </w:tcPr>
          <w:p w14:paraId="557A425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0.26</w:t>
            </w:r>
          </w:p>
        </w:tc>
        <w:tc>
          <w:tcPr>
            <w:tcW w:w="1096" w:type="dxa"/>
            <w:hideMark/>
          </w:tcPr>
          <w:p w14:paraId="4E4F58E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0.58</w:t>
            </w:r>
          </w:p>
        </w:tc>
        <w:tc>
          <w:tcPr>
            <w:tcW w:w="1053" w:type="dxa"/>
            <w:hideMark/>
          </w:tcPr>
          <w:p w14:paraId="551234D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0.28</w:t>
            </w:r>
          </w:p>
        </w:tc>
        <w:tc>
          <w:tcPr>
            <w:tcW w:w="960" w:type="dxa"/>
            <w:hideMark/>
          </w:tcPr>
          <w:p w14:paraId="3682DCC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0.05</w:t>
            </w:r>
          </w:p>
        </w:tc>
        <w:tc>
          <w:tcPr>
            <w:tcW w:w="1285" w:type="dxa"/>
            <w:hideMark/>
          </w:tcPr>
          <w:p w14:paraId="555D682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</w:t>
            </w:r>
          </w:p>
        </w:tc>
        <w:tc>
          <w:tcPr>
            <w:tcW w:w="1417" w:type="dxa"/>
            <w:hideMark/>
          </w:tcPr>
          <w:p w14:paraId="7B70BB0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</w:tr>
    </w:tbl>
    <w:p w14:paraId="17627739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378478A9" w14:textId="77777777" w:rsidR="00F25552" w:rsidRPr="00F25552" w:rsidRDefault="00F25552" w:rsidP="00F25552">
      <w:pPr>
        <w:rPr>
          <w:rFonts w:eastAsiaTheme="minorEastAsia"/>
          <w:b/>
          <w:lang w:val="en-US"/>
        </w:rPr>
      </w:pPr>
      <w:r w:rsidRPr="00F25552">
        <w:rPr>
          <w:rFonts w:eastAsiaTheme="minorEastAsia"/>
          <w:b/>
          <w:lang w:val="en-US"/>
        </w:rPr>
        <w:br w:type="page"/>
      </w:r>
    </w:p>
    <w:p w14:paraId="7015B2A6" w14:textId="4F8F4E47" w:rsidR="00F25552" w:rsidRPr="00392012" w:rsidRDefault="00982A02" w:rsidP="00F25552">
      <w:pPr>
        <w:rPr>
          <w:rFonts w:eastAsiaTheme="minorEastAsia"/>
          <w:b/>
          <w:sz w:val="28"/>
          <w:szCs w:val="28"/>
          <w:lang w:val="en-US"/>
        </w:rPr>
      </w:pPr>
      <w:r w:rsidRPr="00392012">
        <w:rPr>
          <w:rFonts w:eastAsiaTheme="minorEastAsia"/>
          <w:b/>
          <w:sz w:val="28"/>
          <w:szCs w:val="28"/>
          <w:lang w:val="en-US"/>
        </w:rPr>
        <w:lastRenderedPageBreak/>
        <w:t>File 1</w:t>
      </w:r>
      <w:r w:rsidR="00803534">
        <w:rPr>
          <w:rFonts w:eastAsiaTheme="minorEastAsia"/>
          <w:b/>
          <w:sz w:val="28"/>
          <w:szCs w:val="28"/>
          <w:lang w:val="en-US"/>
        </w:rPr>
        <w:t>1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392012">
        <w:rPr>
          <w:rFonts w:eastAsiaTheme="minorEastAsia"/>
          <w:b/>
          <w:sz w:val="28"/>
          <w:szCs w:val="28"/>
          <w:lang w:val="en-US"/>
        </w:rPr>
        <w:t xml:space="preserve"> Table 2: Economic model 3: one way sensitivity analyses for Conf.3 project data (audit data)</w:t>
      </w:r>
    </w:p>
    <w:p w14:paraId="0B73808C" w14:textId="77777777" w:rsidR="00F25552" w:rsidRPr="00F25552" w:rsidRDefault="00F25552" w:rsidP="00F25552">
      <w:pPr>
        <w:rPr>
          <w:rFonts w:eastAsiaTheme="minorEastAsia"/>
          <w:b/>
          <w:lang w:val="en-US"/>
        </w:rPr>
      </w:pPr>
    </w:p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2956"/>
        <w:gridCol w:w="2671"/>
        <w:gridCol w:w="1407"/>
        <w:gridCol w:w="1130"/>
        <w:gridCol w:w="1544"/>
        <w:gridCol w:w="1269"/>
        <w:gridCol w:w="1134"/>
        <w:gridCol w:w="1417"/>
        <w:gridCol w:w="1356"/>
      </w:tblGrid>
      <w:tr w:rsidR="00F25552" w:rsidRPr="00F25552" w14:paraId="71A086EA" w14:textId="77777777" w:rsidTr="002C176A">
        <w:trPr>
          <w:trHeight w:val="450"/>
        </w:trPr>
        <w:tc>
          <w:tcPr>
            <w:tcW w:w="2977" w:type="dxa"/>
            <w:vMerge w:val="restart"/>
            <w:hideMark/>
          </w:tcPr>
          <w:p w14:paraId="6917203F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693" w:type="dxa"/>
            <w:vMerge w:val="restart"/>
            <w:hideMark/>
          </w:tcPr>
          <w:p w14:paraId="373D033A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552" w:type="dxa"/>
            <w:gridSpan w:val="2"/>
            <w:vMerge w:val="restart"/>
            <w:hideMark/>
          </w:tcPr>
          <w:p w14:paraId="3AB1A8F4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 xml:space="preserve">Baseline </w:t>
            </w:r>
          </w:p>
        </w:tc>
        <w:tc>
          <w:tcPr>
            <w:tcW w:w="2835" w:type="dxa"/>
            <w:gridSpan w:val="2"/>
            <w:vMerge w:val="restart"/>
            <w:hideMark/>
          </w:tcPr>
          <w:p w14:paraId="4CAB6D29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 xml:space="preserve">Follow up </w:t>
            </w:r>
          </w:p>
        </w:tc>
        <w:tc>
          <w:tcPr>
            <w:tcW w:w="1134" w:type="dxa"/>
            <w:vMerge w:val="restart"/>
            <w:noWrap/>
            <w:hideMark/>
          </w:tcPr>
          <w:p w14:paraId="67879389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14:paraId="5733E036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7C2D519A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 </w:t>
            </w:r>
          </w:p>
        </w:tc>
      </w:tr>
      <w:tr w:rsidR="00F25552" w:rsidRPr="00F25552" w14:paraId="202FEBEA" w14:textId="77777777" w:rsidTr="002C176A">
        <w:trPr>
          <w:trHeight w:val="450"/>
        </w:trPr>
        <w:tc>
          <w:tcPr>
            <w:tcW w:w="2977" w:type="dxa"/>
            <w:vMerge/>
            <w:hideMark/>
          </w:tcPr>
          <w:p w14:paraId="3664B685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2693" w:type="dxa"/>
            <w:vMerge/>
            <w:hideMark/>
          </w:tcPr>
          <w:p w14:paraId="50BADB5D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14:paraId="2B7E70D4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14:paraId="2CBB3A07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</w:p>
        </w:tc>
        <w:tc>
          <w:tcPr>
            <w:tcW w:w="1134" w:type="dxa"/>
            <w:vMerge/>
            <w:hideMark/>
          </w:tcPr>
          <w:p w14:paraId="25ADDD2F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1417" w:type="dxa"/>
            <w:vMerge/>
            <w:hideMark/>
          </w:tcPr>
          <w:p w14:paraId="1A0B2839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</w:p>
        </w:tc>
        <w:tc>
          <w:tcPr>
            <w:tcW w:w="1276" w:type="dxa"/>
            <w:vMerge/>
            <w:hideMark/>
          </w:tcPr>
          <w:p w14:paraId="3912C582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</w:p>
        </w:tc>
      </w:tr>
      <w:tr w:rsidR="00F25552" w:rsidRPr="00F25552" w14:paraId="3A67E94A" w14:textId="77777777" w:rsidTr="002C176A">
        <w:trPr>
          <w:trHeight w:val="420"/>
        </w:trPr>
        <w:tc>
          <w:tcPr>
            <w:tcW w:w="2977" w:type="dxa"/>
            <w:hideMark/>
          </w:tcPr>
          <w:p w14:paraId="697A21C2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693" w:type="dxa"/>
            <w:hideMark/>
          </w:tcPr>
          <w:p w14:paraId="0D6E00B2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8" w:type="dxa"/>
            <w:hideMark/>
          </w:tcPr>
          <w:p w14:paraId="501D71BF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1134" w:type="dxa"/>
            <w:hideMark/>
          </w:tcPr>
          <w:p w14:paraId="14A1985D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1559" w:type="dxa"/>
            <w:hideMark/>
          </w:tcPr>
          <w:p w14:paraId="165ED173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1276" w:type="dxa"/>
            <w:hideMark/>
          </w:tcPr>
          <w:p w14:paraId="4E95DBF4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1134" w:type="dxa"/>
            <w:hideMark/>
          </w:tcPr>
          <w:p w14:paraId="6623FBCD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p</w:t>
            </w:r>
          </w:p>
        </w:tc>
        <w:tc>
          <w:tcPr>
            <w:tcW w:w="1417" w:type="dxa"/>
            <w:hideMark/>
          </w:tcPr>
          <w:p w14:paraId="0D7FD15A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Diff (fup-base)</w:t>
            </w:r>
          </w:p>
        </w:tc>
        <w:tc>
          <w:tcPr>
            <w:tcW w:w="1276" w:type="dxa"/>
            <w:hideMark/>
          </w:tcPr>
          <w:p w14:paraId="7B8F100E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ICER</w:t>
            </w:r>
          </w:p>
        </w:tc>
      </w:tr>
      <w:tr w:rsidR="00F25552" w:rsidRPr="00F25552" w14:paraId="017F04AB" w14:textId="77777777" w:rsidTr="002C176A">
        <w:trPr>
          <w:trHeight w:val="420"/>
        </w:trPr>
        <w:tc>
          <w:tcPr>
            <w:tcW w:w="2977" w:type="dxa"/>
            <w:hideMark/>
          </w:tcPr>
          <w:p w14:paraId="3F6D8DA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Primary</w:t>
            </w:r>
          </w:p>
        </w:tc>
        <w:tc>
          <w:tcPr>
            <w:tcW w:w="2693" w:type="dxa"/>
            <w:hideMark/>
          </w:tcPr>
          <w:p w14:paraId="68DF39D8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418" w:type="dxa"/>
            <w:hideMark/>
          </w:tcPr>
          <w:p w14:paraId="56BB03E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5F92DA5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2613.91</w:t>
            </w:r>
          </w:p>
        </w:tc>
        <w:tc>
          <w:tcPr>
            <w:tcW w:w="1559" w:type="dxa"/>
            <w:hideMark/>
          </w:tcPr>
          <w:p w14:paraId="1FCE1DE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5283.82</w:t>
            </w:r>
          </w:p>
        </w:tc>
        <w:tc>
          <w:tcPr>
            <w:tcW w:w="1276" w:type="dxa"/>
            <w:hideMark/>
          </w:tcPr>
          <w:p w14:paraId="415D336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1478.33</w:t>
            </w:r>
          </w:p>
        </w:tc>
        <w:tc>
          <w:tcPr>
            <w:tcW w:w="1134" w:type="dxa"/>
            <w:hideMark/>
          </w:tcPr>
          <w:p w14:paraId="2F88E6A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0.9562</w:t>
            </w:r>
          </w:p>
        </w:tc>
        <w:tc>
          <w:tcPr>
            <w:tcW w:w="1417" w:type="dxa"/>
            <w:hideMark/>
          </w:tcPr>
          <w:p w14:paraId="320498E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-19.75</w:t>
            </w:r>
          </w:p>
        </w:tc>
        <w:tc>
          <w:tcPr>
            <w:tcW w:w="1276" w:type="dxa"/>
            <w:hideMark/>
          </w:tcPr>
          <w:p w14:paraId="756A139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-94.047619</w:t>
            </w:r>
          </w:p>
        </w:tc>
      </w:tr>
      <w:tr w:rsidR="00F25552" w:rsidRPr="00F25552" w14:paraId="54615216" w14:textId="77777777" w:rsidTr="002C176A">
        <w:trPr>
          <w:trHeight w:val="420"/>
        </w:trPr>
        <w:tc>
          <w:tcPr>
            <w:tcW w:w="2977" w:type="dxa"/>
            <w:hideMark/>
          </w:tcPr>
          <w:p w14:paraId="00E2C2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693" w:type="dxa"/>
            <w:hideMark/>
          </w:tcPr>
          <w:p w14:paraId="1641139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QALY (utility)</w:t>
            </w:r>
          </w:p>
        </w:tc>
        <w:tc>
          <w:tcPr>
            <w:tcW w:w="1418" w:type="dxa"/>
            <w:hideMark/>
          </w:tcPr>
          <w:p w14:paraId="59987C5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0.54</w:t>
            </w:r>
          </w:p>
        </w:tc>
        <w:tc>
          <w:tcPr>
            <w:tcW w:w="1134" w:type="dxa"/>
            <w:hideMark/>
          </w:tcPr>
          <w:p w14:paraId="49E8402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0.28</w:t>
            </w:r>
          </w:p>
        </w:tc>
        <w:tc>
          <w:tcPr>
            <w:tcW w:w="1559" w:type="dxa"/>
            <w:hideMark/>
          </w:tcPr>
          <w:p w14:paraId="6DF144F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0.76</w:t>
            </w:r>
          </w:p>
        </w:tc>
        <w:tc>
          <w:tcPr>
            <w:tcW w:w="1276" w:type="dxa"/>
            <w:hideMark/>
          </w:tcPr>
          <w:p w14:paraId="5BF0D30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0.11</w:t>
            </w:r>
          </w:p>
        </w:tc>
        <w:tc>
          <w:tcPr>
            <w:tcW w:w="1134" w:type="dxa"/>
            <w:noWrap/>
            <w:hideMark/>
          </w:tcPr>
          <w:p w14:paraId="40DBF4F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417" w:type="dxa"/>
            <w:hideMark/>
          </w:tcPr>
          <w:p w14:paraId="5152015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0.21</w:t>
            </w:r>
          </w:p>
        </w:tc>
        <w:tc>
          <w:tcPr>
            <w:tcW w:w="1276" w:type="dxa"/>
            <w:hideMark/>
          </w:tcPr>
          <w:p w14:paraId="5209933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</w:tr>
      <w:tr w:rsidR="00F25552" w:rsidRPr="00F25552" w14:paraId="03F31462" w14:textId="77777777" w:rsidTr="002C176A">
        <w:trPr>
          <w:trHeight w:val="420"/>
        </w:trPr>
        <w:tc>
          <w:tcPr>
            <w:tcW w:w="2977" w:type="dxa"/>
            <w:hideMark/>
          </w:tcPr>
          <w:p w14:paraId="3496FD2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no intervention </w:t>
            </w:r>
          </w:p>
        </w:tc>
        <w:tc>
          <w:tcPr>
            <w:tcW w:w="2693" w:type="dxa"/>
            <w:hideMark/>
          </w:tcPr>
          <w:p w14:paraId="1F7B3908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418" w:type="dxa"/>
            <w:hideMark/>
          </w:tcPr>
          <w:p w14:paraId="5547BCA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3C1D16D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2608.27</w:t>
            </w:r>
          </w:p>
        </w:tc>
        <w:tc>
          <w:tcPr>
            <w:tcW w:w="1559" w:type="dxa"/>
            <w:hideMark/>
          </w:tcPr>
          <w:p w14:paraId="43028E4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3245.79</w:t>
            </w:r>
          </w:p>
        </w:tc>
        <w:tc>
          <w:tcPr>
            <w:tcW w:w="1276" w:type="dxa"/>
            <w:hideMark/>
          </w:tcPr>
          <w:p w14:paraId="5418EE8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1477.09</w:t>
            </w:r>
          </w:p>
        </w:tc>
        <w:tc>
          <w:tcPr>
            <w:tcW w:w="1134" w:type="dxa"/>
            <w:noWrap/>
            <w:hideMark/>
          </w:tcPr>
          <w:p w14:paraId="5B841F8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417" w:type="dxa"/>
            <w:noWrap/>
            <w:hideMark/>
          </w:tcPr>
          <w:p w14:paraId="76BAD13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-2057.8</w:t>
            </w:r>
          </w:p>
        </w:tc>
        <w:tc>
          <w:tcPr>
            <w:tcW w:w="1276" w:type="dxa"/>
            <w:hideMark/>
          </w:tcPr>
          <w:p w14:paraId="77F8196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-9799.04762</w:t>
            </w:r>
          </w:p>
        </w:tc>
      </w:tr>
      <w:tr w:rsidR="00F25552" w:rsidRPr="00F25552" w14:paraId="4649567B" w14:textId="77777777" w:rsidTr="002C176A">
        <w:trPr>
          <w:trHeight w:val="420"/>
        </w:trPr>
        <w:tc>
          <w:tcPr>
            <w:tcW w:w="2977" w:type="dxa"/>
            <w:hideMark/>
          </w:tcPr>
          <w:p w14:paraId="1F619B3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intervention costs increased by10%</w:t>
            </w:r>
          </w:p>
        </w:tc>
        <w:tc>
          <w:tcPr>
            <w:tcW w:w="2693" w:type="dxa"/>
            <w:hideMark/>
          </w:tcPr>
          <w:p w14:paraId="7E8D505E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418" w:type="dxa"/>
            <w:hideMark/>
          </w:tcPr>
          <w:p w14:paraId="0E5124D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59FF9F0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2608.27</w:t>
            </w:r>
          </w:p>
        </w:tc>
        <w:tc>
          <w:tcPr>
            <w:tcW w:w="1559" w:type="dxa"/>
            <w:hideMark/>
          </w:tcPr>
          <w:p w14:paraId="3E84B59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4812.16</w:t>
            </w:r>
          </w:p>
        </w:tc>
        <w:tc>
          <w:tcPr>
            <w:tcW w:w="1276" w:type="dxa"/>
            <w:hideMark/>
          </w:tcPr>
          <w:p w14:paraId="0437713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5774.59</w:t>
            </w:r>
          </w:p>
        </w:tc>
        <w:tc>
          <w:tcPr>
            <w:tcW w:w="1134" w:type="dxa"/>
            <w:noWrap/>
            <w:hideMark/>
          </w:tcPr>
          <w:p w14:paraId="5DFE50F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0762B9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-491.41</w:t>
            </w:r>
          </w:p>
        </w:tc>
        <w:tc>
          <w:tcPr>
            <w:tcW w:w="1276" w:type="dxa"/>
            <w:hideMark/>
          </w:tcPr>
          <w:p w14:paraId="507226D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-2340.04762</w:t>
            </w:r>
          </w:p>
        </w:tc>
      </w:tr>
      <w:tr w:rsidR="00F25552" w:rsidRPr="00F25552" w14:paraId="0077178D" w14:textId="77777777" w:rsidTr="002C176A">
        <w:trPr>
          <w:trHeight w:val="420"/>
        </w:trPr>
        <w:tc>
          <w:tcPr>
            <w:tcW w:w="2977" w:type="dxa"/>
            <w:hideMark/>
          </w:tcPr>
          <w:p w14:paraId="0687977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intervention costs increased by20%</w:t>
            </w:r>
          </w:p>
        </w:tc>
        <w:tc>
          <w:tcPr>
            <w:tcW w:w="2693" w:type="dxa"/>
            <w:hideMark/>
          </w:tcPr>
          <w:p w14:paraId="1ACA3720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418" w:type="dxa"/>
            <w:hideMark/>
          </w:tcPr>
          <w:p w14:paraId="5AB1956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69BC5A0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2608.27</w:t>
            </w:r>
          </w:p>
        </w:tc>
        <w:tc>
          <w:tcPr>
            <w:tcW w:w="1559" w:type="dxa"/>
            <w:hideMark/>
          </w:tcPr>
          <w:p w14:paraId="79D72D7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5015.82</w:t>
            </w:r>
          </w:p>
        </w:tc>
        <w:tc>
          <w:tcPr>
            <w:tcW w:w="1276" w:type="dxa"/>
            <w:hideMark/>
          </w:tcPr>
          <w:p w14:paraId="4EF8F7E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6018.98</w:t>
            </w:r>
          </w:p>
        </w:tc>
        <w:tc>
          <w:tcPr>
            <w:tcW w:w="1134" w:type="dxa"/>
            <w:noWrap/>
            <w:hideMark/>
          </w:tcPr>
          <w:p w14:paraId="404BAE3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268390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-287.75</w:t>
            </w:r>
          </w:p>
        </w:tc>
        <w:tc>
          <w:tcPr>
            <w:tcW w:w="1276" w:type="dxa"/>
            <w:hideMark/>
          </w:tcPr>
          <w:p w14:paraId="63604D0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-1370.2381</w:t>
            </w:r>
          </w:p>
        </w:tc>
      </w:tr>
      <w:tr w:rsidR="00F25552" w:rsidRPr="00F25552" w14:paraId="2F68F57C" w14:textId="77777777" w:rsidTr="002C176A">
        <w:trPr>
          <w:trHeight w:val="420"/>
        </w:trPr>
        <w:tc>
          <w:tcPr>
            <w:tcW w:w="2977" w:type="dxa"/>
            <w:hideMark/>
          </w:tcPr>
          <w:p w14:paraId="73CF3D2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intervention costs increased by30%</w:t>
            </w:r>
          </w:p>
        </w:tc>
        <w:tc>
          <w:tcPr>
            <w:tcW w:w="2693" w:type="dxa"/>
            <w:hideMark/>
          </w:tcPr>
          <w:p w14:paraId="706B206B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</w:t>
            </w:r>
          </w:p>
        </w:tc>
        <w:tc>
          <w:tcPr>
            <w:tcW w:w="1418" w:type="dxa"/>
            <w:hideMark/>
          </w:tcPr>
          <w:p w14:paraId="58C7A74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7E6912C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2608.27</w:t>
            </w:r>
          </w:p>
        </w:tc>
        <w:tc>
          <w:tcPr>
            <w:tcW w:w="1559" w:type="dxa"/>
            <w:hideMark/>
          </w:tcPr>
          <w:p w14:paraId="2001464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5219.48</w:t>
            </w:r>
          </w:p>
        </w:tc>
        <w:tc>
          <w:tcPr>
            <w:tcW w:w="1276" w:type="dxa"/>
            <w:hideMark/>
          </w:tcPr>
          <w:p w14:paraId="6BF2462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6263.38</w:t>
            </w:r>
          </w:p>
        </w:tc>
        <w:tc>
          <w:tcPr>
            <w:tcW w:w="1134" w:type="dxa"/>
            <w:noWrap/>
            <w:hideMark/>
          </w:tcPr>
          <w:p w14:paraId="4879DB4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5DED52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-84.09</w:t>
            </w:r>
          </w:p>
        </w:tc>
        <w:tc>
          <w:tcPr>
            <w:tcW w:w="1276" w:type="dxa"/>
            <w:hideMark/>
          </w:tcPr>
          <w:p w14:paraId="50A39A7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-400.428571</w:t>
            </w:r>
          </w:p>
        </w:tc>
      </w:tr>
      <w:tr w:rsidR="00F25552" w:rsidRPr="00F25552" w14:paraId="6A384127" w14:textId="77777777" w:rsidTr="002C176A">
        <w:trPr>
          <w:trHeight w:val="420"/>
        </w:trPr>
        <w:tc>
          <w:tcPr>
            <w:tcW w:w="2977" w:type="dxa"/>
            <w:hideMark/>
          </w:tcPr>
          <w:p w14:paraId="689E695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mean hospitalisation cost@fup=upper limit 95%CI</w:t>
            </w:r>
          </w:p>
        </w:tc>
        <w:tc>
          <w:tcPr>
            <w:tcW w:w="2693" w:type="dxa"/>
            <w:hideMark/>
          </w:tcPr>
          <w:p w14:paraId="203D1464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(hospitalisation, A&amp;E) plus intervention</w:t>
            </w:r>
          </w:p>
        </w:tc>
        <w:tc>
          <w:tcPr>
            <w:tcW w:w="1418" w:type="dxa"/>
            <w:hideMark/>
          </w:tcPr>
          <w:p w14:paraId="6244009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5303.57</w:t>
            </w:r>
          </w:p>
        </w:tc>
        <w:tc>
          <w:tcPr>
            <w:tcW w:w="1134" w:type="dxa"/>
            <w:hideMark/>
          </w:tcPr>
          <w:p w14:paraId="65D8816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7955.35</w:t>
            </w:r>
          </w:p>
        </w:tc>
        <w:tc>
          <w:tcPr>
            <w:tcW w:w="1559" w:type="dxa"/>
            <w:hideMark/>
          </w:tcPr>
          <w:p w14:paraId="3DE8CAE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4865.89</w:t>
            </w:r>
          </w:p>
        </w:tc>
        <w:tc>
          <w:tcPr>
            <w:tcW w:w="1276" w:type="dxa"/>
            <w:hideMark/>
          </w:tcPr>
          <w:p w14:paraId="26BD814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7298.83</w:t>
            </w:r>
          </w:p>
        </w:tc>
        <w:tc>
          <w:tcPr>
            <w:tcW w:w="1134" w:type="dxa"/>
            <w:noWrap/>
            <w:hideMark/>
          </w:tcPr>
          <w:p w14:paraId="4F1617F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0.735</w:t>
            </w:r>
          </w:p>
        </w:tc>
        <w:tc>
          <w:tcPr>
            <w:tcW w:w="1417" w:type="dxa"/>
            <w:noWrap/>
            <w:hideMark/>
          </w:tcPr>
          <w:p w14:paraId="1DA2A3B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-437.68</w:t>
            </w:r>
          </w:p>
        </w:tc>
        <w:tc>
          <w:tcPr>
            <w:tcW w:w="1276" w:type="dxa"/>
            <w:hideMark/>
          </w:tcPr>
          <w:p w14:paraId="036F91C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-2084.19048</w:t>
            </w:r>
          </w:p>
        </w:tc>
      </w:tr>
      <w:tr w:rsidR="00F25552" w:rsidRPr="00F25552" w14:paraId="245BDDF8" w14:textId="77777777" w:rsidTr="002C176A">
        <w:trPr>
          <w:trHeight w:val="420"/>
        </w:trPr>
        <w:tc>
          <w:tcPr>
            <w:tcW w:w="2977" w:type="dxa"/>
            <w:hideMark/>
          </w:tcPr>
          <w:p w14:paraId="0B28686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 analysis: mean QALY@fup=lower limit 95%CI</w:t>
            </w:r>
          </w:p>
        </w:tc>
        <w:tc>
          <w:tcPr>
            <w:tcW w:w="2693" w:type="dxa"/>
            <w:hideMark/>
          </w:tcPr>
          <w:p w14:paraId="283A458F" w14:textId="77777777" w:rsidR="00F25552" w:rsidRPr="00F25552" w:rsidRDefault="00F25552" w:rsidP="00F25552">
            <w:pPr>
              <w:jc w:val="both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QALY (utility)</w:t>
            </w:r>
          </w:p>
        </w:tc>
        <w:tc>
          <w:tcPr>
            <w:tcW w:w="1418" w:type="dxa"/>
            <w:hideMark/>
          </w:tcPr>
          <w:p w14:paraId="5E8B486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0.54</w:t>
            </w:r>
          </w:p>
        </w:tc>
        <w:tc>
          <w:tcPr>
            <w:tcW w:w="1134" w:type="dxa"/>
            <w:hideMark/>
          </w:tcPr>
          <w:p w14:paraId="20648B6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0.28</w:t>
            </w:r>
          </w:p>
        </w:tc>
        <w:tc>
          <w:tcPr>
            <w:tcW w:w="1559" w:type="dxa"/>
            <w:hideMark/>
          </w:tcPr>
          <w:p w14:paraId="4C43CF6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0.61</w:t>
            </w:r>
          </w:p>
        </w:tc>
        <w:tc>
          <w:tcPr>
            <w:tcW w:w="1276" w:type="dxa"/>
            <w:hideMark/>
          </w:tcPr>
          <w:p w14:paraId="60792B2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0.22</w:t>
            </w:r>
          </w:p>
        </w:tc>
        <w:tc>
          <w:tcPr>
            <w:tcW w:w="1134" w:type="dxa"/>
            <w:noWrap/>
            <w:hideMark/>
          </w:tcPr>
          <w:p w14:paraId="2378D3C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0.1023</w:t>
            </w:r>
          </w:p>
        </w:tc>
        <w:tc>
          <w:tcPr>
            <w:tcW w:w="1417" w:type="dxa"/>
            <w:noWrap/>
            <w:hideMark/>
          </w:tcPr>
          <w:p w14:paraId="6D62438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0.07257</w:t>
            </w:r>
          </w:p>
        </w:tc>
        <w:tc>
          <w:tcPr>
            <w:tcW w:w="1276" w:type="dxa"/>
            <w:hideMark/>
          </w:tcPr>
          <w:p w14:paraId="6DC4722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-272.151027</w:t>
            </w:r>
          </w:p>
        </w:tc>
      </w:tr>
    </w:tbl>
    <w:p w14:paraId="735F358D" w14:textId="77777777" w:rsidR="00F25552" w:rsidRPr="00F25552" w:rsidRDefault="00F25552" w:rsidP="00F25552">
      <w:pPr>
        <w:rPr>
          <w:rFonts w:eastAsiaTheme="minorEastAsia"/>
          <w:b/>
          <w:lang w:val="en-US"/>
        </w:rPr>
        <w:sectPr w:rsidR="00F25552" w:rsidRPr="00F25552" w:rsidSect="002C176A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D3BA48A" w14:textId="55B4C32E" w:rsidR="00F25552" w:rsidRPr="00F25552" w:rsidRDefault="00F25552" w:rsidP="000603A9">
      <w:pPr>
        <w:rPr>
          <w:rFonts w:eastAsiaTheme="majorEastAsia"/>
          <w:lang w:val="en-US"/>
        </w:rPr>
      </w:pPr>
    </w:p>
    <w:sectPr w:rsidR="00F25552" w:rsidRPr="00F25552" w:rsidSect="001A2D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1F29" w14:textId="77777777" w:rsidR="00D00FFC" w:rsidRDefault="00D00FFC">
      <w:r>
        <w:separator/>
      </w:r>
    </w:p>
  </w:endnote>
  <w:endnote w:type="continuationSeparator" w:id="0">
    <w:p w14:paraId="069B24CD" w14:textId="77777777" w:rsidR="00D00FFC" w:rsidRDefault="00D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335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E5E15" w14:textId="77777777" w:rsidR="00ED1EBA" w:rsidRDefault="00ED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14:paraId="5F4C0F23" w14:textId="77777777" w:rsidR="00ED1EBA" w:rsidRDefault="00ED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715E" w14:textId="77777777" w:rsidR="00D00FFC" w:rsidRDefault="00D00FFC">
      <w:r>
        <w:separator/>
      </w:r>
    </w:p>
  </w:footnote>
  <w:footnote w:type="continuationSeparator" w:id="0">
    <w:p w14:paraId="109D17FE" w14:textId="77777777" w:rsidR="00D00FFC" w:rsidRDefault="00D0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6B902" w14:textId="77777777" w:rsidR="00ED1EBA" w:rsidRDefault="00ED1EBA" w:rsidP="002C17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603A9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A2D55"/>
    <w:rsid w:val="001C1885"/>
    <w:rsid w:val="001C6F9C"/>
    <w:rsid w:val="001D011C"/>
    <w:rsid w:val="001D2E73"/>
    <w:rsid w:val="001D3B7A"/>
    <w:rsid w:val="001F4551"/>
    <w:rsid w:val="00202A2E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2F19CF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0577"/>
    <w:rsid w:val="00392012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51049"/>
    <w:rsid w:val="00653F03"/>
    <w:rsid w:val="006636BB"/>
    <w:rsid w:val="006669A7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3534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2156"/>
    <w:rsid w:val="00905F60"/>
    <w:rsid w:val="00910957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604F"/>
    <w:rsid w:val="009D286A"/>
    <w:rsid w:val="009E4D73"/>
    <w:rsid w:val="009F336C"/>
    <w:rsid w:val="009F4890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38B2"/>
    <w:rsid w:val="00CE0392"/>
    <w:rsid w:val="00CF07C3"/>
    <w:rsid w:val="00D00FFC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60CAC"/>
    <w:rsid w:val="00D7537E"/>
    <w:rsid w:val="00D81CD3"/>
    <w:rsid w:val="00D846BA"/>
    <w:rsid w:val="00D84F23"/>
    <w:rsid w:val="00D940EC"/>
    <w:rsid w:val="00DA1F84"/>
    <w:rsid w:val="00DC1FC9"/>
    <w:rsid w:val="00DD3175"/>
    <w:rsid w:val="00DD3509"/>
    <w:rsid w:val="00DE2821"/>
    <w:rsid w:val="00DE58EB"/>
    <w:rsid w:val="00DE6C40"/>
    <w:rsid w:val="00DE7126"/>
    <w:rsid w:val="00DF5E4C"/>
    <w:rsid w:val="00E041E4"/>
    <w:rsid w:val="00E1564F"/>
    <w:rsid w:val="00E25686"/>
    <w:rsid w:val="00E2707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Ross Stewart</cp:lastModifiedBy>
  <cp:revision>33</cp:revision>
  <cp:lastPrinted>2017-12-04T10:08:00Z</cp:lastPrinted>
  <dcterms:created xsi:type="dcterms:W3CDTF">2020-02-03T18:28:00Z</dcterms:created>
  <dcterms:modified xsi:type="dcterms:W3CDTF">2021-06-15T13:48:00Z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