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1A59" w14:textId="47F41B71" w:rsidR="005B0D14" w:rsidRPr="0082484A" w:rsidRDefault="00561729" w:rsidP="00A02913">
      <w:pPr>
        <w:pStyle w:val="Heading1"/>
        <w:rPr>
          <w:sz w:val="22"/>
          <w:szCs w:val="22"/>
        </w:rPr>
      </w:pPr>
      <w:bookmarkStart w:id="0" w:name="_GoBack"/>
      <w:bookmarkEnd w:id="0"/>
      <w:r w:rsidRPr="0082484A">
        <w:rPr>
          <w:sz w:val="22"/>
          <w:szCs w:val="22"/>
        </w:rPr>
        <w:t xml:space="preserve">ASPIRE </w:t>
      </w:r>
      <w:r w:rsidR="00A86B11" w:rsidRPr="0082484A">
        <w:rPr>
          <w:sz w:val="22"/>
          <w:szCs w:val="22"/>
        </w:rPr>
        <w:t>Supplementa</w:t>
      </w:r>
      <w:r w:rsidR="00CF7CD1" w:rsidRPr="0082484A">
        <w:rPr>
          <w:sz w:val="22"/>
          <w:szCs w:val="22"/>
        </w:rPr>
        <w:t>ry</w:t>
      </w:r>
      <w:r w:rsidR="00A02913" w:rsidRPr="0082484A">
        <w:rPr>
          <w:sz w:val="22"/>
          <w:szCs w:val="22"/>
        </w:rPr>
        <w:t xml:space="preserve"> Document</w:t>
      </w:r>
    </w:p>
    <w:p w14:paraId="1A3BCD98" w14:textId="034AF87E" w:rsidR="00561729" w:rsidRPr="0082484A" w:rsidRDefault="00561729" w:rsidP="002A237B">
      <w:pPr>
        <w:rPr>
          <w:sz w:val="22"/>
          <w:szCs w:val="22"/>
        </w:rPr>
      </w:pPr>
    </w:p>
    <w:p w14:paraId="6E2BBD0E" w14:textId="56C0BBE9" w:rsidR="00561729" w:rsidRPr="0082484A" w:rsidRDefault="00561729" w:rsidP="00A02913">
      <w:pPr>
        <w:pStyle w:val="Heading2"/>
        <w:rPr>
          <w:sz w:val="22"/>
          <w:szCs w:val="22"/>
        </w:rPr>
      </w:pPr>
      <w:r w:rsidRPr="0082484A">
        <w:rPr>
          <w:sz w:val="22"/>
          <w:szCs w:val="22"/>
        </w:rPr>
        <w:t>List of Tables</w:t>
      </w:r>
    </w:p>
    <w:p w14:paraId="48BA4914" w14:textId="7B51F047" w:rsidR="00CC779E" w:rsidRDefault="00CF7CD1">
      <w:pPr>
        <w:pStyle w:val="TableofFigures"/>
        <w:tabs>
          <w:tab w:val="right" w:leader="dot" w:pos="9016"/>
        </w:tabs>
        <w:rPr>
          <w:rFonts w:asciiTheme="minorHAnsi" w:eastAsiaTheme="minorEastAsia" w:hAnsiTheme="minorHAnsi" w:cstheme="minorBidi"/>
          <w:noProof/>
          <w:sz w:val="22"/>
          <w:szCs w:val="22"/>
          <w:lang w:eastAsia="en-GB"/>
        </w:rPr>
      </w:pPr>
      <w:r w:rsidRPr="0082484A">
        <w:rPr>
          <w:color w:val="FF0000"/>
          <w:sz w:val="22"/>
          <w:szCs w:val="22"/>
        </w:rPr>
        <w:fldChar w:fldCharType="begin"/>
      </w:r>
      <w:r w:rsidRPr="0082484A">
        <w:rPr>
          <w:color w:val="FF0000"/>
          <w:sz w:val="22"/>
          <w:szCs w:val="22"/>
        </w:rPr>
        <w:instrText xml:space="preserve"> TOC \h \z \c "Table" </w:instrText>
      </w:r>
      <w:r w:rsidRPr="0082484A">
        <w:rPr>
          <w:color w:val="FF0000"/>
          <w:sz w:val="22"/>
          <w:szCs w:val="22"/>
        </w:rPr>
        <w:fldChar w:fldCharType="separate"/>
      </w:r>
      <w:hyperlink w:anchor="_Toc19526730" w:history="1">
        <w:r w:rsidR="00CC779E" w:rsidRPr="00D50C38">
          <w:rPr>
            <w:rStyle w:val="Hyperlink"/>
            <w:noProof/>
          </w:rPr>
          <w:t>Table 1: Cluster-randomised evaluation: number of practices screened, eligible and randomised (by clinical commissioning group) (WP4a)</w:t>
        </w:r>
        <w:r w:rsidR="00CC779E">
          <w:rPr>
            <w:noProof/>
            <w:webHidden/>
          </w:rPr>
          <w:tab/>
        </w:r>
        <w:r w:rsidR="00CC779E">
          <w:rPr>
            <w:noProof/>
            <w:webHidden/>
          </w:rPr>
          <w:fldChar w:fldCharType="begin"/>
        </w:r>
        <w:r w:rsidR="00CC779E">
          <w:rPr>
            <w:noProof/>
            <w:webHidden/>
          </w:rPr>
          <w:instrText xml:space="preserve"> PAGEREF _Toc19526730 \h </w:instrText>
        </w:r>
        <w:r w:rsidR="00CC779E">
          <w:rPr>
            <w:noProof/>
            <w:webHidden/>
          </w:rPr>
        </w:r>
        <w:r w:rsidR="00CC779E">
          <w:rPr>
            <w:noProof/>
            <w:webHidden/>
          </w:rPr>
          <w:fldChar w:fldCharType="separate"/>
        </w:r>
        <w:r w:rsidR="00CC779E">
          <w:rPr>
            <w:noProof/>
            <w:webHidden/>
          </w:rPr>
          <w:t>8</w:t>
        </w:r>
        <w:r w:rsidR="00CC779E">
          <w:rPr>
            <w:noProof/>
            <w:webHidden/>
          </w:rPr>
          <w:fldChar w:fldCharType="end"/>
        </w:r>
      </w:hyperlink>
    </w:p>
    <w:p w14:paraId="2D926958" w14:textId="07B52FC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1" w:history="1">
        <w:r w:rsidR="00CC779E" w:rsidRPr="00D50C38">
          <w:rPr>
            <w:rStyle w:val="Hyperlink"/>
            <w:noProof/>
          </w:rPr>
          <w:t>Table 2: Cluster-randomised evaluation: reasons for practice ineligibility (by clinical commissioning group) (WP4a)</w:t>
        </w:r>
        <w:r w:rsidR="00CC779E">
          <w:rPr>
            <w:noProof/>
            <w:webHidden/>
          </w:rPr>
          <w:tab/>
        </w:r>
        <w:r w:rsidR="00CC779E">
          <w:rPr>
            <w:noProof/>
            <w:webHidden/>
          </w:rPr>
          <w:fldChar w:fldCharType="begin"/>
        </w:r>
        <w:r w:rsidR="00CC779E">
          <w:rPr>
            <w:noProof/>
            <w:webHidden/>
          </w:rPr>
          <w:instrText xml:space="preserve"> PAGEREF _Toc19526731 \h </w:instrText>
        </w:r>
        <w:r w:rsidR="00CC779E">
          <w:rPr>
            <w:noProof/>
            <w:webHidden/>
          </w:rPr>
        </w:r>
        <w:r w:rsidR="00CC779E">
          <w:rPr>
            <w:noProof/>
            <w:webHidden/>
          </w:rPr>
          <w:fldChar w:fldCharType="separate"/>
        </w:r>
        <w:r w:rsidR="00CC779E">
          <w:rPr>
            <w:noProof/>
            <w:webHidden/>
          </w:rPr>
          <w:t>9</w:t>
        </w:r>
        <w:r w:rsidR="00CC779E">
          <w:rPr>
            <w:noProof/>
            <w:webHidden/>
          </w:rPr>
          <w:fldChar w:fldCharType="end"/>
        </w:r>
      </w:hyperlink>
    </w:p>
    <w:p w14:paraId="64E03014" w14:textId="6371233C"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2" w:history="1">
        <w:r w:rsidR="00CC779E" w:rsidRPr="00D50C38">
          <w:rPr>
            <w:rStyle w:val="Hyperlink"/>
            <w:noProof/>
          </w:rPr>
          <w:t>Table 3: Cluster-randomised evaluation: reasons for exclusion of practices invited to participate but not randomised (by clinical commissioning group) (WP4a)</w:t>
        </w:r>
        <w:r w:rsidR="00CC779E">
          <w:rPr>
            <w:noProof/>
            <w:webHidden/>
          </w:rPr>
          <w:tab/>
        </w:r>
        <w:r w:rsidR="00CC779E">
          <w:rPr>
            <w:noProof/>
            <w:webHidden/>
          </w:rPr>
          <w:fldChar w:fldCharType="begin"/>
        </w:r>
        <w:r w:rsidR="00CC779E">
          <w:rPr>
            <w:noProof/>
            <w:webHidden/>
          </w:rPr>
          <w:instrText xml:space="preserve"> PAGEREF _Toc19526732 \h </w:instrText>
        </w:r>
        <w:r w:rsidR="00CC779E">
          <w:rPr>
            <w:noProof/>
            <w:webHidden/>
          </w:rPr>
        </w:r>
        <w:r w:rsidR="00CC779E">
          <w:rPr>
            <w:noProof/>
            <w:webHidden/>
          </w:rPr>
          <w:fldChar w:fldCharType="separate"/>
        </w:r>
        <w:r w:rsidR="00CC779E">
          <w:rPr>
            <w:noProof/>
            <w:webHidden/>
          </w:rPr>
          <w:t>10</w:t>
        </w:r>
        <w:r w:rsidR="00CC779E">
          <w:rPr>
            <w:noProof/>
            <w:webHidden/>
          </w:rPr>
          <w:fldChar w:fldCharType="end"/>
        </w:r>
      </w:hyperlink>
    </w:p>
    <w:p w14:paraId="07A16AAD" w14:textId="1B82431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3" w:history="1">
        <w:r w:rsidR="00CC779E" w:rsidRPr="00D50C38">
          <w:rPr>
            <w:rStyle w:val="Hyperlink"/>
            <w:noProof/>
          </w:rPr>
          <w:t>Table 4: Cluster-randomised evaluation: reasons provided by practices for opting out (WP4a)</w:t>
        </w:r>
        <w:r w:rsidR="00CC779E">
          <w:rPr>
            <w:noProof/>
            <w:webHidden/>
          </w:rPr>
          <w:tab/>
        </w:r>
        <w:r w:rsidR="00CC779E">
          <w:rPr>
            <w:noProof/>
            <w:webHidden/>
          </w:rPr>
          <w:fldChar w:fldCharType="begin"/>
        </w:r>
        <w:r w:rsidR="00CC779E">
          <w:rPr>
            <w:noProof/>
            <w:webHidden/>
          </w:rPr>
          <w:instrText xml:space="preserve"> PAGEREF _Toc19526733 \h </w:instrText>
        </w:r>
        <w:r w:rsidR="00CC779E">
          <w:rPr>
            <w:noProof/>
            <w:webHidden/>
          </w:rPr>
        </w:r>
        <w:r w:rsidR="00CC779E">
          <w:rPr>
            <w:noProof/>
            <w:webHidden/>
          </w:rPr>
          <w:fldChar w:fldCharType="separate"/>
        </w:r>
        <w:r w:rsidR="00CC779E">
          <w:rPr>
            <w:noProof/>
            <w:webHidden/>
          </w:rPr>
          <w:t>11</w:t>
        </w:r>
        <w:r w:rsidR="00CC779E">
          <w:rPr>
            <w:noProof/>
            <w:webHidden/>
          </w:rPr>
          <w:fldChar w:fldCharType="end"/>
        </w:r>
      </w:hyperlink>
    </w:p>
    <w:p w14:paraId="5686288B" w14:textId="46FBCCC0"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4" w:history="1">
        <w:r w:rsidR="00CC779E" w:rsidRPr="00D50C38">
          <w:rPr>
            <w:rStyle w:val="Hyperlink"/>
            <w:noProof/>
          </w:rPr>
          <w:t>Table 5: Cluster-randomised evaluation: reasons provided by practices for opting out (by clinical commissioning group) (WP4a)</w:t>
        </w:r>
        <w:r w:rsidR="00CC779E">
          <w:rPr>
            <w:noProof/>
            <w:webHidden/>
          </w:rPr>
          <w:tab/>
        </w:r>
        <w:r w:rsidR="00CC779E">
          <w:rPr>
            <w:noProof/>
            <w:webHidden/>
          </w:rPr>
          <w:fldChar w:fldCharType="begin"/>
        </w:r>
        <w:r w:rsidR="00CC779E">
          <w:rPr>
            <w:noProof/>
            <w:webHidden/>
          </w:rPr>
          <w:instrText xml:space="preserve"> PAGEREF _Toc19526734 \h </w:instrText>
        </w:r>
        <w:r w:rsidR="00CC779E">
          <w:rPr>
            <w:noProof/>
            <w:webHidden/>
          </w:rPr>
        </w:r>
        <w:r w:rsidR="00CC779E">
          <w:rPr>
            <w:noProof/>
            <w:webHidden/>
          </w:rPr>
          <w:fldChar w:fldCharType="separate"/>
        </w:r>
        <w:r w:rsidR="00CC779E">
          <w:rPr>
            <w:noProof/>
            <w:webHidden/>
          </w:rPr>
          <w:t>12</w:t>
        </w:r>
        <w:r w:rsidR="00CC779E">
          <w:rPr>
            <w:noProof/>
            <w:webHidden/>
          </w:rPr>
          <w:fldChar w:fldCharType="end"/>
        </w:r>
      </w:hyperlink>
    </w:p>
    <w:p w14:paraId="73CE3116" w14:textId="7FBE97FE"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5" w:history="1">
        <w:r w:rsidR="00CC779E" w:rsidRPr="00D50C38">
          <w:rPr>
            <w:rStyle w:val="Hyperlink"/>
            <w:bCs/>
            <w:noProof/>
          </w:rPr>
          <w:t>Table 6: Recruitment of practices to cluster-randomised evaluation (by clinical commissioning group) (WP4a)</w:t>
        </w:r>
        <w:r w:rsidR="00CC779E">
          <w:rPr>
            <w:noProof/>
            <w:webHidden/>
          </w:rPr>
          <w:tab/>
        </w:r>
        <w:r w:rsidR="00CC779E">
          <w:rPr>
            <w:noProof/>
            <w:webHidden/>
          </w:rPr>
          <w:fldChar w:fldCharType="begin"/>
        </w:r>
        <w:r w:rsidR="00CC779E">
          <w:rPr>
            <w:noProof/>
            <w:webHidden/>
          </w:rPr>
          <w:instrText xml:space="preserve"> PAGEREF _Toc19526735 \h </w:instrText>
        </w:r>
        <w:r w:rsidR="00CC779E">
          <w:rPr>
            <w:noProof/>
            <w:webHidden/>
          </w:rPr>
        </w:r>
        <w:r w:rsidR="00CC779E">
          <w:rPr>
            <w:noProof/>
            <w:webHidden/>
          </w:rPr>
          <w:fldChar w:fldCharType="separate"/>
        </w:r>
        <w:r w:rsidR="00CC779E">
          <w:rPr>
            <w:noProof/>
            <w:webHidden/>
          </w:rPr>
          <w:t>13</w:t>
        </w:r>
        <w:r w:rsidR="00CC779E">
          <w:rPr>
            <w:noProof/>
            <w:webHidden/>
          </w:rPr>
          <w:fldChar w:fldCharType="end"/>
        </w:r>
      </w:hyperlink>
    </w:p>
    <w:p w14:paraId="483E1BF7" w14:textId="2AC9E211"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6" w:history="1">
        <w:r w:rsidR="00CC779E" w:rsidRPr="00D50C38">
          <w:rPr>
            <w:rStyle w:val="Hyperlink"/>
            <w:bCs/>
            <w:noProof/>
          </w:rPr>
          <w:t>Table 7: Cluster-randomised evaluation: distribution of practices to trial arms (by clinical commissioning group) (WP4a)</w:t>
        </w:r>
        <w:r w:rsidR="00CC779E">
          <w:rPr>
            <w:noProof/>
            <w:webHidden/>
          </w:rPr>
          <w:tab/>
        </w:r>
        <w:r w:rsidR="00CC779E">
          <w:rPr>
            <w:noProof/>
            <w:webHidden/>
          </w:rPr>
          <w:fldChar w:fldCharType="begin"/>
        </w:r>
        <w:r w:rsidR="00CC779E">
          <w:rPr>
            <w:noProof/>
            <w:webHidden/>
          </w:rPr>
          <w:instrText xml:space="preserve"> PAGEREF _Toc19526736 \h </w:instrText>
        </w:r>
        <w:r w:rsidR="00CC779E">
          <w:rPr>
            <w:noProof/>
            <w:webHidden/>
          </w:rPr>
        </w:r>
        <w:r w:rsidR="00CC779E">
          <w:rPr>
            <w:noProof/>
            <w:webHidden/>
          </w:rPr>
          <w:fldChar w:fldCharType="separate"/>
        </w:r>
        <w:r w:rsidR="00CC779E">
          <w:rPr>
            <w:noProof/>
            <w:webHidden/>
          </w:rPr>
          <w:t>14</w:t>
        </w:r>
        <w:r w:rsidR="00CC779E">
          <w:rPr>
            <w:noProof/>
            <w:webHidden/>
          </w:rPr>
          <w:fldChar w:fldCharType="end"/>
        </w:r>
      </w:hyperlink>
    </w:p>
    <w:p w14:paraId="11C3C00E" w14:textId="516AFC14"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7" w:history="1">
        <w:r w:rsidR="00CC779E" w:rsidRPr="00D50C38">
          <w:rPr>
            <w:rStyle w:val="Hyperlink"/>
            <w:bCs/>
            <w:noProof/>
          </w:rPr>
          <w:t>Table 8: Cluster-randomised evaluation: general practice characteristics at baseline by trial (WP4a)</w:t>
        </w:r>
        <w:r w:rsidR="00CC779E">
          <w:rPr>
            <w:noProof/>
            <w:webHidden/>
          </w:rPr>
          <w:tab/>
        </w:r>
        <w:r w:rsidR="00CC779E">
          <w:rPr>
            <w:noProof/>
            <w:webHidden/>
          </w:rPr>
          <w:fldChar w:fldCharType="begin"/>
        </w:r>
        <w:r w:rsidR="00CC779E">
          <w:rPr>
            <w:noProof/>
            <w:webHidden/>
          </w:rPr>
          <w:instrText xml:space="preserve"> PAGEREF _Toc19526737 \h </w:instrText>
        </w:r>
        <w:r w:rsidR="00CC779E">
          <w:rPr>
            <w:noProof/>
            <w:webHidden/>
          </w:rPr>
        </w:r>
        <w:r w:rsidR="00CC779E">
          <w:rPr>
            <w:noProof/>
            <w:webHidden/>
          </w:rPr>
          <w:fldChar w:fldCharType="separate"/>
        </w:r>
        <w:r w:rsidR="00CC779E">
          <w:rPr>
            <w:noProof/>
            <w:webHidden/>
          </w:rPr>
          <w:t>15</w:t>
        </w:r>
        <w:r w:rsidR="00CC779E">
          <w:rPr>
            <w:noProof/>
            <w:webHidden/>
          </w:rPr>
          <w:fldChar w:fldCharType="end"/>
        </w:r>
      </w:hyperlink>
    </w:p>
    <w:p w14:paraId="1DAB8D17" w14:textId="4D52EBD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8" w:history="1">
        <w:r w:rsidR="00CC779E" w:rsidRPr="00D50C38">
          <w:rPr>
            <w:rStyle w:val="Hyperlink"/>
            <w:noProof/>
          </w:rPr>
          <w:t>Table 9: Cluster-randomised evaluation: patient characteristics at baseline by trial arm (population relevant to the diabetes control primary outcome) (WP4a)</w:t>
        </w:r>
        <w:r w:rsidR="00CC779E">
          <w:rPr>
            <w:noProof/>
            <w:webHidden/>
          </w:rPr>
          <w:tab/>
        </w:r>
        <w:r w:rsidR="00CC779E">
          <w:rPr>
            <w:noProof/>
            <w:webHidden/>
          </w:rPr>
          <w:fldChar w:fldCharType="begin"/>
        </w:r>
        <w:r w:rsidR="00CC779E">
          <w:rPr>
            <w:noProof/>
            <w:webHidden/>
          </w:rPr>
          <w:instrText xml:space="preserve"> PAGEREF _Toc19526738 \h </w:instrText>
        </w:r>
        <w:r w:rsidR="00CC779E">
          <w:rPr>
            <w:noProof/>
            <w:webHidden/>
          </w:rPr>
        </w:r>
        <w:r w:rsidR="00CC779E">
          <w:rPr>
            <w:noProof/>
            <w:webHidden/>
          </w:rPr>
          <w:fldChar w:fldCharType="separate"/>
        </w:r>
        <w:r w:rsidR="00CC779E">
          <w:rPr>
            <w:noProof/>
            <w:webHidden/>
          </w:rPr>
          <w:t>16</w:t>
        </w:r>
        <w:r w:rsidR="00CC779E">
          <w:rPr>
            <w:noProof/>
            <w:webHidden/>
          </w:rPr>
          <w:fldChar w:fldCharType="end"/>
        </w:r>
      </w:hyperlink>
    </w:p>
    <w:p w14:paraId="59506114" w14:textId="135BD76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39" w:history="1">
        <w:r w:rsidR="00CC779E" w:rsidRPr="00D50C38">
          <w:rPr>
            <w:rStyle w:val="Hyperlink"/>
            <w:noProof/>
          </w:rPr>
          <w:t>Table 10: Cluster-randomised evaluation: patient characteristics at baseline by trial arm (population relevant to the risky prescribing primary outcome) (WP4a)</w:t>
        </w:r>
        <w:r w:rsidR="00CC779E">
          <w:rPr>
            <w:noProof/>
            <w:webHidden/>
          </w:rPr>
          <w:tab/>
        </w:r>
        <w:r w:rsidR="00CC779E">
          <w:rPr>
            <w:noProof/>
            <w:webHidden/>
          </w:rPr>
          <w:fldChar w:fldCharType="begin"/>
        </w:r>
        <w:r w:rsidR="00CC779E">
          <w:rPr>
            <w:noProof/>
            <w:webHidden/>
          </w:rPr>
          <w:instrText xml:space="preserve"> PAGEREF _Toc19526739 \h </w:instrText>
        </w:r>
        <w:r w:rsidR="00CC779E">
          <w:rPr>
            <w:noProof/>
            <w:webHidden/>
          </w:rPr>
        </w:r>
        <w:r w:rsidR="00CC779E">
          <w:rPr>
            <w:noProof/>
            <w:webHidden/>
          </w:rPr>
          <w:fldChar w:fldCharType="separate"/>
        </w:r>
        <w:r w:rsidR="00CC779E">
          <w:rPr>
            <w:noProof/>
            <w:webHidden/>
          </w:rPr>
          <w:t>17</w:t>
        </w:r>
        <w:r w:rsidR="00CC779E">
          <w:rPr>
            <w:noProof/>
            <w:webHidden/>
          </w:rPr>
          <w:fldChar w:fldCharType="end"/>
        </w:r>
      </w:hyperlink>
    </w:p>
    <w:p w14:paraId="7BA91F2B" w14:textId="2A9E3BB4"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0" w:history="1">
        <w:r w:rsidR="00CC779E" w:rsidRPr="00D50C38">
          <w:rPr>
            <w:rStyle w:val="Hyperlink"/>
            <w:noProof/>
          </w:rPr>
          <w:t>Table 11: Cluster-randomised evaluation: patient characteristics at baseline by trial arm (population relevant to the blood pressure control primary outcome) (WP4a)</w:t>
        </w:r>
        <w:r w:rsidR="00CC779E">
          <w:rPr>
            <w:noProof/>
            <w:webHidden/>
          </w:rPr>
          <w:tab/>
        </w:r>
        <w:r w:rsidR="00CC779E">
          <w:rPr>
            <w:noProof/>
            <w:webHidden/>
          </w:rPr>
          <w:fldChar w:fldCharType="begin"/>
        </w:r>
        <w:r w:rsidR="00CC779E">
          <w:rPr>
            <w:noProof/>
            <w:webHidden/>
          </w:rPr>
          <w:instrText xml:space="preserve"> PAGEREF _Toc19526740 \h </w:instrText>
        </w:r>
        <w:r w:rsidR="00CC779E">
          <w:rPr>
            <w:noProof/>
            <w:webHidden/>
          </w:rPr>
        </w:r>
        <w:r w:rsidR="00CC779E">
          <w:rPr>
            <w:noProof/>
            <w:webHidden/>
          </w:rPr>
          <w:fldChar w:fldCharType="separate"/>
        </w:r>
        <w:r w:rsidR="00CC779E">
          <w:rPr>
            <w:noProof/>
            <w:webHidden/>
          </w:rPr>
          <w:t>18</w:t>
        </w:r>
        <w:r w:rsidR="00CC779E">
          <w:rPr>
            <w:noProof/>
            <w:webHidden/>
          </w:rPr>
          <w:fldChar w:fldCharType="end"/>
        </w:r>
      </w:hyperlink>
    </w:p>
    <w:p w14:paraId="221DABD6" w14:textId="64B9968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1" w:history="1">
        <w:r w:rsidR="00CC779E" w:rsidRPr="00D50C38">
          <w:rPr>
            <w:rStyle w:val="Hyperlink"/>
            <w:noProof/>
          </w:rPr>
          <w:t>Table 12: Cluster-randomised evaluation: patient characteristics at baseline by trial arm (population relevant to the anticoagulation in atrial fibrillation primary outcome) (WP4a)</w:t>
        </w:r>
        <w:r w:rsidR="00CC779E">
          <w:rPr>
            <w:noProof/>
            <w:webHidden/>
          </w:rPr>
          <w:tab/>
        </w:r>
        <w:r w:rsidR="00CC779E">
          <w:rPr>
            <w:noProof/>
            <w:webHidden/>
          </w:rPr>
          <w:fldChar w:fldCharType="begin"/>
        </w:r>
        <w:r w:rsidR="00CC779E">
          <w:rPr>
            <w:noProof/>
            <w:webHidden/>
          </w:rPr>
          <w:instrText xml:space="preserve"> PAGEREF _Toc19526741 \h </w:instrText>
        </w:r>
        <w:r w:rsidR="00CC779E">
          <w:rPr>
            <w:noProof/>
            <w:webHidden/>
          </w:rPr>
        </w:r>
        <w:r w:rsidR="00CC779E">
          <w:rPr>
            <w:noProof/>
            <w:webHidden/>
          </w:rPr>
          <w:fldChar w:fldCharType="separate"/>
        </w:r>
        <w:r w:rsidR="00CC779E">
          <w:rPr>
            <w:noProof/>
            <w:webHidden/>
          </w:rPr>
          <w:t>19</w:t>
        </w:r>
        <w:r w:rsidR="00CC779E">
          <w:rPr>
            <w:noProof/>
            <w:webHidden/>
          </w:rPr>
          <w:fldChar w:fldCharType="end"/>
        </w:r>
      </w:hyperlink>
    </w:p>
    <w:p w14:paraId="6755E3EB" w14:textId="62A3B44D"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2" w:history="1">
        <w:r w:rsidR="00CC779E" w:rsidRPr="00D50C38">
          <w:rPr>
            <w:rStyle w:val="Hyperlink"/>
            <w:bCs/>
            <w:noProof/>
          </w:rPr>
          <w:t>Table 13: Secondary outcome for Trial 1: The proportion of patients with Type 2 diabetes achieving blood pressure below 140/80 mmHg (or 130/80 mmHg if there is kidney, eye or cerebrovascular damage) (WP4)</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_Toc19526742 \h </w:instrText>
        </w:r>
        <w:r w:rsidR="00CC779E">
          <w:rPr>
            <w:noProof/>
            <w:webHidden/>
          </w:rPr>
        </w:r>
        <w:r w:rsidR="00CC779E">
          <w:rPr>
            <w:noProof/>
            <w:webHidden/>
          </w:rPr>
          <w:fldChar w:fldCharType="separate"/>
        </w:r>
        <w:r w:rsidR="00CC779E">
          <w:rPr>
            <w:noProof/>
            <w:webHidden/>
          </w:rPr>
          <w:t>20</w:t>
        </w:r>
        <w:r w:rsidR="00CC779E">
          <w:rPr>
            <w:noProof/>
            <w:webHidden/>
          </w:rPr>
          <w:fldChar w:fldCharType="end"/>
        </w:r>
      </w:hyperlink>
    </w:p>
    <w:p w14:paraId="65158A88" w14:textId="48F8009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3" w:history="1">
        <w:r w:rsidR="00CC779E" w:rsidRPr="00D50C38">
          <w:rPr>
            <w:rStyle w:val="Hyperlink"/>
            <w:bCs/>
            <w:noProof/>
          </w:rPr>
          <w:t>Table 14: Secondary outcome for Trial 1: The proportion of patients with Type 2 diabetes achieving Haemoglobin A1c value below or equal to 59 mmol/mol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_Toc19526743 \h </w:instrText>
        </w:r>
        <w:r w:rsidR="00CC779E">
          <w:rPr>
            <w:noProof/>
            <w:webHidden/>
          </w:rPr>
        </w:r>
        <w:r w:rsidR="00CC779E">
          <w:rPr>
            <w:noProof/>
            <w:webHidden/>
          </w:rPr>
          <w:fldChar w:fldCharType="separate"/>
        </w:r>
        <w:r w:rsidR="00CC779E">
          <w:rPr>
            <w:noProof/>
            <w:webHidden/>
          </w:rPr>
          <w:t>22</w:t>
        </w:r>
        <w:r w:rsidR="00CC779E">
          <w:rPr>
            <w:noProof/>
            <w:webHidden/>
          </w:rPr>
          <w:fldChar w:fldCharType="end"/>
        </w:r>
      </w:hyperlink>
    </w:p>
    <w:p w14:paraId="06706D49" w14:textId="18607F3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4" w:history="1">
        <w:r w:rsidR="00CC779E" w:rsidRPr="00D50C38">
          <w:rPr>
            <w:rStyle w:val="Hyperlink"/>
            <w:bCs/>
            <w:noProof/>
          </w:rPr>
          <w:t>Table 15: Secondary outcome for Trial 1: The proportion of patients with Type 2 diabetes achieving total serum cholesterol level below or equal to 5.0 mmol/l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_Toc19526744 \h </w:instrText>
        </w:r>
        <w:r w:rsidR="00CC779E">
          <w:rPr>
            <w:noProof/>
            <w:webHidden/>
          </w:rPr>
        </w:r>
        <w:r w:rsidR="00CC779E">
          <w:rPr>
            <w:noProof/>
            <w:webHidden/>
          </w:rPr>
          <w:fldChar w:fldCharType="separate"/>
        </w:r>
        <w:r w:rsidR="00CC779E">
          <w:rPr>
            <w:noProof/>
            <w:webHidden/>
          </w:rPr>
          <w:t>24</w:t>
        </w:r>
        <w:r w:rsidR="00CC779E">
          <w:rPr>
            <w:noProof/>
            <w:webHidden/>
          </w:rPr>
          <w:fldChar w:fldCharType="end"/>
        </w:r>
      </w:hyperlink>
    </w:p>
    <w:p w14:paraId="221D2FE3" w14:textId="6E1A5B5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5" w:history="1">
        <w:r w:rsidR="00CC779E" w:rsidRPr="00D50C38">
          <w:rPr>
            <w:rStyle w:val="Hyperlink"/>
            <w:bCs/>
            <w:noProof/>
          </w:rPr>
          <w:t>Table 16: Secondary outcome for Trial 1: The proportion of patients with Type 2 diabetes having their blood pressure measured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_Toc19526745 \h </w:instrText>
        </w:r>
        <w:r w:rsidR="00CC779E">
          <w:rPr>
            <w:noProof/>
            <w:webHidden/>
          </w:rPr>
        </w:r>
        <w:r w:rsidR="00CC779E">
          <w:rPr>
            <w:noProof/>
            <w:webHidden/>
          </w:rPr>
          <w:fldChar w:fldCharType="separate"/>
        </w:r>
        <w:r w:rsidR="00CC779E">
          <w:rPr>
            <w:noProof/>
            <w:webHidden/>
          </w:rPr>
          <w:t>26</w:t>
        </w:r>
        <w:r w:rsidR="00CC779E">
          <w:rPr>
            <w:noProof/>
            <w:webHidden/>
          </w:rPr>
          <w:fldChar w:fldCharType="end"/>
        </w:r>
      </w:hyperlink>
    </w:p>
    <w:p w14:paraId="54C2CAF1" w14:textId="4B6293C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6" w:history="1">
        <w:r w:rsidR="00CC779E" w:rsidRPr="00D50C38">
          <w:rPr>
            <w:rStyle w:val="Hyperlink"/>
            <w:bCs/>
            <w:noProof/>
          </w:rPr>
          <w:t>Table 17: Secondary outcome for Trial 1: The proportion of patients with Type 2 diabetes having their Haemoglobin A1c levels measured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_Toc19526746 \h </w:instrText>
        </w:r>
        <w:r w:rsidR="00CC779E">
          <w:rPr>
            <w:noProof/>
            <w:webHidden/>
          </w:rPr>
        </w:r>
        <w:r w:rsidR="00CC779E">
          <w:rPr>
            <w:noProof/>
            <w:webHidden/>
          </w:rPr>
          <w:fldChar w:fldCharType="separate"/>
        </w:r>
        <w:r w:rsidR="00CC779E">
          <w:rPr>
            <w:noProof/>
            <w:webHidden/>
          </w:rPr>
          <w:t>28</w:t>
        </w:r>
        <w:r w:rsidR="00CC779E">
          <w:rPr>
            <w:noProof/>
            <w:webHidden/>
          </w:rPr>
          <w:fldChar w:fldCharType="end"/>
        </w:r>
      </w:hyperlink>
    </w:p>
    <w:p w14:paraId="4FF05139" w14:textId="758FD99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7" w:history="1">
        <w:r w:rsidR="00CC779E" w:rsidRPr="00D50C38">
          <w:rPr>
            <w:rStyle w:val="Hyperlink"/>
            <w:bCs/>
            <w:noProof/>
          </w:rPr>
          <w:t>Table 18: Secondary outcome for Trial 1: The proportion of patients with Type 2 diabetes having a full lipid profile performed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_Toc19526747 \h </w:instrText>
        </w:r>
        <w:r w:rsidR="00CC779E">
          <w:rPr>
            <w:noProof/>
            <w:webHidden/>
          </w:rPr>
        </w:r>
        <w:r w:rsidR="00CC779E">
          <w:rPr>
            <w:noProof/>
            <w:webHidden/>
          </w:rPr>
          <w:fldChar w:fldCharType="separate"/>
        </w:r>
        <w:r w:rsidR="00CC779E">
          <w:rPr>
            <w:noProof/>
            <w:webHidden/>
          </w:rPr>
          <w:t>30</w:t>
        </w:r>
        <w:r w:rsidR="00CC779E">
          <w:rPr>
            <w:noProof/>
            <w:webHidden/>
          </w:rPr>
          <w:fldChar w:fldCharType="end"/>
        </w:r>
      </w:hyperlink>
    </w:p>
    <w:p w14:paraId="5168D119" w14:textId="7297A96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8" w:history="1">
        <w:r w:rsidR="00CC779E" w:rsidRPr="00D50C38">
          <w:rPr>
            <w:rStyle w:val="Hyperlink"/>
            <w:bCs/>
            <w:noProof/>
          </w:rPr>
          <w:t>Table 19: Secondary outcome for Trial 1: The proportion of patients with Type 2 diabetes having micro-albuminuria testing performed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_Toc19526748 \h </w:instrText>
        </w:r>
        <w:r w:rsidR="00CC779E">
          <w:rPr>
            <w:noProof/>
            <w:webHidden/>
          </w:rPr>
        </w:r>
        <w:r w:rsidR="00CC779E">
          <w:rPr>
            <w:noProof/>
            <w:webHidden/>
          </w:rPr>
          <w:fldChar w:fldCharType="separate"/>
        </w:r>
        <w:r w:rsidR="00CC779E">
          <w:rPr>
            <w:noProof/>
            <w:webHidden/>
          </w:rPr>
          <w:t>32</w:t>
        </w:r>
        <w:r w:rsidR="00CC779E">
          <w:rPr>
            <w:noProof/>
            <w:webHidden/>
          </w:rPr>
          <w:fldChar w:fldCharType="end"/>
        </w:r>
      </w:hyperlink>
    </w:p>
    <w:p w14:paraId="3D2A7A4F" w14:textId="6DD508F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49" w:history="1">
        <w:r w:rsidR="00CC779E" w:rsidRPr="00D50C38">
          <w:rPr>
            <w:rStyle w:val="Hyperlink"/>
            <w:bCs/>
            <w:noProof/>
          </w:rPr>
          <w:t>Table 20: Secondary outcome for Trial 1: The proportion of patients with Type 2 diabetes having estimated glomerular filtration rate (eGFR) / serum creatinine testing performed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_Toc19526749 \h </w:instrText>
        </w:r>
        <w:r w:rsidR="00CC779E">
          <w:rPr>
            <w:noProof/>
            <w:webHidden/>
          </w:rPr>
        </w:r>
        <w:r w:rsidR="00CC779E">
          <w:rPr>
            <w:noProof/>
            <w:webHidden/>
          </w:rPr>
          <w:fldChar w:fldCharType="separate"/>
        </w:r>
        <w:r w:rsidR="00CC779E">
          <w:rPr>
            <w:noProof/>
            <w:webHidden/>
          </w:rPr>
          <w:t>34</w:t>
        </w:r>
        <w:r w:rsidR="00CC779E">
          <w:rPr>
            <w:noProof/>
            <w:webHidden/>
          </w:rPr>
          <w:fldChar w:fldCharType="end"/>
        </w:r>
      </w:hyperlink>
    </w:p>
    <w:p w14:paraId="21A2F474" w14:textId="50C0BBFD"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0" w:history="1">
        <w:r w:rsidR="00CC779E" w:rsidRPr="00D50C38">
          <w:rPr>
            <w:rStyle w:val="Hyperlink"/>
            <w:bCs/>
            <w:noProof/>
          </w:rPr>
          <w:t>Table 21: Secondary outcome for Trial 1: The proportion of patients with Type 2 diabetes having a foot care review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_Toc19526750 \h </w:instrText>
        </w:r>
        <w:r w:rsidR="00CC779E">
          <w:rPr>
            <w:noProof/>
            <w:webHidden/>
          </w:rPr>
        </w:r>
        <w:r w:rsidR="00CC779E">
          <w:rPr>
            <w:noProof/>
            <w:webHidden/>
          </w:rPr>
          <w:fldChar w:fldCharType="separate"/>
        </w:r>
        <w:r w:rsidR="00CC779E">
          <w:rPr>
            <w:noProof/>
            <w:webHidden/>
          </w:rPr>
          <w:t>36</w:t>
        </w:r>
        <w:r w:rsidR="00CC779E">
          <w:rPr>
            <w:noProof/>
            <w:webHidden/>
          </w:rPr>
          <w:fldChar w:fldCharType="end"/>
        </w:r>
      </w:hyperlink>
    </w:p>
    <w:p w14:paraId="0388D21F" w14:textId="5DD8723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1" w:history="1">
        <w:r w:rsidR="00CC779E" w:rsidRPr="00D50C38">
          <w:rPr>
            <w:rStyle w:val="Hyperlink"/>
            <w:bCs/>
            <w:noProof/>
          </w:rPr>
          <w:t>Table 22: Secondary outcome for Trial 1: The proportion of patients with Type 2 diabetes having eye screening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_Toc19526751 \h </w:instrText>
        </w:r>
        <w:r w:rsidR="00CC779E">
          <w:rPr>
            <w:noProof/>
            <w:webHidden/>
          </w:rPr>
        </w:r>
        <w:r w:rsidR="00CC779E">
          <w:rPr>
            <w:noProof/>
            <w:webHidden/>
          </w:rPr>
          <w:fldChar w:fldCharType="separate"/>
        </w:r>
        <w:r w:rsidR="00CC779E">
          <w:rPr>
            <w:noProof/>
            <w:webHidden/>
          </w:rPr>
          <w:t>38</w:t>
        </w:r>
        <w:r w:rsidR="00CC779E">
          <w:rPr>
            <w:noProof/>
            <w:webHidden/>
          </w:rPr>
          <w:fldChar w:fldCharType="end"/>
        </w:r>
      </w:hyperlink>
    </w:p>
    <w:p w14:paraId="32F1A9C8" w14:textId="21261961"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2" w:history="1">
        <w:r w:rsidR="00CC779E" w:rsidRPr="00D50C38">
          <w:rPr>
            <w:rStyle w:val="Hyperlink"/>
            <w:bCs/>
            <w:noProof/>
          </w:rPr>
          <w:t>Table 23: Secondary outcome for Trial 1: The proportion of patients with Type 2 diabetes having their Body Mass Index (BMI) recorded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_Toc19526752 \h </w:instrText>
        </w:r>
        <w:r w:rsidR="00CC779E">
          <w:rPr>
            <w:noProof/>
            <w:webHidden/>
          </w:rPr>
        </w:r>
        <w:r w:rsidR="00CC779E">
          <w:rPr>
            <w:noProof/>
            <w:webHidden/>
          </w:rPr>
          <w:fldChar w:fldCharType="separate"/>
        </w:r>
        <w:r w:rsidR="00CC779E">
          <w:rPr>
            <w:noProof/>
            <w:webHidden/>
          </w:rPr>
          <w:t>40</w:t>
        </w:r>
        <w:r w:rsidR="00CC779E">
          <w:rPr>
            <w:noProof/>
            <w:webHidden/>
          </w:rPr>
          <w:fldChar w:fldCharType="end"/>
        </w:r>
      </w:hyperlink>
    </w:p>
    <w:p w14:paraId="7C0B322C" w14:textId="7BC2D3B4"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3" w:history="1">
        <w:r w:rsidR="00CC779E" w:rsidRPr="00D50C38">
          <w:rPr>
            <w:rStyle w:val="Hyperlink"/>
            <w:bCs/>
            <w:noProof/>
          </w:rPr>
          <w:t>Table 24: Secondary outcome for Trial 1: The proportion of patients with Type 2 diabetes having their smoking status recorded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_Toc19526753 \h </w:instrText>
        </w:r>
        <w:r w:rsidR="00CC779E">
          <w:rPr>
            <w:noProof/>
            <w:webHidden/>
          </w:rPr>
        </w:r>
        <w:r w:rsidR="00CC779E">
          <w:rPr>
            <w:noProof/>
            <w:webHidden/>
          </w:rPr>
          <w:fldChar w:fldCharType="separate"/>
        </w:r>
        <w:r w:rsidR="00CC779E">
          <w:rPr>
            <w:noProof/>
            <w:webHidden/>
          </w:rPr>
          <w:t>42</w:t>
        </w:r>
        <w:r w:rsidR="00CC779E">
          <w:rPr>
            <w:noProof/>
            <w:webHidden/>
          </w:rPr>
          <w:fldChar w:fldCharType="end"/>
        </w:r>
      </w:hyperlink>
    </w:p>
    <w:p w14:paraId="5490BDFD" w14:textId="09003BA0"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4" w:history="1">
        <w:r w:rsidR="00CC779E" w:rsidRPr="00D50C38">
          <w:rPr>
            <w:rStyle w:val="Hyperlink"/>
            <w:bCs/>
            <w:noProof/>
          </w:rPr>
          <w:t>Table 25: Secondary outcome for Trial 1: The proportion of patients with Type 2 diabetes receiving all recommended processes of care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_Toc19526754 \h </w:instrText>
        </w:r>
        <w:r w:rsidR="00CC779E">
          <w:rPr>
            <w:noProof/>
            <w:webHidden/>
          </w:rPr>
        </w:r>
        <w:r w:rsidR="00CC779E">
          <w:rPr>
            <w:noProof/>
            <w:webHidden/>
          </w:rPr>
          <w:fldChar w:fldCharType="separate"/>
        </w:r>
        <w:r w:rsidR="00CC779E">
          <w:rPr>
            <w:noProof/>
            <w:webHidden/>
          </w:rPr>
          <w:t>44</w:t>
        </w:r>
        <w:r w:rsidR="00CC779E">
          <w:rPr>
            <w:noProof/>
            <w:webHidden/>
          </w:rPr>
          <w:fldChar w:fldCharType="end"/>
        </w:r>
      </w:hyperlink>
    </w:p>
    <w:p w14:paraId="4FD5846D" w14:textId="7F39728A"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5" w:history="1">
        <w:r w:rsidR="00CC779E" w:rsidRPr="00D50C38">
          <w:rPr>
            <w:rStyle w:val="Hyperlink"/>
            <w:bCs/>
            <w:noProof/>
          </w:rPr>
          <w:t>Table 26: Secondary outcome for Trial 1: The proportion of patients with Type 2 diabetes receiving all recommended processes of care (excluding eye screening) in the previous 12 months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_Toc19526755 \h </w:instrText>
        </w:r>
        <w:r w:rsidR="00CC779E">
          <w:rPr>
            <w:noProof/>
            <w:webHidden/>
          </w:rPr>
        </w:r>
        <w:r w:rsidR="00CC779E">
          <w:rPr>
            <w:noProof/>
            <w:webHidden/>
          </w:rPr>
          <w:fldChar w:fldCharType="separate"/>
        </w:r>
        <w:r w:rsidR="00CC779E">
          <w:rPr>
            <w:noProof/>
            <w:webHidden/>
          </w:rPr>
          <w:t>46</w:t>
        </w:r>
        <w:r w:rsidR="00CC779E">
          <w:rPr>
            <w:noProof/>
            <w:webHidden/>
          </w:rPr>
          <w:fldChar w:fldCharType="end"/>
        </w:r>
      </w:hyperlink>
    </w:p>
    <w:p w14:paraId="4D462A8E" w14:textId="640FFB6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6" w:history="1">
        <w:r w:rsidR="00CC779E" w:rsidRPr="00D50C38">
          <w:rPr>
            <w:rStyle w:val="Hyperlink"/>
            <w:bCs/>
            <w:noProof/>
          </w:rPr>
          <w:t>Table 27: Secondary outcome for Trial 1: Prescribing a traditional oral NSAID or low-dose aspirin in patients with a history of peptic ulceration without co-prescription of gastro-protection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_Toc19526756 \h </w:instrText>
        </w:r>
        <w:r w:rsidR="00CC779E">
          <w:rPr>
            <w:noProof/>
            <w:webHidden/>
          </w:rPr>
        </w:r>
        <w:r w:rsidR="00CC779E">
          <w:rPr>
            <w:noProof/>
            <w:webHidden/>
          </w:rPr>
          <w:fldChar w:fldCharType="separate"/>
        </w:r>
        <w:r w:rsidR="00CC779E">
          <w:rPr>
            <w:noProof/>
            <w:webHidden/>
          </w:rPr>
          <w:t>48</w:t>
        </w:r>
        <w:r w:rsidR="00CC779E">
          <w:rPr>
            <w:noProof/>
            <w:webHidden/>
          </w:rPr>
          <w:fldChar w:fldCharType="end"/>
        </w:r>
      </w:hyperlink>
    </w:p>
    <w:p w14:paraId="17DB6513" w14:textId="3692FFEE"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7" w:history="1">
        <w:r w:rsidR="00CC779E" w:rsidRPr="00D50C38">
          <w:rPr>
            <w:rStyle w:val="Hyperlink"/>
            <w:bCs/>
            <w:noProof/>
          </w:rPr>
          <w:t>Table 28: Secondary outcome for Trial 1: Prescribing a traditional oral NSAID in patients aged 75 years or over without co-prescription of gastro-protection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_Toc19526757 \h </w:instrText>
        </w:r>
        <w:r w:rsidR="00CC779E">
          <w:rPr>
            <w:noProof/>
            <w:webHidden/>
          </w:rPr>
        </w:r>
        <w:r w:rsidR="00CC779E">
          <w:rPr>
            <w:noProof/>
            <w:webHidden/>
          </w:rPr>
          <w:fldChar w:fldCharType="separate"/>
        </w:r>
        <w:r w:rsidR="00CC779E">
          <w:rPr>
            <w:noProof/>
            <w:webHidden/>
          </w:rPr>
          <w:t>50</w:t>
        </w:r>
        <w:r w:rsidR="00CC779E">
          <w:rPr>
            <w:noProof/>
            <w:webHidden/>
          </w:rPr>
          <w:fldChar w:fldCharType="end"/>
        </w:r>
      </w:hyperlink>
    </w:p>
    <w:p w14:paraId="56C15B6C" w14:textId="24658F6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8" w:history="1">
        <w:r w:rsidR="00CC779E" w:rsidRPr="00D50C38">
          <w:rPr>
            <w:rStyle w:val="Hyperlink"/>
            <w:bCs/>
            <w:noProof/>
          </w:rPr>
          <w:t>Table 29: Secondary outcome for Trial 1: Prescribing of a traditional oral NSAID and aspirin in patients aged 65 years or over without co-prescription of gastro-protection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_Toc19526758 \h </w:instrText>
        </w:r>
        <w:r w:rsidR="00CC779E">
          <w:rPr>
            <w:noProof/>
            <w:webHidden/>
          </w:rPr>
        </w:r>
        <w:r w:rsidR="00CC779E">
          <w:rPr>
            <w:noProof/>
            <w:webHidden/>
          </w:rPr>
          <w:fldChar w:fldCharType="separate"/>
        </w:r>
        <w:r w:rsidR="00CC779E">
          <w:rPr>
            <w:noProof/>
            <w:webHidden/>
          </w:rPr>
          <w:t>52</w:t>
        </w:r>
        <w:r w:rsidR="00CC779E">
          <w:rPr>
            <w:noProof/>
            <w:webHidden/>
          </w:rPr>
          <w:fldChar w:fldCharType="end"/>
        </w:r>
      </w:hyperlink>
    </w:p>
    <w:p w14:paraId="52DD300D" w14:textId="340120E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59" w:history="1">
        <w:r w:rsidR="00CC779E" w:rsidRPr="00D50C38">
          <w:rPr>
            <w:rStyle w:val="Hyperlink"/>
            <w:bCs/>
            <w:noProof/>
          </w:rPr>
          <w:t>Table 30: Secondary outcome for Trial 1: Prescribing of aspirin and clopidogrel in patients aged 65 years or over without co-prescription of gastro-protection (WP4A)</w:t>
        </w:r>
        <w:r w:rsidR="00CC779E" w:rsidRPr="00D50C38">
          <w:rPr>
            <w:rStyle w:val="Hyperlink"/>
            <w:bCs/>
            <w:noProof/>
            <w:vertAlign w:val="superscript"/>
          </w:rPr>
          <w:t xml:space="preserve"> a</w:t>
        </w:r>
        <w:r w:rsidR="00CC779E">
          <w:rPr>
            <w:noProof/>
            <w:webHidden/>
          </w:rPr>
          <w:tab/>
        </w:r>
        <w:r w:rsidR="00CC779E">
          <w:rPr>
            <w:noProof/>
            <w:webHidden/>
          </w:rPr>
          <w:fldChar w:fldCharType="begin"/>
        </w:r>
        <w:r w:rsidR="00CC779E">
          <w:rPr>
            <w:noProof/>
            <w:webHidden/>
          </w:rPr>
          <w:instrText xml:space="preserve"> PAGEREF _Toc19526759 \h </w:instrText>
        </w:r>
        <w:r w:rsidR="00CC779E">
          <w:rPr>
            <w:noProof/>
            <w:webHidden/>
          </w:rPr>
        </w:r>
        <w:r w:rsidR="00CC779E">
          <w:rPr>
            <w:noProof/>
            <w:webHidden/>
          </w:rPr>
          <w:fldChar w:fldCharType="separate"/>
        </w:r>
        <w:r w:rsidR="00CC779E">
          <w:rPr>
            <w:noProof/>
            <w:webHidden/>
          </w:rPr>
          <w:t>54</w:t>
        </w:r>
        <w:r w:rsidR="00CC779E">
          <w:rPr>
            <w:noProof/>
            <w:webHidden/>
          </w:rPr>
          <w:fldChar w:fldCharType="end"/>
        </w:r>
      </w:hyperlink>
    </w:p>
    <w:p w14:paraId="0A893932" w14:textId="662334E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0" w:history="1">
        <w:r w:rsidR="00CC779E" w:rsidRPr="00D50C38">
          <w:rPr>
            <w:rStyle w:val="Hyperlink"/>
            <w:bCs/>
            <w:noProof/>
          </w:rPr>
          <w:t>Table 31: Secondary outcome for Trial 1: Prescribing of warfarin and a traditional oral NSAID (WP4A)</w:t>
        </w:r>
        <w:r w:rsidR="00CC779E">
          <w:rPr>
            <w:noProof/>
            <w:webHidden/>
          </w:rPr>
          <w:tab/>
        </w:r>
        <w:r w:rsidR="00CC779E">
          <w:rPr>
            <w:noProof/>
            <w:webHidden/>
          </w:rPr>
          <w:fldChar w:fldCharType="begin"/>
        </w:r>
        <w:r w:rsidR="00CC779E">
          <w:rPr>
            <w:noProof/>
            <w:webHidden/>
          </w:rPr>
          <w:instrText xml:space="preserve"> PAGEREF _Toc19526760 \h </w:instrText>
        </w:r>
        <w:r w:rsidR="00CC779E">
          <w:rPr>
            <w:noProof/>
            <w:webHidden/>
          </w:rPr>
        </w:r>
        <w:r w:rsidR="00CC779E">
          <w:rPr>
            <w:noProof/>
            <w:webHidden/>
          </w:rPr>
          <w:fldChar w:fldCharType="separate"/>
        </w:r>
        <w:r w:rsidR="00CC779E">
          <w:rPr>
            <w:noProof/>
            <w:webHidden/>
          </w:rPr>
          <w:t>56</w:t>
        </w:r>
        <w:r w:rsidR="00CC779E">
          <w:rPr>
            <w:noProof/>
            <w:webHidden/>
          </w:rPr>
          <w:fldChar w:fldCharType="end"/>
        </w:r>
      </w:hyperlink>
    </w:p>
    <w:p w14:paraId="4D63D7CE" w14:textId="05C3ADD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1" w:history="1">
        <w:r w:rsidR="00CC779E" w:rsidRPr="00D50C38">
          <w:rPr>
            <w:rStyle w:val="Hyperlink"/>
            <w:bCs/>
            <w:noProof/>
          </w:rPr>
          <w:t>Table 32: Secondary outcome for Trial 1: Prescribing of warfarin and low-dose aspirin or clopidogrel without co-prescription of gastro-protection (WP4A)</w:t>
        </w:r>
        <w:r w:rsidR="00CC779E">
          <w:rPr>
            <w:noProof/>
            <w:webHidden/>
          </w:rPr>
          <w:tab/>
        </w:r>
        <w:r w:rsidR="00CC779E">
          <w:rPr>
            <w:noProof/>
            <w:webHidden/>
          </w:rPr>
          <w:fldChar w:fldCharType="begin"/>
        </w:r>
        <w:r w:rsidR="00CC779E">
          <w:rPr>
            <w:noProof/>
            <w:webHidden/>
          </w:rPr>
          <w:instrText xml:space="preserve"> PAGEREF _Toc19526761 \h </w:instrText>
        </w:r>
        <w:r w:rsidR="00CC779E">
          <w:rPr>
            <w:noProof/>
            <w:webHidden/>
          </w:rPr>
        </w:r>
        <w:r w:rsidR="00CC779E">
          <w:rPr>
            <w:noProof/>
            <w:webHidden/>
          </w:rPr>
          <w:fldChar w:fldCharType="separate"/>
        </w:r>
        <w:r w:rsidR="00CC779E">
          <w:rPr>
            <w:noProof/>
            <w:webHidden/>
          </w:rPr>
          <w:t>57</w:t>
        </w:r>
        <w:r w:rsidR="00CC779E">
          <w:rPr>
            <w:noProof/>
            <w:webHidden/>
          </w:rPr>
          <w:fldChar w:fldCharType="end"/>
        </w:r>
      </w:hyperlink>
    </w:p>
    <w:p w14:paraId="0A5ACCDC" w14:textId="71CA1D2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2" w:history="1">
        <w:r w:rsidR="00CC779E" w:rsidRPr="00D50C38">
          <w:rPr>
            <w:rStyle w:val="Hyperlink"/>
            <w:bCs/>
            <w:noProof/>
          </w:rPr>
          <w:t>Table 33: Secondary outcome for Trial 1: Prescribing an oral NSAID in patients with heart failure (WP4A)</w:t>
        </w:r>
        <w:r w:rsidR="00CC779E">
          <w:rPr>
            <w:noProof/>
            <w:webHidden/>
          </w:rPr>
          <w:tab/>
        </w:r>
        <w:r w:rsidR="00CC779E">
          <w:rPr>
            <w:noProof/>
            <w:webHidden/>
          </w:rPr>
          <w:fldChar w:fldCharType="begin"/>
        </w:r>
        <w:r w:rsidR="00CC779E">
          <w:rPr>
            <w:noProof/>
            <w:webHidden/>
          </w:rPr>
          <w:instrText xml:space="preserve"> PAGEREF _Toc19526762 \h </w:instrText>
        </w:r>
        <w:r w:rsidR="00CC779E">
          <w:rPr>
            <w:noProof/>
            <w:webHidden/>
          </w:rPr>
        </w:r>
        <w:r w:rsidR="00CC779E">
          <w:rPr>
            <w:noProof/>
            <w:webHidden/>
          </w:rPr>
          <w:fldChar w:fldCharType="separate"/>
        </w:r>
        <w:r w:rsidR="00CC779E">
          <w:rPr>
            <w:noProof/>
            <w:webHidden/>
          </w:rPr>
          <w:t>58</w:t>
        </w:r>
        <w:r w:rsidR="00CC779E">
          <w:rPr>
            <w:noProof/>
            <w:webHidden/>
          </w:rPr>
          <w:fldChar w:fldCharType="end"/>
        </w:r>
      </w:hyperlink>
    </w:p>
    <w:p w14:paraId="5871D149" w14:textId="7C873A1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3" w:history="1">
        <w:r w:rsidR="00CC779E" w:rsidRPr="00D50C38">
          <w:rPr>
            <w:rStyle w:val="Hyperlink"/>
            <w:bCs/>
            <w:noProof/>
          </w:rPr>
          <w:t>Table 34: Secondary outcome for Trial 1: Prescribing an oral NSAID in patients prescribed both a diuretic and an angiotensin-converting enzyme inhibitor (ACE-I) or angiotensin receptor blocker (ARB)</w:t>
        </w:r>
        <w:r w:rsidR="00CC779E">
          <w:rPr>
            <w:noProof/>
            <w:webHidden/>
          </w:rPr>
          <w:tab/>
        </w:r>
        <w:r w:rsidR="00CC779E">
          <w:rPr>
            <w:noProof/>
            <w:webHidden/>
          </w:rPr>
          <w:fldChar w:fldCharType="begin"/>
        </w:r>
        <w:r w:rsidR="00CC779E">
          <w:rPr>
            <w:noProof/>
            <w:webHidden/>
          </w:rPr>
          <w:instrText xml:space="preserve"> PAGEREF _Toc19526763 \h </w:instrText>
        </w:r>
        <w:r w:rsidR="00CC779E">
          <w:rPr>
            <w:noProof/>
            <w:webHidden/>
          </w:rPr>
        </w:r>
        <w:r w:rsidR="00CC779E">
          <w:rPr>
            <w:noProof/>
            <w:webHidden/>
          </w:rPr>
          <w:fldChar w:fldCharType="separate"/>
        </w:r>
        <w:r w:rsidR="00CC779E">
          <w:rPr>
            <w:noProof/>
            <w:webHidden/>
          </w:rPr>
          <w:t>60</w:t>
        </w:r>
        <w:r w:rsidR="00CC779E">
          <w:rPr>
            <w:noProof/>
            <w:webHidden/>
          </w:rPr>
          <w:fldChar w:fldCharType="end"/>
        </w:r>
      </w:hyperlink>
    </w:p>
    <w:p w14:paraId="2176D4A8" w14:textId="1A5D7A80"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4" w:history="1">
        <w:r w:rsidR="00CC779E" w:rsidRPr="00D50C38">
          <w:rPr>
            <w:rStyle w:val="Hyperlink"/>
            <w:bCs/>
            <w:noProof/>
          </w:rPr>
          <w:t>Table 35: Secondary outcome for Trial 1: Prescribing an oral NSAID in patients with chronic kidney disease (WP4A)</w:t>
        </w:r>
        <w:r w:rsidR="00CC779E">
          <w:rPr>
            <w:noProof/>
            <w:webHidden/>
          </w:rPr>
          <w:tab/>
        </w:r>
        <w:r w:rsidR="00CC779E">
          <w:rPr>
            <w:noProof/>
            <w:webHidden/>
          </w:rPr>
          <w:fldChar w:fldCharType="begin"/>
        </w:r>
        <w:r w:rsidR="00CC779E">
          <w:rPr>
            <w:noProof/>
            <w:webHidden/>
          </w:rPr>
          <w:instrText xml:space="preserve"> PAGEREF _Toc19526764 \h </w:instrText>
        </w:r>
        <w:r w:rsidR="00CC779E">
          <w:rPr>
            <w:noProof/>
            <w:webHidden/>
          </w:rPr>
        </w:r>
        <w:r w:rsidR="00CC779E">
          <w:rPr>
            <w:noProof/>
            <w:webHidden/>
          </w:rPr>
          <w:fldChar w:fldCharType="separate"/>
        </w:r>
        <w:r w:rsidR="00CC779E">
          <w:rPr>
            <w:noProof/>
            <w:webHidden/>
          </w:rPr>
          <w:t>62</w:t>
        </w:r>
        <w:r w:rsidR="00CC779E">
          <w:rPr>
            <w:noProof/>
            <w:webHidden/>
          </w:rPr>
          <w:fldChar w:fldCharType="end"/>
        </w:r>
      </w:hyperlink>
    </w:p>
    <w:p w14:paraId="66C90386" w14:textId="116A451C"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5" w:history="1">
        <w:r w:rsidR="00CC779E" w:rsidRPr="00D50C38">
          <w:rPr>
            <w:rStyle w:val="Hyperlink"/>
            <w:bCs/>
            <w:noProof/>
          </w:rPr>
          <w:t>Table 36: Secondary outcome for Trial 1: Gastro-intestinal risk composite (combination of six risky prescribing indicators concerning potential gastro-intestinal risk)</w:t>
        </w:r>
        <w:r w:rsidR="00CC779E" w:rsidRPr="00D50C38">
          <w:rPr>
            <w:rStyle w:val="Hyperlink"/>
            <w:noProof/>
            <w:vertAlign w:val="superscript"/>
          </w:rPr>
          <w:t>a</w:t>
        </w:r>
        <w:r w:rsidR="00CC779E" w:rsidRPr="00D50C38">
          <w:rPr>
            <w:rStyle w:val="Hyperlink"/>
            <w:bCs/>
            <w:noProof/>
          </w:rPr>
          <w:t xml:space="preserve"> (WP4A)</w:t>
        </w:r>
        <w:r w:rsidR="00CC779E">
          <w:rPr>
            <w:noProof/>
            <w:webHidden/>
          </w:rPr>
          <w:tab/>
        </w:r>
        <w:r w:rsidR="00CC779E">
          <w:rPr>
            <w:noProof/>
            <w:webHidden/>
          </w:rPr>
          <w:fldChar w:fldCharType="begin"/>
        </w:r>
        <w:r w:rsidR="00CC779E">
          <w:rPr>
            <w:noProof/>
            <w:webHidden/>
          </w:rPr>
          <w:instrText xml:space="preserve"> PAGEREF _Toc19526765 \h </w:instrText>
        </w:r>
        <w:r w:rsidR="00CC779E">
          <w:rPr>
            <w:noProof/>
            <w:webHidden/>
          </w:rPr>
        </w:r>
        <w:r w:rsidR="00CC779E">
          <w:rPr>
            <w:noProof/>
            <w:webHidden/>
          </w:rPr>
          <w:fldChar w:fldCharType="separate"/>
        </w:r>
        <w:r w:rsidR="00CC779E">
          <w:rPr>
            <w:noProof/>
            <w:webHidden/>
          </w:rPr>
          <w:t>64</w:t>
        </w:r>
        <w:r w:rsidR="00CC779E">
          <w:rPr>
            <w:noProof/>
            <w:webHidden/>
          </w:rPr>
          <w:fldChar w:fldCharType="end"/>
        </w:r>
      </w:hyperlink>
    </w:p>
    <w:p w14:paraId="48992B5B" w14:textId="799F1D7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6" w:history="1">
        <w:r w:rsidR="00CC779E" w:rsidRPr="00D50C38">
          <w:rPr>
            <w:rStyle w:val="Hyperlink"/>
            <w:bCs/>
            <w:noProof/>
          </w:rPr>
          <w:t>Table 37: Secondary outcome for Trial 1: Renal risk composite (combination of two risky prescribing indicators concerning potential renal risk)</w:t>
        </w:r>
        <w:r w:rsidR="00CC779E" w:rsidRPr="00D50C38">
          <w:rPr>
            <w:rStyle w:val="Hyperlink"/>
            <w:noProof/>
            <w:vertAlign w:val="superscript"/>
          </w:rPr>
          <w:t>a</w:t>
        </w:r>
        <w:r w:rsidR="00CC779E" w:rsidRPr="00D50C38">
          <w:rPr>
            <w:rStyle w:val="Hyperlink"/>
            <w:bCs/>
            <w:noProof/>
          </w:rPr>
          <w:t xml:space="preserve"> (WP4A)</w:t>
        </w:r>
        <w:r w:rsidR="00CC779E">
          <w:rPr>
            <w:noProof/>
            <w:webHidden/>
          </w:rPr>
          <w:tab/>
        </w:r>
        <w:r w:rsidR="00CC779E">
          <w:rPr>
            <w:noProof/>
            <w:webHidden/>
          </w:rPr>
          <w:fldChar w:fldCharType="begin"/>
        </w:r>
        <w:r w:rsidR="00CC779E">
          <w:rPr>
            <w:noProof/>
            <w:webHidden/>
          </w:rPr>
          <w:instrText xml:space="preserve"> PAGEREF _Toc19526766 \h </w:instrText>
        </w:r>
        <w:r w:rsidR="00CC779E">
          <w:rPr>
            <w:noProof/>
            <w:webHidden/>
          </w:rPr>
        </w:r>
        <w:r w:rsidR="00CC779E">
          <w:rPr>
            <w:noProof/>
            <w:webHidden/>
          </w:rPr>
          <w:fldChar w:fldCharType="separate"/>
        </w:r>
        <w:r w:rsidR="00CC779E">
          <w:rPr>
            <w:noProof/>
            <w:webHidden/>
          </w:rPr>
          <w:t>66</w:t>
        </w:r>
        <w:r w:rsidR="00CC779E">
          <w:rPr>
            <w:noProof/>
            <w:webHidden/>
          </w:rPr>
          <w:fldChar w:fldCharType="end"/>
        </w:r>
      </w:hyperlink>
    </w:p>
    <w:p w14:paraId="37212FAE" w14:textId="3AF6EAB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7" w:history="1">
        <w:r w:rsidR="00CC779E" w:rsidRPr="00D50C38">
          <w:rPr>
            <w:rStyle w:val="Hyperlink"/>
            <w:bCs/>
            <w:noProof/>
          </w:rPr>
          <w:t>Table 38: Secondary outcome for Trial 2: Blood pressure below 140/90 mmHg in patients aged under 80 years with hypertension (WP4A)</w:t>
        </w:r>
        <w:r w:rsidR="00CC779E">
          <w:rPr>
            <w:noProof/>
            <w:webHidden/>
          </w:rPr>
          <w:tab/>
        </w:r>
        <w:r w:rsidR="00CC779E">
          <w:rPr>
            <w:noProof/>
            <w:webHidden/>
          </w:rPr>
          <w:fldChar w:fldCharType="begin"/>
        </w:r>
        <w:r w:rsidR="00CC779E">
          <w:rPr>
            <w:noProof/>
            <w:webHidden/>
          </w:rPr>
          <w:instrText xml:space="preserve"> PAGEREF _Toc19526767 \h </w:instrText>
        </w:r>
        <w:r w:rsidR="00CC779E">
          <w:rPr>
            <w:noProof/>
            <w:webHidden/>
          </w:rPr>
        </w:r>
        <w:r w:rsidR="00CC779E">
          <w:rPr>
            <w:noProof/>
            <w:webHidden/>
          </w:rPr>
          <w:fldChar w:fldCharType="separate"/>
        </w:r>
        <w:r w:rsidR="00CC779E">
          <w:rPr>
            <w:noProof/>
            <w:webHidden/>
          </w:rPr>
          <w:t>68</w:t>
        </w:r>
        <w:r w:rsidR="00CC779E">
          <w:rPr>
            <w:noProof/>
            <w:webHidden/>
          </w:rPr>
          <w:fldChar w:fldCharType="end"/>
        </w:r>
      </w:hyperlink>
    </w:p>
    <w:p w14:paraId="0F2EF616" w14:textId="250F3FA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8" w:history="1">
        <w:r w:rsidR="00CC779E" w:rsidRPr="00D50C38">
          <w:rPr>
            <w:rStyle w:val="Hyperlink"/>
            <w:bCs/>
            <w:noProof/>
          </w:rPr>
          <w:t>Table 39: Secondary outcome for Trial 2: Blood pressure below 150/90 mmHg in patients aged 80 years and over with hypertension (WP4A)</w:t>
        </w:r>
        <w:r w:rsidR="00CC779E">
          <w:rPr>
            <w:noProof/>
            <w:webHidden/>
          </w:rPr>
          <w:tab/>
        </w:r>
        <w:r w:rsidR="00CC779E">
          <w:rPr>
            <w:noProof/>
            <w:webHidden/>
          </w:rPr>
          <w:fldChar w:fldCharType="begin"/>
        </w:r>
        <w:r w:rsidR="00CC779E">
          <w:rPr>
            <w:noProof/>
            <w:webHidden/>
          </w:rPr>
          <w:instrText xml:space="preserve"> PAGEREF _Toc19526768 \h </w:instrText>
        </w:r>
        <w:r w:rsidR="00CC779E">
          <w:rPr>
            <w:noProof/>
            <w:webHidden/>
          </w:rPr>
        </w:r>
        <w:r w:rsidR="00CC779E">
          <w:rPr>
            <w:noProof/>
            <w:webHidden/>
          </w:rPr>
          <w:fldChar w:fldCharType="separate"/>
        </w:r>
        <w:r w:rsidR="00CC779E">
          <w:rPr>
            <w:noProof/>
            <w:webHidden/>
          </w:rPr>
          <w:t>70</w:t>
        </w:r>
        <w:r w:rsidR="00CC779E">
          <w:rPr>
            <w:noProof/>
            <w:webHidden/>
          </w:rPr>
          <w:fldChar w:fldCharType="end"/>
        </w:r>
      </w:hyperlink>
    </w:p>
    <w:p w14:paraId="17A37599" w14:textId="3199AF2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69" w:history="1">
        <w:r w:rsidR="00CC779E" w:rsidRPr="00D50C38">
          <w:rPr>
            <w:rStyle w:val="Hyperlink"/>
            <w:bCs/>
            <w:noProof/>
          </w:rPr>
          <w:t>Table 40: Secondary outcome for Trial 2: Blood pressure below 140/80 mmHg in patients aged under 80 years with diabetes, and below 130/80 mmHg if there are complications of diabetes (WP4A)</w:t>
        </w:r>
        <w:r w:rsidR="00CC779E">
          <w:rPr>
            <w:noProof/>
            <w:webHidden/>
          </w:rPr>
          <w:tab/>
        </w:r>
        <w:r w:rsidR="00CC779E">
          <w:rPr>
            <w:noProof/>
            <w:webHidden/>
          </w:rPr>
          <w:fldChar w:fldCharType="begin"/>
        </w:r>
        <w:r w:rsidR="00CC779E">
          <w:rPr>
            <w:noProof/>
            <w:webHidden/>
          </w:rPr>
          <w:instrText xml:space="preserve"> PAGEREF _Toc19526769 \h </w:instrText>
        </w:r>
        <w:r w:rsidR="00CC779E">
          <w:rPr>
            <w:noProof/>
            <w:webHidden/>
          </w:rPr>
        </w:r>
        <w:r w:rsidR="00CC779E">
          <w:rPr>
            <w:noProof/>
            <w:webHidden/>
          </w:rPr>
          <w:fldChar w:fldCharType="separate"/>
        </w:r>
        <w:r w:rsidR="00CC779E">
          <w:rPr>
            <w:noProof/>
            <w:webHidden/>
          </w:rPr>
          <w:t>72</w:t>
        </w:r>
        <w:r w:rsidR="00CC779E">
          <w:rPr>
            <w:noProof/>
            <w:webHidden/>
          </w:rPr>
          <w:fldChar w:fldCharType="end"/>
        </w:r>
      </w:hyperlink>
    </w:p>
    <w:p w14:paraId="74E32C9F" w14:textId="356D213E"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0" w:history="1">
        <w:r w:rsidR="00CC779E" w:rsidRPr="00D50C38">
          <w:rPr>
            <w:rStyle w:val="Hyperlink"/>
            <w:bCs/>
            <w:noProof/>
          </w:rPr>
          <w:t>Table 41: Secondary outcome for Trial 2: Blood pressure below 130/80 mmHg in patients aged under 80 years with chronic kidney disease and proteinuria (WP4A)</w:t>
        </w:r>
        <w:r w:rsidR="00CC779E">
          <w:rPr>
            <w:noProof/>
            <w:webHidden/>
          </w:rPr>
          <w:tab/>
        </w:r>
        <w:r w:rsidR="00CC779E">
          <w:rPr>
            <w:noProof/>
            <w:webHidden/>
          </w:rPr>
          <w:fldChar w:fldCharType="begin"/>
        </w:r>
        <w:r w:rsidR="00CC779E">
          <w:rPr>
            <w:noProof/>
            <w:webHidden/>
          </w:rPr>
          <w:instrText xml:space="preserve"> PAGEREF _Toc19526770 \h </w:instrText>
        </w:r>
        <w:r w:rsidR="00CC779E">
          <w:rPr>
            <w:noProof/>
            <w:webHidden/>
          </w:rPr>
        </w:r>
        <w:r w:rsidR="00CC779E">
          <w:rPr>
            <w:noProof/>
            <w:webHidden/>
          </w:rPr>
          <w:fldChar w:fldCharType="separate"/>
        </w:r>
        <w:r w:rsidR="00CC779E">
          <w:rPr>
            <w:noProof/>
            <w:webHidden/>
          </w:rPr>
          <w:t>74</w:t>
        </w:r>
        <w:r w:rsidR="00CC779E">
          <w:rPr>
            <w:noProof/>
            <w:webHidden/>
          </w:rPr>
          <w:fldChar w:fldCharType="end"/>
        </w:r>
      </w:hyperlink>
    </w:p>
    <w:p w14:paraId="4A33B8E3" w14:textId="7545843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1" w:history="1">
        <w:r w:rsidR="00CC779E" w:rsidRPr="00D50C38">
          <w:rPr>
            <w:rStyle w:val="Hyperlink"/>
            <w:bCs/>
            <w:noProof/>
          </w:rPr>
          <w:t>Table 42: Secondary outcome for Trial 2: Blood pressure below 140/90 mmHg in patients aged under 80 years with coronary heart disease (WP4A)</w:t>
        </w:r>
        <w:r w:rsidR="00CC779E">
          <w:rPr>
            <w:noProof/>
            <w:webHidden/>
          </w:rPr>
          <w:tab/>
        </w:r>
        <w:r w:rsidR="00CC779E">
          <w:rPr>
            <w:noProof/>
            <w:webHidden/>
          </w:rPr>
          <w:fldChar w:fldCharType="begin"/>
        </w:r>
        <w:r w:rsidR="00CC779E">
          <w:rPr>
            <w:noProof/>
            <w:webHidden/>
          </w:rPr>
          <w:instrText xml:space="preserve"> PAGEREF _Toc19526771 \h </w:instrText>
        </w:r>
        <w:r w:rsidR="00CC779E">
          <w:rPr>
            <w:noProof/>
            <w:webHidden/>
          </w:rPr>
        </w:r>
        <w:r w:rsidR="00CC779E">
          <w:rPr>
            <w:noProof/>
            <w:webHidden/>
          </w:rPr>
          <w:fldChar w:fldCharType="separate"/>
        </w:r>
        <w:r w:rsidR="00CC779E">
          <w:rPr>
            <w:noProof/>
            <w:webHidden/>
          </w:rPr>
          <w:t>76</w:t>
        </w:r>
        <w:r w:rsidR="00CC779E">
          <w:rPr>
            <w:noProof/>
            <w:webHidden/>
          </w:rPr>
          <w:fldChar w:fldCharType="end"/>
        </w:r>
      </w:hyperlink>
    </w:p>
    <w:p w14:paraId="3D48B04F" w14:textId="266A8ED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2" w:history="1">
        <w:r w:rsidR="00CC779E" w:rsidRPr="00D50C38">
          <w:rPr>
            <w:rStyle w:val="Hyperlink"/>
            <w:bCs/>
            <w:noProof/>
          </w:rPr>
          <w:t>Table 43: Secondary outcome for Trial 2: Blood pressure below 140/90 mmHg in patients aged under 80 years with peripheral arterial disease (WP4A)</w:t>
        </w:r>
        <w:r w:rsidR="00CC779E">
          <w:rPr>
            <w:noProof/>
            <w:webHidden/>
          </w:rPr>
          <w:tab/>
        </w:r>
        <w:r w:rsidR="00CC779E">
          <w:rPr>
            <w:noProof/>
            <w:webHidden/>
          </w:rPr>
          <w:fldChar w:fldCharType="begin"/>
        </w:r>
        <w:r w:rsidR="00CC779E">
          <w:rPr>
            <w:noProof/>
            <w:webHidden/>
          </w:rPr>
          <w:instrText xml:space="preserve"> PAGEREF _Toc19526772 \h </w:instrText>
        </w:r>
        <w:r w:rsidR="00CC779E">
          <w:rPr>
            <w:noProof/>
            <w:webHidden/>
          </w:rPr>
        </w:r>
        <w:r w:rsidR="00CC779E">
          <w:rPr>
            <w:noProof/>
            <w:webHidden/>
          </w:rPr>
          <w:fldChar w:fldCharType="separate"/>
        </w:r>
        <w:r w:rsidR="00CC779E">
          <w:rPr>
            <w:noProof/>
            <w:webHidden/>
          </w:rPr>
          <w:t>78</w:t>
        </w:r>
        <w:r w:rsidR="00CC779E">
          <w:rPr>
            <w:noProof/>
            <w:webHidden/>
          </w:rPr>
          <w:fldChar w:fldCharType="end"/>
        </w:r>
      </w:hyperlink>
    </w:p>
    <w:p w14:paraId="28A0AA5B" w14:textId="0974469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3" w:history="1">
        <w:r w:rsidR="00CC779E" w:rsidRPr="00D50C38">
          <w:rPr>
            <w:rStyle w:val="Hyperlink"/>
            <w:bCs/>
            <w:noProof/>
          </w:rPr>
          <w:t>Table 44: Secondary outcome for Trial 2: Blood pressure below 140/90 mmHg in patients aged under 80 years with a history of stroke / transient ischemic attack (WP4A)</w:t>
        </w:r>
        <w:r w:rsidR="00CC779E">
          <w:rPr>
            <w:noProof/>
            <w:webHidden/>
          </w:rPr>
          <w:tab/>
        </w:r>
        <w:r w:rsidR="00CC779E">
          <w:rPr>
            <w:noProof/>
            <w:webHidden/>
          </w:rPr>
          <w:fldChar w:fldCharType="begin"/>
        </w:r>
        <w:r w:rsidR="00CC779E">
          <w:rPr>
            <w:noProof/>
            <w:webHidden/>
          </w:rPr>
          <w:instrText xml:space="preserve"> PAGEREF _Toc19526773 \h </w:instrText>
        </w:r>
        <w:r w:rsidR="00CC779E">
          <w:rPr>
            <w:noProof/>
            <w:webHidden/>
          </w:rPr>
        </w:r>
        <w:r w:rsidR="00CC779E">
          <w:rPr>
            <w:noProof/>
            <w:webHidden/>
          </w:rPr>
          <w:fldChar w:fldCharType="separate"/>
        </w:r>
        <w:r w:rsidR="00CC779E">
          <w:rPr>
            <w:noProof/>
            <w:webHidden/>
          </w:rPr>
          <w:t>80</w:t>
        </w:r>
        <w:r w:rsidR="00CC779E">
          <w:rPr>
            <w:noProof/>
            <w:webHidden/>
          </w:rPr>
          <w:fldChar w:fldCharType="end"/>
        </w:r>
      </w:hyperlink>
    </w:p>
    <w:p w14:paraId="36B42EDD" w14:textId="0DDE27F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4" w:history="1">
        <w:r w:rsidR="00CC779E" w:rsidRPr="00D50C38">
          <w:rPr>
            <w:rStyle w:val="Hyperlink"/>
            <w:bCs/>
            <w:noProof/>
          </w:rPr>
          <w:t>Table 45: Secondary outcome for Trial 2: Blood pressure below 140/90 mmHg in patients aged under 80 years with a cardiovascular disease risk of 20% or higher (WP4A)</w:t>
        </w:r>
        <w:r w:rsidR="00CC779E">
          <w:rPr>
            <w:noProof/>
            <w:webHidden/>
          </w:rPr>
          <w:tab/>
        </w:r>
        <w:r w:rsidR="00CC779E">
          <w:rPr>
            <w:noProof/>
            <w:webHidden/>
          </w:rPr>
          <w:fldChar w:fldCharType="begin"/>
        </w:r>
        <w:r w:rsidR="00CC779E">
          <w:rPr>
            <w:noProof/>
            <w:webHidden/>
          </w:rPr>
          <w:instrText xml:space="preserve"> PAGEREF _Toc19526774 \h </w:instrText>
        </w:r>
        <w:r w:rsidR="00CC779E">
          <w:rPr>
            <w:noProof/>
            <w:webHidden/>
          </w:rPr>
        </w:r>
        <w:r w:rsidR="00CC779E">
          <w:rPr>
            <w:noProof/>
            <w:webHidden/>
          </w:rPr>
          <w:fldChar w:fldCharType="separate"/>
        </w:r>
        <w:r w:rsidR="00CC779E">
          <w:rPr>
            <w:noProof/>
            <w:webHidden/>
          </w:rPr>
          <w:t>82</w:t>
        </w:r>
        <w:r w:rsidR="00CC779E">
          <w:rPr>
            <w:noProof/>
            <w:webHidden/>
          </w:rPr>
          <w:fldChar w:fldCharType="end"/>
        </w:r>
      </w:hyperlink>
    </w:p>
    <w:p w14:paraId="3976AAE7" w14:textId="2EFB7DE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5" w:history="1">
        <w:r w:rsidR="00CC779E" w:rsidRPr="00D50C38">
          <w:rPr>
            <w:rStyle w:val="Hyperlink"/>
            <w:bCs/>
            <w:noProof/>
          </w:rPr>
          <w:t>Table 46: Secondary outcome for Trial 2: The proportion of eligible patients with measured blood pressure in the previous 12 months (WP4A)</w:t>
        </w:r>
        <w:r w:rsidR="00CC779E">
          <w:rPr>
            <w:noProof/>
            <w:webHidden/>
          </w:rPr>
          <w:tab/>
        </w:r>
        <w:r w:rsidR="00CC779E">
          <w:rPr>
            <w:noProof/>
            <w:webHidden/>
          </w:rPr>
          <w:fldChar w:fldCharType="begin"/>
        </w:r>
        <w:r w:rsidR="00CC779E">
          <w:rPr>
            <w:noProof/>
            <w:webHidden/>
          </w:rPr>
          <w:instrText xml:space="preserve"> PAGEREF _Toc19526775 \h </w:instrText>
        </w:r>
        <w:r w:rsidR="00CC779E">
          <w:rPr>
            <w:noProof/>
            <w:webHidden/>
          </w:rPr>
        </w:r>
        <w:r w:rsidR="00CC779E">
          <w:rPr>
            <w:noProof/>
            <w:webHidden/>
          </w:rPr>
          <w:fldChar w:fldCharType="separate"/>
        </w:r>
        <w:r w:rsidR="00CC779E">
          <w:rPr>
            <w:noProof/>
            <w:webHidden/>
          </w:rPr>
          <w:t>84</w:t>
        </w:r>
        <w:r w:rsidR="00CC779E">
          <w:rPr>
            <w:noProof/>
            <w:webHidden/>
          </w:rPr>
          <w:fldChar w:fldCharType="end"/>
        </w:r>
      </w:hyperlink>
    </w:p>
    <w:p w14:paraId="188738DC" w14:textId="5565520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6" w:history="1">
        <w:r w:rsidR="00CC779E" w:rsidRPr="00D50C38">
          <w:rPr>
            <w:rStyle w:val="Hyperlink"/>
            <w:bCs/>
            <w:noProof/>
          </w:rPr>
          <w:t>Table 47: Secondary outcome for Trial 2: The proportion of men with atrial fibrillation and a CHA</w:t>
        </w:r>
        <w:r w:rsidR="00CC779E" w:rsidRPr="00D50C38">
          <w:rPr>
            <w:rStyle w:val="Hyperlink"/>
            <w:bCs/>
            <w:noProof/>
            <w:vertAlign w:val="subscript"/>
          </w:rPr>
          <w:t>2</w:t>
        </w:r>
        <w:r w:rsidR="00CC779E" w:rsidRPr="00D50C38">
          <w:rPr>
            <w:rStyle w:val="Hyperlink"/>
            <w:bCs/>
            <w:noProof/>
          </w:rPr>
          <w:t>DS</w:t>
        </w:r>
        <w:r w:rsidR="00CC779E" w:rsidRPr="00D50C38">
          <w:rPr>
            <w:rStyle w:val="Hyperlink"/>
            <w:bCs/>
            <w:noProof/>
            <w:vertAlign w:val="subscript"/>
          </w:rPr>
          <w:t>2</w:t>
        </w:r>
        <w:r w:rsidR="00CC779E" w:rsidRPr="00D50C38">
          <w:rPr>
            <w:rStyle w:val="Hyperlink"/>
            <w:bCs/>
            <w:noProof/>
          </w:rPr>
          <w:t>-VASc score of 1 prescribed anticoagulation therapy (WP4A)</w:t>
        </w:r>
        <w:r w:rsidR="00CC779E">
          <w:rPr>
            <w:noProof/>
            <w:webHidden/>
          </w:rPr>
          <w:tab/>
        </w:r>
        <w:r w:rsidR="00CC779E">
          <w:rPr>
            <w:noProof/>
            <w:webHidden/>
          </w:rPr>
          <w:fldChar w:fldCharType="begin"/>
        </w:r>
        <w:r w:rsidR="00CC779E">
          <w:rPr>
            <w:noProof/>
            <w:webHidden/>
          </w:rPr>
          <w:instrText xml:space="preserve"> PAGEREF _Toc19526776 \h </w:instrText>
        </w:r>
        <w:r w:rsidR="00CC779E">
          <w:rPr>
            <w:noProof/>
            <w:webHidden/>
          </w:rPr>
        </w:r>
        <w:r w:rsidR="00CC779E">
          <w:rPr>
            <w:noProof/>
            <w:webHidden/>
          </w:rPr>
          <w:fldChar w:fldCharType="separate"/>
        </w:r>
        <w:r w:rsidR="00CC779E">
          <w:rPr>
            <w:noProof/>
            <w:webHidden/>
          </w:rPr>
          <w:t>86</w:t>
        </w:r>
        <w:r w:rsidR="00CC779E">
          <w:rPr>
            <w:noProof/>
            <w:webHidden/>
          </w:rPr>
          <w:fldChar w:fldCharType="end"/>
        </w:r>
      </w:hyperlink>
    </w:p>
    <w:p w14:paraId="169D1AB4" w14:textId="254F5BE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7" w:history="1">
        <w:r w:rsidR="00CC779E" w:rsidRPr="00D50C38">
          <w:rPr>
            <w:rStyle w:val="Hyperlink"/>
            <w:bCs/>
            <w:noProof/>
          </w:rPr>
          <w:t>Table 48: Secondary outcome for Trial 2: The proportion of all patients with atrial fibrillation and a CHA</w:t>
        </w:r>
        <w:r w:rsidR="00CC779E" w:rsidRPr="00D50C38">
          <w:rPr>
            <w:rStyle w:val="Hyperlink"/>
            <w:bCs/>
            <w:noProof/>
            <w:vertAlign w:val="subscript"/>
          </w:rPr>
          <w:t>2</w:t>
        </w:r>
        <w:r w:rsidR="00CC779E" w:rsidRPr="00D50C38">
          <w:rPr>
            <w:rStyle w:val="Hyperlink"/>
            <w:bCs/>
            <w:noProof/>
          </w:rPr>
          <w:t>DS</w:t>
        </w:r>
        <w:r w:rsidR="00CC779E" w:rsidRPr="00D50C38">
          <w:rPr>
            <w:rStyle w:val="Hyperlink"/>
            <w:bCs/>
            <w:noProof/>
            <w:vertAlign w:val="subscript"/>
          </w:rPr>
          <w:t>2</w:t>
        </w:r>
        <w:r w:rsidR="00CC779E" w:rsidRPr="00D50C38">
          <w:rPr>
            <w:rStyle w:val="Hyperlink"/>
            <w:bCs/>
            <w:noProof/>
          </w:rPr>
          <w:t>-VASc score of 2 or above prescribed anticoagulation therapy (WP4A)</w:t>
        </w:r>
        <w:r w:rsidR="00CC779E">
          <w:rPr>
            <w:noProof/>
            <w:webHidden/>
          </w:rPr>
          <w:tab/>
        </w:r>
        <w:r w:rsidR="00CC779E">
          <w:rPr>
            <w:noProof/>
            <w:webHidden/>
          </w:rPr>
          <w:fldChar w:fldCharType="begin"/>
        </w:r>
        <w:r w:rsidR="00CC779E">
          <w:rPr>
            <w:noProof/>
            <w:webHidden/>
          </w:rPr>
          <w:instrText xml:space="preserve"> PAGEREF _Toc19526777 \h </w:instrText>
        </w:r>
        <w:r w:rsidR="00CC779E">
          <w:rPr>
            <w:noProof/>
            <w:webHidden/>
          </w:rPr>
        </w:r>
        <w:r w:rsidR="00CC779E">
          <w:rPr>
            <w:noProof/>
            <w:webHidden/>
          </w:rPr>
          <w:fldChar w:fldCharType="separate"/>
        </w:r>
        <w:r w:rsidR="00CC779E">
          <w:rPr>
            <w:noProof/>
            <w:webHidden/>
          </w:rPr>
          <w:t>88</w:t>
        </w:r>
        <w:r w:rsidR="00CC779E">
          <w:rPr>
            <w:noProof/>
            <w:webHidden/>
          </w:rPr>
          <w:fldChar w:fldCharType="end"/>
        </w:r>
      </w:hyperlink>
    </w:p>
    <w:p w14:paraId="24162982" w14:textId="40C497E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8" w:history="1">
        <w:r w:rsidR="00CC779E" w:rsidRPr="00D50C38">
          <w:rPr>
            <w:rStyle w:val="Hyperlink"/>
            <w:bCs/>
            <w:noProof/>
          </w:rPr>
          <w:t>Table 49: Secondary outcome for Trial 2: The proportion of men with atrial fibrillation and a CHA</w:t>
        </w:r>
        <w:r w:rsidR="00CC779E" w:rsidRPr="00D50C38">
          <w:rPr>
            <w:rStyle w:val="Hyperlink"/>
            <w:bCs/>
            <w:noProof/>
            <w:vertAlign w:val="subscript"/>
          </w:rPr>
          <w:t>2</w:t>
        </w:r>
        <w:r w:rsidR="00CC779E" w:rsidRPr="00D50C38">
          <w:rPr>
            <w:rStyle w:val="Hyperlink"/>
            <w:bCs/>
            <w:noProof/>
          </w:rPr>
          <w:t>DS</w:t>
        </w:r>
        <w:r w:rsidR="00CC779E" w:rsidRPr="00D50C38">
          <w:rPr>
            <w:rStyle w:val="Hyperlink"/>
            <w:bCs/>
            <w:noProof/>
            <w:vertAlign w:val="subscript"/>
          </w:rPr>
          <w:t>2</w:t>
        </w:r>
        <w:r w:rsidR="00CC779E" w:rsidRPr="00D50C38">
          <w:rPr>
            <w:rStyle w:val="Hyperlink"/>
            <w:bCs/>
            <w:noProof/>
          </w:rPr>
          <w:t>-VASc score of 1 with contraindication for anti-coagulation and prescribed anti-coagulation (WP4A)</w:t>
        </w:r>
        <w:r w:rsidR="00CC779E">
          <w:rPr>
            <w:noProof/>
            <w:webHidden/>
          </w:rPr>
          <w:tab/>
        </w:r>
        <w:r w:rsidR="00CC779E">
          <w:rPr>
            <w:noProof/>
            <w:webHidden/>
          </w:rPr>
          <w:fldChar w:fldCharType="begin"/>
        </w:r>
        <w:r w:rsidR="00CC779E">
          <w:rPr>
            <w:noProof/>
            <w:webHidden/>
          </w:rPr>
          <w:instrText xml:space="preserve"> PAGEREF _Toc19526778 \h </w:instrText>
        </w:r>
        <w:r w:rsidR="00CC779E">
          <w:rPr>
            <w:noProof/>
            <w:webHidden/>
          </w:rPr>
        </w:r>
        <w:r w:rsidR="00CC779E">
          <w:rPr>
            <w:noProof/>
            <w:webHidden/>
          </w:rPr>
          <w:fldChar w:fldCharType="separate"/>
        </w:r>
        <w:r w:rsidR="00CC779E">
          <w:rPr>
            <w:noProof/>
            <w:webHidden/>
          </w:rPr>
          <w:t>90</w:t>
        </w:r>
        <w:r w:rsidR="00CC779E">
          <w:rPr>
            <w:noProof/>
            <w:webHidden/>
          </w:rPr>
          <w:fldChar w:fldCharType="end"/>
        </w:r>
      </w:hyperlink>
    </w:p>
    <w:p w14:paraId="014329F6" w14:textId="77CCF15B"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79" w:history="1">
        <w:r w:rsidR="00CC779E" w:rsidRPr="00D50C38">
          <w:rPr>
            <w:rStyle w:val="Hyperlink"/>
            <w:bCs/>
            <w:noProof/>
          </w:rPr>
          <w:t>Table 50: Secondary outcome for Trial 2: The proportion of all patients with atrial fibrillation and a CHA</w:t>
        </w:r>
        <w:r w:rsidR="00CC779E" w:rsidRPr="00D50C38">
          <w:rPr>
            <w:rStyle w:val="Hyperlink"/>
            <w:bCs/>
            <w:noProof/>
            <w:vertAlign w:val="subscript"/>
          </w:rPr>
          <w:t>2</w:t>
        </w:r>
        <w:r w:rsidR="00CC779E" w:rsidRPr="00D50C38">
          <w:rPr>
            <w:rStyle w:val="Hyperlink"/>
            <w:bCs/>
            <w:noProof/>
          </w:rPr>
          <w:t>DS</w:t>
        </w:r>
        <w:r w:rsidR="00CC779E" w:rsidRPr="00D50C38">
          <w:rPr>
            <w:rStyle w:val="Hyperlink"/>
            <w:bCs/>
            <w:noProof/>
            <w:vertAlign w:val="subscript"/>
          </w:rPr>
          <w:t>2</w:t>
        </w:r>
        <w:r w:rsidR="00CC779E" w:rsidRPr="00D50C38">
          <w:rPr>
            <w:rStyle w:val="Hyperlink"/>
            <w:bCs/>
            <w:noProof/>
          </w:rPr>
          <w:t>-VASc score of 2 or above with contraindication for anti-coagulation and prescribed anti-coagulation (WP4A)</w:t>
        </w:r>
        <w:r w:rsidR="00CC779E">
          <w:rPr>
            <w:noProof/>
            <w:webHidden/>
          </w:rPr>
          <w:tab/>
        </w:r>
        <w:r w:rsidR="00CC779E">
          <w:rPr>
            <w:noProof/>
            <w:webHidden/>
          </w:rPr>
          <w:fldChar w:fldCharType="begin"/>
        </w:r>
        <w:r w:rsidR="00CC779E">
          <w:rPr>
            <w:noProof/>
            <w:webHidden/>
          </w:rPr>
          <w:instrText xml:space="preserve"> PAGEREF _Toc19526779 \h </w:instrText>
        </w:r>
        <w:r w:rsidR="00CC779E">
          <w:rPr>
            <w:noProof/>
            <w:webHidden/>
          </w:rPr>
        </w:r>
        <w:r w:rsidR="00CC779E">
          <w:rPr>
            <w:noProof/>
            <w:webHidden/>
          </w:rPr>
          <w:fldChar w:fldCharType="separate"/>
        </w:r>
        <w:r w:rsidR="00CC779E">
          <w:rPr>
            <w:noProof/>
            <w:webHidden/>
          </w:rPr>
          <w:t>92</w:t>
        </w:r>
        <w:r w:rsidR="00CC779E">
          <w:rPr>
            <w:noProof/>
            <w:webHidden/>
          </w:rPr>
          <w:fldChar w:fldCharType="end"/>
        </w:r>
      </w:hyperlink>
    </w:p>
    <w:p w14:paraId="08AD6BA8" w14:textId="7282164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0" w:history="1">
        <w:r w:rsidR="00CC779E" w:rsidRPr="00D50C38">
          <w:rPr>
            <w:rStyle w:val="Hyperlink"/>
            <w:bCs/>
            <w:noProof/>
          </w:rPr>
          <w:t>Table 51: Secondary outcome for Trial 2: The proportion of patients achieving the two indicators related to contraindication for anti-coagulation (WP4A)</w:t>
        </w:r>
        <w:r w:rsidR="00CC779E">
          <w:rPr>
            <w:noProof/>
            <w:webHidden/>
          </w:rPr>
          <w:tab/>
        </w:r>
        <w:r w:rsidR="00CC779E">
          <w:rPr>
            <w:noProof/>
            <w:webHidden/>
          </w:rPr>
          <w:fldChar w:fldCharType="begin"/>
        </w:r>
        <w:r w:rsidR="00CC779E">
          <w:rPr>
            <w:noProof/>
            <w:webHidden/>
          </w:rPr>
          <w:instrText xml:space="preserve"> PAGEREF _Toc19526780 \h </w:instrText>
        </w:r>
        <w:r w:rsidR="00CC779E">
          <w:rPr>
            <w:noProof/>
            <w:webHidden/>
          </w:rPr>
        </w:r>
        <w:r w:rsidR="00CC779E">
          <w:rPr>
            <w:noProof/>
            <w:webHidden/>
          </w:rPr>
          <w:fldChar w:fldCharType="separate"/>
        </w:r>
        <w:r w:rsidR="00CC779E">
          <w:rPr>
            <w:noProof/>
            <w:webHidden/>
          </w:rPr>
          <w:t>94</w:t>
        </w:r>
        <w:r w:rsidR="00CC779E">
          <w:rPr>
            <w:noProof/>
            <w:webHidden/>
          </w:rPr>
          <w:fldChar w:fldCharType="end"/>
        </w:r>
      </w:hyperlink>
    </w:p>
    <w:p w14:paraId="0007C2BC" w14:textId="0763563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1" w:history="1">
        <w:r w:rsidR="00CC779E" w:rsidRPr="00D50C38">
          <w:rPr>
            <w:rStyle w:val="Hyperlink"/>
            <w:bCs/>
            <w:noProof/>
          </w:rPr>
          <w:t>Table 52: Secondary outcome for Trial 1: Mean diastolic blood pressure in diabetes trial population (i.e. diabetes control arm vs risky prescribing arm) (WP4A)</w:t>
        </w:r>
        <w:r w:rsidR="00CC779E">
          <w:rPr>
            <w:noProof/>
            <w:webHidden/>
          </w:rPr>
          <w:tab/>
        </w:r>
        <w:r w:rsidR="00CC779E">
          <w:rPr>
            <w:noProof/>
            <w:webHidden/>
          </w:rPr>
          <w:fldChar w:fldCharType="begin"/>
        </w:r>
        <w:r w:rsidR="00CC779E">
          <w:rPr>
            <w:noProof/>
            <w:webHidden/>
          </w:rPr>
          <w:instrText xml:space="preserve"> PAGEREF _Toc19526781 \h </w:instrText>
        </w:r>
        <w:r w:rsidR="00CC779E">
          <w:rPr>
            <w:noProof/>
            <w:webHidden/>
          </w:rPr>
        </w:r>
        <w:r w:rsidR="00CC779E">
          <w:rPr>
            <w:noProof/>
            <w:webHidden/>
          </w:rPr>
          <w:fldChar w:fldCharType="separate"/>
        </w:r>
        <w:r w:rsidR="00CC779E">
          <w:rPr>
            <w:noProof/>
            <w:webHidden/>
          </w:rPr>
          <w:t>96</w:t>
        </w:r>
        <w:r w:rsidR="00CC779E">
          <w:rPr>
            <w:noProof/>
            <w:webHidden/>
          </w:rPr>
          <w:fldChar w:fldCharType="end"/>
        </w:r>
      </w:hyperlink>
    </w:p>
    <w:p w14:paraId="44C655D7" w14:textId="44414CD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2" w:history="1">
        <w:r w:rsidR="00CC779E" w:rsidRPr="00D50C38">
          <w:rPr>
            <w:rStyle w:val="Hyperlink"/>
            <w:bCs/>
            <w:noProof/>
          </w:rPr>
          <w:t>Table 53: Secondary outcome for Trial 1: Mean systolic blood pressure in diabetes trial population (i.e. diabetes control arm vs risky prescribing arm) (WP4A)</w:t>
        </w:r>
        <w:r w:rsidR="00CC779E">
          <w:rPr>
            <w:noProof/>
            <w:webHidden/>
          </w:rPr>
          <w:tab/>
        </w:r>
        <w:r w:rsidR="00CC779E">
          <w:rPr>
            <w:noProof/>
            <w:webHidden/>
          </w:rPr>
          <w:fldChar w:fldCharType="begin"/>
        </w:r>
        <w:r w:rsidR="00CC779E">
          <w:rPr>
            <w:noProof/>
            <w:webHidden/>
          </w:rPr>
          <w:instrText xml:space="preserve"> PAGEREF _Toc19526782 \h </w:instrText>
        </w:r>
        <w:r w:rsidR="00CC779E">
          <w:rPr>
            <w:noProof/>
            <w:webHidden/>
          </w:rPr>
        </w:r>
        <w:r w:rsidR="00CC779E">
          <w:rPr>
            <w:noProof/>
            <w:webHidden/>
          </w:rPr>
          <w:fldChar w:fldCharType="separate"/>
        </w:r>
        <w:r w:rsidR="00CC779E">
          <w:rPr>
            <w:noProof/>
            <w:webHidden/>
          </w:rPr>
          <w:t>98</w:t>
        </w:r>
        <w:r w:rsidR="00CC779E">
          <w:rPr>
            <w:noProof/>
            <w:webHidden/>
          </w:rPr>
          <w:fldChar w:fldCharType="end"/>
        </w:r>
      </w:hyperlink>
    </w:p>
    <w:p w14:paraId="07D7E965" w14:textId="70B0FF5E"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3" w:history="1">
        <w:r w:rsidR="00CC779E" w:rsidRPr="00D50C38">
          <w:rPr>
            <w:rStyle w:val="Hyperlink"/>
            <w:bCs/>
            <w:noProof/>
          </w:rPr>
          <w:t>Table 54: Secondary outcome for Trial 1: Mean total serum cholesterol (log scale) in diabetes trial population (i.e. diabetes control arm vs risky prescribing arm) (WP4A)</w:t>
        </w:r>
        <w:r w:rsidR="00CC779E">
          <w:rPr>
            <w:noProof/>
            <w:webHidden/>
          </w:rPr>
          <w:tab/>
        </w:r>
        <w:r w:rsidR="00CC779E">
          <w:rPr>
            <w:noProof/>
            <w:webHidden/>
          </w:rPr>
          <w:fldChar w:fldCharType="begin"/>
        </w:r>
        <w:r w:rsidR="00CC779E">
          <w:rPr>
            <w:noProof/>
            <w:webHidden/>
          </w:rPr>
          <w:instrText xml:space="preserve"> PAGEREF _Toc19526783 \h </w:instrText>
        </w:r>
        <w:r w:rsidR="00CC779E">
          <w:rPr>
            <w:noProof/>
            <w:webHidden/>
          </w:rPr>
        </w:r>
        <w:r w:rsidR="00CC779E">
          <w:rPr>
            <w:noProof/>
            <w:webHidden/>
          </w:rPr>
          <w:fldChar w:fldCharType="separate"/>
        </w:r>
        <w:r w:rsidR="00CC779E">
          <w:rPr>
            <w:noProof/>
            <w:webHidden/>
          </w:rPr>
          <w:t>100</w:t>
        </w:r>
        <w:r w:rsidR="00CC779E">
          <w:rPr>
            <w:noProof/>
            <w:webHidden/>
          </w:rPr>
          <w:fldChar w:fldCharType="end"/>
        </w:r>
      </w:hyperlink>
    </w:p>
    <w:p w14:paraId="01218DC1" w14:textId="546CA47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4" w:history="1">
        <w:r w:rsidR="00CC779E" w:rsidRPr="00D50C38">
          <w:rPr>
            <w:rStyle w:val="Hyperlink"/>
            <w:bCs/>
            <w:noProof/>
          </w:rPr>
          <w:t>Table 55: Secondary outcome for Trial 1: Mean Haemoglobin A1c (log scale) in diabetes trial population (i.e. diabetes arm vs risky prescribing arm) (WP4A)</w:t>
        </w:r>
        <w:r w:rsidR="00CC779E">
          <w:rPr>
            <w:noProof/>
            <w:webHidden/>
          </w:rPr>
          <w:tab/>
        </w:r>
        <w:r w:rsidR="00CC779E">
          <w:rPr>
            <w:noProof/>
            <w:webHidden/>
          </w:rPr>
          <w:fldChar w:fldCharType="begin"/>
        </w:r>
        <w:r w:rsidR="00CC779E">
          <w:rPr>
            <w:noProof/>
            <w:webHidden/>
          </w:rPr>
          <w:instrText xml:space="preserve"> PAGEREF _Toc19526784 \h </w:instrText>
        </w:r>
        <w:r w:rsidR="00CC779E">
          <w:rPr>
            <w:noProof/>
            <w:webHidden/>
          </w:rPr>
        </w:r>
        <w:r w:rsidR="00CC779E">
          <w:rPr>
            <w:noProof/>
            <w:webHidden/>
          </w:rPr>
          <w:fldChar w:fldCharType="separate"/>
        </w:r>
        <w:r w:rsidR="00CC779E">
          <w:rPr>
            <w:noProof/>
            <w:webHidden/>
          </w:rPr>
          <w:t>102</w:t>
        </w:r>
        <w:r w:rsidR="00CC779E">
          <w:rPr>
            <w:noProof/>
            <w:webHidden/>
          </w:rPr>
          <w:fldChar w:fldCharType="end"/>
        </w:r>
      </w:hyperlink>
    </w:p>
    <w:p w14:paraId="7F47D237" w14:textId="1C4669A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5" w:history="1">
        <w:r w:rsidR="00CC779E" w:rsidRPr="00D50C38">
          <w:rPr>
            <w:rStyle w:val="Hyperlink"/>
            <w:bCs/>
            <w:noProof/>
          </w:rPr>
          <w:t>Table 56: Secondary outcome for Trial 2: Mean diastolic blood pressure in blood pressure trial population (i.e. blood pressure control arm vs atrial fibrillation arm)</w:t>
        </w:r>
        <w:r w:rsidR="00CC779E">
          <w:rPr>
            <w:noProof/>
            <w:webHidden/>
          </w:rPr>
          <w:tab/>
        </w:r>
        <w:r w:rsidR="00CC779E">
          <w:rPr>
            <w:noProof/>
            <w:webHidden/>
          </w:rPr>
          <w:fldChar w:fldCharType="begin"/>
        </w:r>
        <w:r w:rsidR="00CC779E">
          <w:rPr>
            <w:noProof/>
            <w:webHidden/>
          </w:rPr>
          <w:instrText xml:space="preserve"> PAGEREF _Toc19526785 \h </w:instrText>
        </w:r>
        <w:r w:rsidR="00CC779E">
          <w:rPr>
            <w:noProof/>
            <w:webHidden/>
          </w:rPr>
        </w:r>
        <w:r w:rsidR="00CC779E">
          <w:rPr>
            <w:noProof/>
            <w:webHidden/>
          </w:rPr>
          <w:fldChar w:fldCharType="separate"/>
        </w:r>
        <w:r w:rsidR="00CC779E">
          <w:rPr>
            <w:noProof/>
            <w:webHidden/>
          </w:rPr>
          <w:t>104</w:t>
        </w:r>
        <w:r w:rsidR="00CC779E">
          <w:rPr>
            <w:noProof/>
            <w:webHidden/>
          </w:rPr>
          <w:fldChar w:fldCharType="end"/>
        </w:r>
      </w:hyperlink>
    </w:p>
    <w:p w14:paraId="01589586" w14:textId="3AF146F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6" w:history="1">
        <w:r w:rsidR="00CC779E" w:rsidRPr="00D50C38">
          <w:rPr>
            <w:rStyle w:val="Hyperlink"/>
            <w:bCs/>
            <w:noProof/>
          </w:rPr>
          <w:t>Table 57: Secondary outcome for Trial 2: Mean systolic blood pressure in blood pressure trial population (i.e. blood pressure control arm vs atrial fibrillation arm)</w:t>
        </w:r>
        <w:r w:rsidR="00CC779E">
          <w:rPr>
            <w:noProof/>
            <w:webHidden/>
          </w:rPr>
          <w:tab/>
        </w:r>
        <w:r w:rsidR="00CC779E">
          <w:rPr>
            <w:noProof/>
            <w:webHidden/>
          </w:rPr>
          <w:fldChar w:fldCharType="begin"/>
        </w:r>
        <w:r w:rsidR="00CC779E">
          <w:rPr>
            <w:noProof/>
            <w:webHidden/>
          </w:rPr>
          <w:instrText xml:space="preserve"> PAGEREF _Toc19526786 \h </w:instrText>
        </w:r>
        <w:r w:rsidR="00CC779E">
          <w:rPr>
            <w:noProof/>
            <w:webHidden/>
          </w:rPr>
        </w:r>
        <w:r w:rsidR="00CC779E">
          <w:rPr>
            <w:noProof/>
            <w:webHidden/>
          </w:rPr>
          <w:fldChar w:fldCharType="separate"/>
        </w:r>
        <w:r w:rsidR="00CC779E">
          <w:rPr>
            <w:noProof/>
            <w:webHidden/>
          </w:rPr>
          <w:t>106</w:t>
        </w:r>
        <w:r w:rsidR="00CC779E">
          <w:rPr>
            <w:noProof/>
            <w:webHidden/>
          </w:rPr>
          <w:fldChar w:fldCharType="end"/>
        </w:r>
      </w:hyperlink>
    </w:p>
    <w:p w14:paraId="3E6CF957" w14:textId="06B4222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7" w:history="1">
        <w:r w:rsidR="00CC779E" w:rsidRPr="00D50C38">
          <w:rPr>
            <w:rStyle w:val="Hyperlink"/>
            <w:bCs/>
            <w:noProof/>
          </w:rPr>
          <w:t>Table 58: Secondary outcome for Trial 1: Summary of practice level adherence to QOF indicators related to the diabetes control indicators (WP4a)</w:t>
        </w:r>
        <w:r w:rsidR="00CC779E">
          <w:rPr>
            <w:noProof/>
            <w:webHidden/>
          </w:rPr>
          <w:tab/>
        </w:r>
        <w:r w:rsidR="00CC779E">
          <w:rPr>
            <w:noProof/>
            <w:webHidden/>
          </w:rPr>
          <w:fldChar w:fldCharType="begin"/>
        </w:r>
        <w:r w:rsidR="00CC779E">
          <w:rPr>
            <w:noProof/>
            <w:webHidden/>
          </w:rPr>
          <w:instrText xml:space="preserve"> PAGEREF _Toc19526787 \h </w:instrText>
        </w:r>
        <w:r w:rsidR="00CC779E">
          <w:rPr>
            <w:noProof/>
            <w:webHidden/>
          </w:rPr>
        </w:r>
        <w:r w:rsidR="00CC779E">
          <w:rPr>
            <w:noProof/>
            <w:webHidden/>
          </w:rPr>
          <w:fldChar w:fldCharType="separate"/>
        </w:r>
        <w:r w:rsidR="00CC779E">
          <w:rPr>
            <w:noProof/>
            <w:webHidden/>
          </w:rPr>
          <w:t>108</w:t>
        </w:r>
        <w:r w:rsidR="00CC779E">
          <w:rPr>
            <w:noProof/>
            <w:webHidden/>
          </w:rPr>
          <w:fldChar w:fldCharType="end"/>
        </w:r>
      </w:hyperlink>
    </w:p>
    <w:p w14:paraId="75A65944" w14:textId="5CDB8B1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8" w:history="1">
        <w:r w:rsidR="00CC779E" w:rsidRPr="00D50C38">
          <w:rPr>
            <w:rStyle w:val="Hyperlink"/>
            <w:bCs/>
            <w:noProof/>
          </w:rPr>
          <w:t>Table 59: Secondary outcome for Trial 2: Summary of practice level adherence to QOF indicators related to the blood pressure control indicators (WP4a)</w:t>
        </w:r>
        <w:r w:rsidR="00CC779E">
          <w:rPr>
            <w:noProof/>
            <w:webHidden/>
          </w:rPr>
          <w:tab/>
        </w:r>
        <w:r w:rsidR="00CC779E">
          <w:rPr>
            <w:noProof/>
            <w:webHidden/>
          </w:rPr>
          <w:fldChar w:fldCharType="begin"/>
        </w:r>
        <w:r w:rsidR="00CC779E">
          <w:rPr>
            <w:noProof/>
            <w:webHidden/>
          </w:rPr>
          <w:instrText xml:space="preserve"> PAGEREF _Toc19526788 \h </w:instrText>
        </w:r>
        <w:r w:rsidR="00CC779E">
          <w:rPr>
            <w:noProof/>
            <w:webHidden/>
          </w:rPr>
        </w:r>
        <w:r w:rsidR="00CC779E">
          <w:rPr>
            <w:noProof/>
            <w:webHidden/>
          </w:rPr>
          <w:fldChar w:fldCharType="separate"/>
        </w:r>
        <w:r w:rsidR="00CC779E">
          <w:rPr>
            <w:noProof/>
            <w:webHidden/>
          </w:rPr>
          <w:t>111</w:t>
        </w:r>
        <w:r w:rsidR="00CC779E">
          <w:rPr>
            <w:noProof/>
            <w:webHidden/>
          </w:rPr>
          <w:fldChar w:fldCharType="end"/>
        </w:r>
      </w:hyperlink>
    </w:p>
    <w:p w14:paraId="09BB8922" w14:textId="120215B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89" w:history="1">
        <w:r w:rsidR="00CC779E" w:rsidRPr="00D50C38">
          <w:rPr>
            <w:rStyle w:val="Hyperlink"/>
            <w:bCs/>
            <w:noProof/>
          </w:rPr>
          <w:t>Table 60: Secondary outcome for Trial 2: Summary of practice level adherence to QOF indicators related to the anticoagulation in atrial fibrillation indicators (WP4a)</w:t>
        </w:r>
        <w:r w:rsidR="00CC779E">
          <w:rPr>
            <w:noProof/>
            <w:webHidden/>
          </w:rPr>
          <w:tab/>
        </w:r>
        <w:r w:rsidR="00CC779E">
          <w:rPr>
            <w:noProof/>
            <w:webHidden/>
          </w:rPr>
          <w:fldChar w:fldCharType="begin"/>
        </w:r>
        <w:r w:rsidR="00CC779E">
          <w:rPr>
            <w:noProof/>
            <w:webHidden/>
          </w:rPr>
          <w:instrText xml:space="preserve"> PAGEREF _Toc19526789 \h </w:instrText>
        </w:r>
        <w:r w:rsidR="00CC779E">
          <w:rPr>
            <w:noProof/>
            <w:webHidden/>
          </w:rPr>
        </w:r>
        <w:r w:rsidR="00CC779E">
          <w:rPr>
            <w:noProof/>
            <w:webHidden/>
          </w:rPr>
          <w:fldChar w:fldCharType="separate"/>
        </w:r>
        <w:r w:rsidR="00CC779E">
          <w:rPr>
            <w:noProof/>
            <w:webHidden/>
          </w:rPr>
          <w:t>112</w:t>
        </w:r>
        <w:r w:rsidR="00CC779E">
          <w:rPr>
            <w:noProof/>
            <w:webHidden/>
          </w:rPr>
          <w:fldChar w:fldCharType="end"/>
        </w:r>
      </w:hyperlink>
    </w:p>
    <w:p w14:paraId="7A88818A" w14:textId="06DFB2A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0" w:history="1">
        <w:r w:rsidR="00CC779E" w:rsidRPr="00D50C38">
          <w:rPr>
            <w:rStyle w:val="Hyperlink"/>
            <w:bCs/>
            <w:noProof/>
          </w:rPr>
          <w:t>Table 61: Summary of practice-level adherence to non-trial related QOF indicators (WP4a)</w:t>
        </w:r>
        <w:r w:rsidR="00CC779E">
          <w:rPr>
            <w:noProof/>
            <w:webHidden/>
          </w:rPr>
          <w:tab/>
        </w:r>
        <w:r w:rsidR="00CC779E">
          <w:rPr>
            <w:noProof/>
            <w:webHidden/>
          </w:rPr>
          <w:fldChar w:fldCharType="begin"/>
        </w:r>
        <w:r w:rsidR="00CC779E">
          <w:rPr>
            <w:noProof/>
            <w:webHidden/>
          </w:rPr>
          <w:instrText xml:space="preserve"> PAGEREF _Toc19526790 \h </w:instrText>
        </w:r>
        <w:r w:rsidR="00CC779E">
          <w:rPr>
            <w:noProof/>
            <w:webHidden/>
          </w:rPr>
        </w:r>
        <w:r w:rsidR="00CC779E">
          <w:rPr>
            <w:noProof/>
            <w:webHidden/>
          </w:rPr>
          <w:fldChar w:fldCharType="separate"/>
        </w:r>
        <w:r w:rsidR="00CC779E">
          <w:rPr>
            <w:noProof/>
            <w:webHidden/>
          </w:rPr>
          <w:t>113</w:t>
        </w:r>
        <w:r w:rsidR="00CC779E">
          <w:rPr>
            <w:noProof/>
            <w:webHidden/>
          </w:rPr>
          <w:fldChar w:fldCharType="end"/>
        </w:r>
      </w:hyperlink>
    </w:p>
    <w:p w14:paraId="61DE8111" w14:textId="7246A754"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1" w:history="1">
        <w:r w:rsidR="00CC779E" w:rsidRPr="00D50C38">
          <w:rPr>
            <w:rStyle w:val="Hyperlink"/>
            <w:bCs/>
            <w:noProof/>
          </w:rPr>
          <w:t>Table 62: Secondary outcome for Trial 1. Achievement of QOF indicator, ‘The percentage of patients with diabetes, on the register, in whom the last blood pressure reading (measured in the preceding 12 months) is 150/90 mmHg or less’ (DM002; WP4a)</w:t>
        </w:r>
        <w:r w:rsidR="00CC779E">
          <w:rPr>
            <w:noProof/>
            <w:webHidden/>
          </w:rPr>
          <w:tab/>
        </w:r>
        <w:r w:rsidR="00CC779E">
          <w:rPr>
            <w:noProof/>
            <w:webHidden/>
          </w:rPr>
          <w:fldChar w:fldCharType="begin"/>
        </w:r>
        <w:r w:rsidR="00CC779E">
          <w:rPr>
            <w:noProof/>
            <w:webHidden/>
          </w:rPr>
          <w:instrText xml:space="preserve"> PAGEREF _Toc19526791 \h </w:instrText>
        </w:r>
        <w:r w:rsidR="00CC779E">
          <w:rPr>
            <w:noProof/>
            <w:webHidden/>
          </w:rPr>
        </w:r>
        <w:r w:rsidR="00CC779E">
          <w:rPr>
            <w:noProof/>
            <w:webHidden/>
          </w:rPr>
          <w:fldChar w:fldCharType="separate"/>
        </w:r>
        <w:r w:rsidR="00CC779E">
          <w:rPr>
            <w:noProof/>
            <w:webHidden/>
          </w:rPr>
          <w:t>116</w:t>
        </w:r>
        <w:r w:rsidR="00CC779E">
          <w:rPr>
            <w:noProof/>
            <w:webHidden/>
          </w:rPr>
          <w:fldChar w:fldCharType="end"/>
        </w:r>
      </w:hyperlink>
    </w:p>
    <w:p w14:paraId="300A65C8" w14:textId="7BDC30F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2" w:history="1">
        <w:r w:rsidR="00CC779E" w:rsidRPr="00D50C38">
          <w:rPr>
            <w:rStyle w:val="Hyperlink"/>
            <w:bCs/>
            <w:noProof/>
          </w:rPr>
          <w:t>Table 63: Secondary outcome for Trial 1. Achievement of QOF indicator, ‘The percentage of patients with diabetes, on the register, in whom the last blood pressure reading (measured in the preceding 12 months) is 140/80 mmHg or less’ (DM003; WP4a)</w:t>
        </w:r>
        <w:r w:rsidR="00CC779E">
          <w:rPr>
            <w:noProof/>
            <w:webHidden/>
          </w:rPr>
          <w:tab/>
        </w:r>
        <w:r w:rsidR="00CC779E">
          <w:rPr>
            <w:noProof/>
            <w:webHidden/>
          </w:rPr>
          <w:fldChar w:fldCharType="begin"/>
        </w:r>
        <w:r w:rsidR="00CC779E">
          <w:rPr>
            <w:noProof/>
            <w:webHidden/>
          </w:rPr>
          <w:instrText xml:space="preserve"> PAGEREF _Toc19526792 \h </w:instrText>
        </w:r>
        <w:r w:rsidR="00CC779E">
          <w:rPr>
            <w:noProof/>
            <w:webHidden/>
          </w:rPr>
        </w:r>
        <w:r w:rsidR="00CC779E">
          <w:rPr>
            <w:noProof/>
            <w:webHidden/>
          </w:rPr>
          <w:fldChar w:fldCharType="separate"/>
        </w:r>
        <w:r w:rsidR="00CC779E">
          <w:rPr>
            <w:noProof/>
            <w:webHidden/>
          </w:rPr>
          <w:t>118</w:t>
        </w:r>
        <w:r w:rsidR="00CC779E">
          <w:rPr>
            <w:noProof/>
            <w:webHidden/>
          </w:rPr>
          <w:fldChar w:fldCharType="end"/>
        </w:r>
      </w:hyperlink>
    </w:p>
    <w:p w14:paraId="19EF861F" w14:textId="4BE7831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3" w:history="1">
        <w:r w:rsidR="00CC779E" w:rsidRPr="00D50C38">
          <w:rPr>
            <w:rStyle w:val="Hyperlink"/>
            <w:bCs/>
            <w:noProof/>
          </w:rPr>
          <w:t>Table 64: Secondary outcome for Trial 1. Achievement of QOF indicator, ‘The percentage of patients with diabetes, on the register, whose last total cholesterol (measured within the preceding 12 months) is 5 mmol/l or less’ (DM004) (WP4a)</w:t>
        </w:r>
        <w:r w:rsidR="00CC779E">
          <w:rPr>
            <w:noProof/>
            <w:webHidden/>
          </w:rPr>
          <w:tab/>
        </w:r>
        <w:r w:rsidR="00CC779E">
          <w:rPr>
            <w:noProof/>
            <w:webHidden/>
          </w:rPr>
          <w:fldChar w:fldCharType="begin"/>
        </w:r>
        <w:r w:rsidR="00CC779E">
          <w:rPr>
            <w:noProof/>
            <w:webHidden/>
          </w:rPr>
          <w:instrText xml:space="preserve"> PAGEREF _Toc19526793 \h </w:instrText>
        </w:r>
        <w:r w:rsidR="00CC779E">
          <w:rPr>
            <w:noProof/>
            <w:webHidden/>
          </w:rPr>
        </w:r>
        <w:r w:rsidR="00CC779E">
          <w:rPr>
            <w:noProof/>
            <w:webHidden/>
          </w:rPr>
          <w:fldChar w:fldCharType="separate"/>
        </w:r>
        <w:r w:rsidR="00CC779E">
          <w:rPr>
            <w:noProof/>
            <w:webHidden/>
          </w:rPr>
          <w:t>120</w:t>
        </w:r>
        <w:r w:rsidR="00CC779E">
          <w:rPr>
            <w:noProof/>
            <w:webHidden/>
          </w:rPr>
          <w:fldChar w:fldCharType="end"/>
        </w:r>
      </w:hyperlink>
    </w:p>
    <w:p w14:paraId="14F90C49" w14:textId="500F29D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4" w:history="1">
        <w:r w:rsidR="00CC779E" w:rsidRPr="00D50C38">
          <w:rPr>
            <w:rStyle w:val="Hyperlink"/>
            <w:bCs/>
            <w:noProof/>
          </w:rPr>
          <w:t>Table 65: Secondary outcome for Trial 1. Achievement of QOF indicator, ‘The percentage of patients with diabetes, on the register, in whom the last IFCC-HbA1c (measured within the preceding 12 months) is 59 mmol/mol or less’ (DM007) (WP4a)</w:t>
        </w:r>
        <w:r w:rsidR="00CC779E">
          <w:rPr>
            <w:noProof/>
            <w:webHidden/>
          </w:rPr>
          <w:tab/>
        </w:r>
        <w:r w:rsidR="00CC779E">
          <w:rPr>
            <w:noProof/>
            <w:webHidden/>
          </w:rPr>
          <w:fldChar w:fldCharType="begin"/>
        </w:r>
        <w:r w:rsidR="00CC779E">
          <w:rPr>
            <w:noProof/>
            <w:webHidden/>
          </w:rPr>
          <w:instrText xml:space="preserve"> PAGEREF _Toc19526794 \h </w:instrText>
        </w:r>
        <w:r w:rsidR="00CC779E">
          <w:rPr>
            <w:noProof/>
            <w:webHidden/>
          </w:rPr>
        </w:r>
        <w:r w:rsidR="00CC779E">
          <w:rPr>
            <w:noProof/>
            <w:webHidden/>
          </w:rPr>
          <w:fldChar w:fldCharType="separate"/>
        </w:r>
        <w:r w:rsidR="00CC779E">
          <w:rPr>
            <w:noProof/>
            <w:webHidden/>
          </w:rPr>
          <w:t>122</w:t>
        </w:r>
        <w:r w:rsidR="00CC779E">
          <w:rPr>
            <w:noProof/>
            <w:webHidden/>
          </w:rPr>
          <w:fldChar w:fldCharType="end"/>
        </w:r>
      </w:hyperlink>
    </w:p>
    <w:p w14:paraId="315908C3" w14:textId="3173DF4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5" w:history="1">
        <w:r w:rsidR="00CC779E" w:rsidRPr="00D50C38">
          <w:rPr>
            <w:rStyle w:val="Hyperlink"/>
            <w:bCs/>
            <w:noProof/>
          </w:rPr>
          <w:t>Table 66: Secondary outcome for Trial 1. Achievement of QOF indicator, ‘The percentage of patients with diabetes, on the register, in whom the last measured IFCC-HbA1c (measured within the preceding 12 months) is 64 mmol/mol or less’ (DM008) (WP4a)</w:t>
        </w:r>
        <w:r w:rsidR="00CC779E">
          <w:rPr>
            <w:noProof/>
            <w:webHidden/>
          </w:rPr>
          <w:tab/>
        </w:r>
        <w:r w:rsidR="00CC779E">
          <w:rPr>
            <w:noProof/>
            <w:webHidden/>
          </w:rPr>
          <w:fldChar w:fldCharType="begin"/>
        </w:r>
        <w:r w:rsidR="00CC779E">
          <w:rPr>
            <w:noProof/>
            <w:webHidden/>
          </w:rPr>
          <w:instrText xml:space="preserve"> PAGEREF _Toc19526795 \h </w:instrText>
        </w:r>
        <w:r w:rsidR="00CC779E">
          <w:rPr>
            <w:noProof/>
            <w:webHidden/>
          </w:rPr>
        </w:r>
        <w:r w:rsidR="00CC779E">
          <w:rPr>
            <w:noProof/>
            <w:webHidden/>
          </w:rPr>
          <w:fldChar w:fldCharType="separate"/>
        </w:r>
        <w:r w:rsidR="00CC779E">
          <w:rPr>
            <w:noProof/>
            <w:webHidden/>
          </w:rPr>
          <w:t>124</w:t>
        </w:r>
        <w:r w:rsidR="00CC779E">
          <w:rPr>
            <w:noProof/>
            <w:webHidden/>
          </w:rPr>
          <w:fldChar w:fldCharType="end"/>
        </w:r>
      </w:hyperlink>
    </w:p>
    <w:p w14:paraId="3FB1FC2E" w14:textId="5245DE2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6" w:history="1">
        <w:r w:rsidR="00CC779E" w:rsidRPr="00D50C38">
          <w:rPr>
            <w:rStyle w:val="Hyperlink"/>
            <w:bCs/>
            <w:noProof/>
          </w:rPr>
          <w:t>Table 67: Secondary outcome for Trial 1. Achievement of QOF indicator, ‘The percentage of patients with diabetes, on the register, in whom the last measured IFCC-HbA1c (measured within the preceding 12 months) is 75 mmol/mol or less’ (DM009) (WP4a)</w:t>
        </w:r>
        <w:r w:rsidR="00CC779E">
          <w:rPr>
            <w:noProof/>
            <w:webHidden/>
          </w:rPr>
          <w:tab/>
        </w:r>
        <w:r w:rsidR="00CC779E">
          <w:rPr>
            <w:noProof/>
            <w:webHidden/>
          </w:rPr>
          <w:fldChar w:fldCharType="begin"/>
        </w:r>
        <w:r w:rsidR="00CC779E">
          <w:rPr>
            <w:noProof/>
            <w:webHidden/>
          </w:rPr>
          <w:instrText xml:space="preserve"> PAGEREF _Toc19526796 \h </w:instrText>
        </w:r>
        <w:r w:rsidR="00CC779E">
          <w:rPr>
            <w:noProof/>
            <w:webHidden/>
          </w:rPr>
        </w:r>
        <w:r w:rsidR="00CC779E">
          <w:rPr>
            <w:noProof/>
            <w:webHidden/>
          </w:rPr>
          <w:fldChar w:fldCharType="separate"/>
        </w:r>
        <w:r w:rsidR="00CC779E">
          <w:rPr>
            <w:noProof/>
            <w:webHidden/>
          </w:rPr>
          <w:t>126</w:t>
        </w:r>
        <w:r w:rsidR="00CC779E">
          <w:rPr>
            <w:noProof/>
            <w:webHidden/>
          </w:rPr>
          <w:fldChar w:fldCharType="end"/>
        </w:r>
      </w:hyperlink>
    </w:p>
    <w:p w14:paraId="2A24344C" w14:textId="763033BA"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7" w:history="1">
        <w:r w:rsidR="00CC779E" w:rsidRPr="00D50C38">
          <w:rPr>
            <w:rStyle w:val="Hyperlink"/>
            <w:bCs/>
            <w:noProof/>
          </w:rPr>
          <w:t>Table 68: Secondary outcome for Trial 1. Achievement of QOF indicator, ‘The percentage of patients with diabetes, on the register, with a record of a foot examination and risk classification within the preceding 12 months’ (DM0012) (WP4a)</w:t>
        </w:r>
        <w:r w:rsidR="00CC779E">
          <w:rPr>
            <w:noProof/>
            <w:webHidden/>
          </w:rPr>
          <w:tab/>
        </w:r>
        <w:r w:rsidR="00CC779E">
          <w:rPr>
            <w:noProof/>
            <w:webHidden/>
          </w:rPr>
          <w:fldChar w:fldCharType="begin"/>
        </w:r>
        <w:r w:rsidR="00CC779E">
          <w:rPr>
            <w:noProof/>
            <w:webHidden/>
          </w:rPr>
          <w:instrText xml:space="preserve"> PAGEREF _Toc19526797 \h </w:instrText>
        </w:r>
        <w:r w:rsidR="00CC779E">
          <w:rPr>
            <w:noProof/>
            <w:webHidden/>
          </w:rPr>
        </w:r>
        <w:r w:rsidR="00CC779E">
          <w:rPr>
            <w:noProof/>
            <w:webHidden/>
          </w:rPr>
          <w:fldChar w:fldCharType="separate"/>
        </w:r>
        <w:r w:rsidR="00CC779E">
          <w:rPr>
            <w:noProof/>
            <w:webHidden/>
          </w:rPr>
          <w:t>128</w:t>
        </w:r>
        <w:r w:rsidR="00CC779E">
          <w:rPr>
            <w:noProof/>
            <w:webHidden/>
          </w:rPr>
          <w:fldChar w:fldCharType="end"/>
        </w:r>
      </w:hyperlink>
    </w:p>
    <w:p w14:paraId="49F71B4E" w14:textId="458CA8F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8" w:history="1">
        <w:r w:rsidR="00CC779E" w:rsidRPr="00D50C38">
          <w:rPr>
            <w:rStyle w:val="Hyperlink"/>
            <w:bCs/>
            <w:noProof/>
          </w:rPr>
          <w:t>Table 69: Secondary outcome for Trial 2. Achievement of QOF indicator, ‘The percentage of patients with coronary heart disease in whom the last blood pressure reading (measured in the preceding 12 months) is 150/90 mmHg or less’ (CHD002) (WP4a)</w:t>
        </w:r>
        <w:r w:rsidR="00CC779E">
          <w:rPr>
            <w:noProof/>
            <w:webHidden/>
          </w:rPr>
          <w:tab/>
        </w:r>
        <w:r w:rsidR="00CC779E">
          <w:rPr>
            <w:noProof/>
            <w:webHidden/>
          </w:rPr>
          <w:fldChar w:fldCharType="begin"/>
        </w:r>
        <w:r w:rsidR="00CC779E">
          <w:rPr>
            <w:noProof/>
            <w:webHidden/>
          </w:rPr>
          <w:instrText xml:space="preserve"> PAGEREF _Toc19526798 \h </w:instrText>
        </w:r>
        <w:r w:rsidR="00CC779E">
          <w:rPr>
            <w:noProof/>
            <w:webHidden/>
          </w:rPr>
        </w:r>
        <w:r w:rsidR="00CC779E">
          <w:rPr>
            <w:noProof/>
            <w:webHidden/>
          </w:rPr>
          <w:fldChar w:fldCharType="separate"/>
        </w:r>
        <w:r w:rsidR="00CC779E">
          <w:rPr>
            <w:noProof/>
            <w:webHidden/>
          </w:rPr>
          <w:t>130</w:t>
        </w:r>
        <w:r w:rsidR="00CC779E">
          <w:rPr>
            <w:noProof/>
            <w:webHidden/>
          </w:rPr>
          <w:fldChar w:fldCharType="end"/>
        </w:r>
      </w:hyperlink>
    </w:p>
    <w:p w14:paraId="27DF550E" w14:textId="2E25C24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799" w:history="1">
        <w:r w:rsidR="00CC779E" w:rsidRPr="00D50C38">
          <w:rPr>
            <w:rStyle w:val="Hyperlink"/>
            <w:bCs/>
            <w:noProof/>
          </w:rPr>
          <w:t>Table 70: Secondary outcome for Trial 2. Achievement of QOF indicator, ‘The percentage of patients with hypertension in whom the last blood pressure reading (measured in the preceding 12 months) is 150/90 mmHg or less’ (HYP006) (WP4a)</w:t>
        </w:r>
        <w:r w:rsidR="00CC779E">
          <w:rPr>
            <w:noProof/>
            <w:webHidden/>
          </w:rPr>
          <w:tab/>
        </w:r>
        <w:r w:rsidR="00CC779E">
          <w:rPr>
            <w:noProof/>
            <w:webHidden/>
          </w:rPr>
          <w:fldChar w:fldCharType="begin"/>
        </w:r>
        <w:r w:rsidR="00CC779E">
          <w:rPr>
            <w:noProof/>
            <w:webHidden/>
          </w:rPr>
          <w:instrText xml:space="preserve"> PAGEREF _Toc19526799 \h </w:instrText>
        </w:r>
        <w:r w:rsidR="00CC779E">
          <w:rPr>
            <w:noProof/>
            <w:webHidden/>
          </w:rPr>
        </w:r>
        <w:r w:rsidR="00CC779E">
          <w:rPr>
            <w:noProof/>
            <w:webHidden/>
          </w:rPr>
          <w:fldChar w:fldCharType="separate"/>
        </w:r>
        <w:r w:rsidR="00CC779E">
          <w:rPr>
            <w:noProof/>
            <w:webHidden/>
          </w:rPr>
          <w:t>131</w:t>
        </w:r>
        <w:r w:rsidR="00CC779E">
          <w:rPr>
            <w:noProof/>
            <w:webHidden/>
          </w:rPr>
          <w:fldChar w:fldCharType="end"/>
        </w:r>
      </w:hyperlink>
    </w:p>
    <w:p w14:paraId="3DCECC22" w14:textId="5399AF7A"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0" w:history="1">
        <w:r w:rsidR="00CC779E" w:rsidRPr="00D50C38">
          <w:rPr>
            <w:rStyle w:val="Hyperlink"/>
            <w:bCs/>
            <w:noProof/>
          </w:rPr>
          <w:t>Table 71: Secondary outcome for Trial 2. Achievement of QOF indicator, ‘The percentage of patients with a history of stroke or transient ischemic attack in whom the last blood pressure reading (measured in the preceding 12 months) is 150/90 mmHg or less’ (STIA003) (WP4a)</w:t>
        </w:r>
        <w:r w:rsidR="00CC779E">
          <w:rPr>
            <w:noProof/>
            <w:webHidden/>
          </w:rPr>
          <w:tab/>
        </w:r>
        <w:r w:rsidR="00CC779E">
          <w:rPr>
            <w:noProof/>
            <w:webHidden/>
          </w:rPr>
          <w:fldChar w:fldCharType="begin"/>
        </w:r>
        <w:r w:rsidR="00CC779E">
          <w:rPr>
            <w:noProof/>
            <w:webHidden/>
          </w:rPr>
          <w:instrText xml:space="preserve"> PAGEREF _Toc19526800 \h </w:instrText>
        </w:r>
        <w:r w:rsidR="00CC779E">
          <w:rPr>
            <w:noProof/>
            <w:webHidden/>
          </w:rPr>
        </w:r>
        <w:r w:rsidR="00CC779E">
          <w:rPr>
            <w:noProof/>
            <w:webHidden/>
          </w:rPr>
          <w:fldChar w:fldCharType="separate"/>
        </w:r>
        <w:r w:rsidR="00CC779E">
          <w:rPr>
            <w:noProof/>
            <w:webHidden/>
          </w:rPr>
          <w:t>132</w:t>
        </w:r>
        <w:r w:rsidR="00CC779E">
          <w:rPr>
            <w:noProof/>
            <w:webHidden/>
          </w:rPr>
          <w:fldChar w:fldCharType="end"/>
        </w:r>
      </w:hyperlink>
    </w:p>
    <w:p w14:paraId="417A0A38" w14:textId="6AF10DE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1" w:history="1">
        <w:r w:rsidR="00CC779E" w:rsidRPr="00D50C38">
          <w:rPr>
            <w:rStyle w:val="Hyperlink"/>
            <w:bCs/>
            <w:noProof/>
          </w:rPr>
          <w:t>Table 72: Trial 1 practices comparison. Achievement of QOF indicator, ‘The percentage of patients with any or any combination of the following conditions: CHD, PAD, stroke or TIA, hypertension, diabetes, COPD, CKD, asthma, schizophrenia, bipolar affective disorder or other psychoses whose notes record smoking status in the preceding 12 months’ (SMOK002) (WP4a)</w:t>
        </w:r>
        <w:r w:rsidR="00CC779E">
          <w:rPr>
            <w:noProof/>
            <w:webHidden/>
          </w:rPr>
          <w:tab/>
        </w:r>
        <w:r w:rsidR="00CC779E">
          <w:rPr>
            <w:noProof/>
            <w:webHidden/>
          </w:rPr>
          <w:fldChar w:fldCharType="begin"/>
        </w:r>
        <w:r w:rsidR="00CC779E">
          <w:rPr>
            <w:noProof/>
            <w:webHidden/>
          </w:rPr>
          <w:instrText xml:space="preserve"> PAGEREF _Toc19526801 \h </w:instrText>
        </w:r>
        <w:r w:rsidR="00CC779E">
          <w:rPr>
            <w:noProof/>
            <w:webHidden/>
          </w:rPr>
        </w:r>
        <w:r w:rsidR="00CC779E">
          <w:rPr>
            <w:noProof/>
            <w:webHidden/>
          </w:rPr>
          <w:fldChar w:fldCharType="separate"/>
        </w:r>
        <w:r w:rsidR="00CC779E">
          <w:rPr>
            <w:noProof/>
            <w:webHidden/>
          </w:rPr>
          <w:t>133</w:t>
        </w:r>
        <w:r w:rsidR="00CC779E">
          <w:rPr>
            <w:noProof/>
            <w:webHidden/>
          </w:rPr>
          <w:fldChar w:fldCharType="end"/>
        </w:r>
      </w:hyperlink>
    </w:p>
    <w:p w14:paraId="01E6E655" w14:textId="3F19D29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2" w:history="1">
        <w:r w:rsidR="00CC779E" w:rsidRPr="00D50C38">
          <w:rPr>
            <w:rStyle w:val="Hyperlink"/>
            <w:bCs/>
            <w:noProof/>
          </w:rPr>
          <w:t>Table 73: Trial 2 practices comparison. Achievement of QOF indicator, ‘The percentage of patients with any or any combination of the following conditions: CHD, PAD, stroke or TIA, hypertension, diabetes, COPD, CKD, asthma, schizophrenia, bipolar affective disorder or other psychoses whose notes record smoking status in the preceding 12 months’ (SMOK002) (WP4a)</w:t>
        </w:r>
        <w:r w:rsidR="00CC779E">
          <w:rPr>
            <w:noProof/>
            <w:webHidden/>
          </w:rPr>
          <w:tab/>
        </w:r>
        <w:r w:rsidR="00CC779E">
          <w:rPr>
            <w:noProof/>
            <w:webHidden/>
          </w:rPr>
          <w:fldChar w:fldCharType="begin"/>
        </w:r>
        <w:r w:rsidR="00CC779E">
          <w:rPr>
            <w:noProof/>
            <w:webHidden/>
          </w:rPr>
          <w:instrText xml:space="preserve"> PAGEREF _Toc19526802 \h </w:instrText>
        </w:r>
        <w:r w:rsidR="00CC779E">
          <w:rPr>
            <w:noProof/>
            <w:webHidden/>
          </w:rPr>
        </w:r>
        <w:r w:rsidR="00CC779E">
          <w:rPr>
            <w:noProof/>
            <w:webHidden/>
          </w:rPr>
          <w:fldChar w:fldCharType="separate"/>
        </w:r>
        <w:r w:rsidR="00CC779E">
          <w:rPr>
            <w:noProof/>
            <w:webHidden/>
          </w:rPr>
          <w:t>135</w:t>
        </w:r>
        <w:r w:rsidR="00CC779E">
          <w:rPr>
            <w:noProof/>
            <w:webHidden/>
          </w:rPr>
          <w:fldChar w:fldCharType="end"/>
        </w:r>
      </w:hyperlink>
    </w:p>
    <w:p w14:paraId="121EF225" w14:textId="44131C3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3" w:history="1">
        <w:r w:rsidR="00CC779E" w:rsidRPr="00D50C38">
          <w:rPr>
            <w:rStyle w:val="Hyperlink"/>
            <w:bCs/>
            <w:noProof/>
          </w:rPr>
          <w:t>Table 74: Trial 1 practices comparison. Achievement of QOF indicator, ‘The percentage of patients with asthma, on the register, who have had an asthma review in the preceding 12 months that includes an assessment of asthma control using the 3 RCP questions’ (AST003) (WP4a)</w:t>
        </w:r>
        <w:r w:rsidR="00CC779E">
          <w:rPr>
            <w:noProof/>
            <w:webHidden/>
          </w:rPr>
          <w:tab/>
        </w:r>
        <w:r w:rsidR="00CC779E">
          <w:rPr>
            <w:noProof/>
            <w:webHidden/>
          </w:rPr>
          <w:fldChar w:fldCharType="begin"/>
        </w:r>
        <w:r w:rsidR="00CC779E">
          <w:rPr>
            <w:noProof/>
            <w:webHidden/>
          </w:rPr>
          <w:instrText xml:space="preserve"> PAGEREF _Toc19526803 \h </w:instrText>
        </w:r>
        <w:r w:rsidR="00CC779E">
          <w:rPr>
            <w:noProof/>
            <w:webHidden/>
          </w:rPr>
        </w:r>
        <w:r w:rsidR="00CC779E">
          <w:rPr>
            <w:noProof/>
            <w:webHidden/>
          </w:rPr>
          <w:fldChar w:fldCharType="separate"/>
        </w:r>
        <w:r w:rsidR="00CC779E">
          <w:rPr>
            <w:noProof/>
            <w:webHidden/>
          </w:rPr>
          <w:t>137</w:t>
        </w:r>
        <w:r w:rsidR="00CC779E">
          <w:rPr>
            <w:noProof/>
            <w:webHidden/>
          </w:rPr>
          <w:fldChar w:fldCharType="end"/>
        </w:r>
      </w:hyperlink>
    </w:p>
    <w:p w14:paraId="483C2FD0" w14:textId="0EAC345C"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4" w:history="1">
        <w:r w:rsidR="00CC779E" w:rsidRPr="00D50C38">
          <w:rPr>
            <w:rStyle w:val="Hyperlink"/>
            <w:bCs/>
            <w:noProof/>
          </w:rPr>
          <w:t>Table 75: Trial 2 practices comparison Achievement of QOF indicator, ‘The percentage of patients with asthma, on the register, who have had an asthma review in the preceding 12 months that includes an assessment of asthma control using the 3 RCP questions’ (AST003) (WP4a)</w:t>
        </w:r>
        <w:r w:rsidR="00CC779E">
          <w:rPr>
            <w:noProof/>
            <w:webHidden/>
          </w:rPr>
          <w:tab/>
        </w:r>
        <w:r w:rsidR="00CC779E">
          <w:rPr>
            <w:noProof/>
            <w:webHidden/>
          </w:rPr>
          <w:fldChar w:fldCharType="begin"/>
        </w:r>
        <w:r w:rsidR="00CC779E">
          <w:rPr>
            <w:noProof/>
            <w:webHidden/>
          </w:rPr>
          <w:instrText xml:space="preserve"> PAGEREF _Toc19526804 \h </w:instrText>
        </w:r>
        <w:r w:rsidR="00CC779E">
          <w:rPr>
            <w:noProof/>
            <w:webHidden/>
          </w:rPr>
        </w:r>
        <w:r w:rsidR="00CC779E">
          <w:rPr>
            <w:noProof/>
            <w:webHidden/>
          </w:rPr>
          <w:fldChar w:fldCharType="separate"/>
        </w:r>
        <w:r w:rsidR="00CC779E">
          <w:rPr>
            <w:noProof/>
            <w:webHidden/>
          </w:rPr>
          <w:t>139</w:t>
        </w:r>
        <w:r w:rsidR="00CC779E">
          <w:rPr>
            <w:noProof/>
            <w:webHidden/>
          </w:rPr>
          <w:fldChar w:fldCharType="end"/>
        </w:r>
      </w:hyperlink>
    </w:p>
    <w:p w14:paraId="48031C26" w14:textId="6BE135A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5" w:history="1">
        <w:r w:rsidR="00CC779E" w:rsidRPr="00D50C38">
          <w:rPr>
            <w:rStyle w:val="Hyperlink"/>
            <w:bCs/>
            <w:noProof/>
          </w:rPr>
          <w:t>Table 76: Reasons given by practices for declining an outreach visit (by trial arm) (WP5)</w:t>
        </w:r>
        <w:r w:rsidR="00CC779E">
          <w:rPr>
            <w:noProof/>
            <w:webHidden/>
          </w:rPr>
          <w:tab/>
        </w:r>
        <w:r w:rsidR="00CC779E">
          <w:rPr>
            <w:noProof/>
            <w:webHidden/>
          </w:rPr>
          <w:fldChar w:fldCharType="begin"/>
        </w:r>
        <w:r w:rsidR="00CC779E">
          <w:rPr>
            <w:noProof/>
            <w:webHidden/>
          </w:rPr>
          <w:instrText xml:space="preserve"> PAGEREF _Toc19526805 \h </w:instrText>
        </w:r>
        <w:r w:rsidR="00CC779E">
          <w:rPr>
            <w:noProof/>
            <w:webHidden/>
          </w:rPr>
        </w:r>
        <w:r w:rsidR="00CC779E">
          <w:rPr>
            <w:noProof/>
            <w:webHidden/>
          </w:rPr>
          <w:fldChar w:fldCharType="separate"/>
        </w:r>
        <w:r w:rsidR="00CC779E">
          <w:rPr>
            <w:noProof/>
            <w:webHidden/>
          </w:rPr>
          <w:t>140</w:t>
        </w:r>
        <w:r w:rsidR="00CC779E">
          <w:rPr>
            <w:noProof/>
            <w:webHidden/>
          </w:rPr>
          <w:fldChar w:fldCharType="end"/>
        </w:r>
      </w:hyperlink>
    </w:p>
    <w:p w14:paraId="3A5BB2A0" w14:textId="3EE30C9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6" w:history="1">
        <w:r w:rsidR="00CC779E" w:rsidRPr="00D50C38">
          <w:rPr>
            <w:rStyle w:val="Hyperlink"/>
            <w:bCs/>
            <w:noProof/>
          </w:rPr>
          <w:t>Table 77: Length of outreach visits (by trial arm) (WP5)</w:t>
        </w:r>
        <w:r w:rsidR="00CC779E">
          <w:rPr>
            <w:noProof/>
            <w:webHidden/>
          </w:rPr>
          <w:tab/>
        </w:r>
        <w:r w:rsidR="00CC779E">
          <w:rPr>
            <w:noProof/>
            <w:webHidden/>
          </w:rPr>
          <w:fldChar w:fldCharType="begin"/>
        </w:r>
        <w:r w:rsidR="00CC779E">
          <w:rPr>
            <w:noProof/>
            <w:webHidden/>
          </w:rPr>
          <w:instrText xml:space="preserve"> PAGEREF _Toc19526806 \h </w:instrText>
        </w:r>
        <w:r w:rsidR="00CC779E">
          <w:rPr>
            <w:noProof/>
            <w:webHidden/>
          </w:rPr>
        </w:r>
        <w:r w:rsidR="00CC779E">
          <w:rPr>
            <w:noProof/>
            <w:webHidden/>
          </w:rPr>
          <w:fldChar w:fldCharType="separate"/>
        </w:r>
        <w:r w:rsidR="00CC779E">
          <w:rPr>
            <w:noProof/>
            <w:webHidden/>
          </w:rPr>
          <w:t>141</w:t>
        </w:r>
        <w:r w:rsidR="00CC779E">
          <w:rPr>
            <w:noProof/>
            <w:webHidden/>
          </w:rPr>
          <w:fldChar w:fldCharType="end"/>
        </w:r>
      </w:hyperlink>
    </w:p>
    <w:p w14:paraId="6AE06F47" w14:textId="4B8F78C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7" w:history="1">
        <w:r w:rsidR="00CC779E" w:rsidRPr="00D50C38">
          <w:rPr>
            <w:rStyle w:val="Hyperlink"/>
            <w:bCs/>
            <w:noProof/>
          </w:rPr>
          <w:t>Table 78: Number of practice staff attending outreach visits (by trial arm) (WP5)</w:t>
        </w:r>
        <w:r w:rsidR="00CC779E">
          <w:rPr>
            <w:noProof/>
            <w:webHidden/>
          </w:rPr>
          <w:tab/>
        </w:r>
        <w:r w:rsidR="00CC779E">
          <w:rPr>
            <w:noProof/>
            <w:webHidden/>
          </w:rPr>
          <w:fldChar w:fldCharType="begin"/>
        </w:r>
        <w:r w:rsidR="00CC779E">
          <w:rPr>
            <w:noProof/>
            <w:webHidden/>
          </w:rPr>
          <w:instrText xml:space="preserve"> PAGEREF _Toc19526807 \h </w:instrText>
        </w:r>
        <w:r w:rsidR="00CC779E">
          <w:rPr>
            <w:noProof/>
            <w:webHidden/>
          </w:rPr>
        </w:r>
        <w:r w:rsidR="00CC779E">
          <w:rPr>
            <w:noProof/>
            <w:webHidden/>
          </w:rPr>
          <w:fldChar w:fldCharType="separate"/>
        </w:r>
        <w:r w:rsidR="00CC779E">
          <w:rPr>
            <w:noProof/>
            <w:webHidden/>
          </w:rPr>
          <w:t>142</w:t>
        </w:r>
        <w:r w:rsidR="00CC779E">
          <w:rPr>
            <w:noProof/>
            <w:webHidden/>
          </w:rPr>
          <w:fldChar w:fldCharType="end"/>
        </w:r>
      </w:hyperlink>
    </w:p>
    <w:p w14:paraId="3F19D7C0" w14:textId="44C4702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8" w:history="1">
        <w:r w:rsidR="00CC779E" w:rsidRPr="00D50C38">
          <w:rPr>
            <w:rStyle w:val="Hyperlink"/>
            <w:bCs/>
            <w:noProof/>
          </w:rPr>
          <w:t>Table 79: Number of practices with clinical topic key leaders present at outreach visit 1 (by trial arm) (WP5)</w:t>
        </w:r>
        <w:r w:rsidR="00CC779E">
          <w:rPr>
            <w:noProof/>
            <w:webHidden/>
          </w:rPr>
          <w:tab/>
        </w:r>
        <w:r w:rsidR="00CC779E">
          <w:rPr>
            <w:noProof/>
            <w:webHidden/>
          </w:rPr>
          <w:fldChar w:fldCharType="begin"/>
        </w:r>
        <w:r w:rsidR="00CC779E">
          <w:rPr>
            <w:noProof/>
            <w:webHidden/>
          </w:rPr>
          <w:instrText xml:space="preserve"> PAGEREF _Toc19526808 \h </w:instrText>
        </w:r>
        <w:r w:rsidR="00CC779E">
          <w:rPr>
            <w:noProof/>
            <w:webHidden/>
          </w:rPr>
        </w:r>
        <w:r w:rsidR="00CC779E">
          <w:rPr>
            <w:noProof/>
            <w:webHidden/>
          </w:rPr>
          <w:fldChar w:fldCharType="separate"/>
        </w:r>
        <w:r w:rsidR="00CC779E">
          <w:rPr>
            <w:noProof/>
            <w:webHidden/>
          </w:rPr>
          <w:t>143</w:t>
        </w:r>
        <w:r w:rsidR="00CC779E">
          <w:rPr>
            <w:noProof/>
            <w:webHidden/>
          </w:rPr>
          <w:fldChar w:fldCharType="end"/>
        </w:r>
      </w:hyperlink>
    </w:p>
    <w:p w14:paraId="5D76BC63" w14:textId="2E8857A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09" w:history="1">
        <w:r w:rsidR="00CC779E" w:rsidRPr="00D50C38">
          <w:rPr>
            <w:rStyle w:val="Hyperlink"/>
            <w:bCs/>
            <w:noProof/>
          </w:rPr>
          <w:t>Table 80: Number of practices with clinical topic key leaders present at outreach visit 2 (by trial arm) (WP5)</w:t>
        </w:r>
        <w:r w:rsidR="00CC779E">
          <w:rPr>
            <w:noProof/>
            <w:webHidden/>
          </w:rPr>
          <w:tab/>
        </w:r>
        <w:r w:rsidR="00CC779E">
          <w:rPr>
            <w:noProof/>
            <w:webHidden/>
          </w:rPr>
          <w:fldChar w:fldCharType="begin"/>
        </w:r>
        <w:r w:rsidR="00CC779E">
          <w:rPr>
            <w:noProof/>
            <w:webHidden/>
          </w:rPr>
          <w:instrText xml:space="preserve"> PAGEREF _Toc19526809 \h </w:instrText>
        </w:r>
        <w:r w:rsidR="00CC779E">
          <w:rPr>
            <w:noProof/>
            <w:webHidden/>
          </w:rPr>
        </w:r>
        <w:r w:rsidR="00CC779E">
          <w:rPr>
            <w:noProof/>
            <w:webHidden/>
          </w:rPr>
          <w:fldChar w:fldCharType="separate"/>
        </w:r>
        <w:r w:rsidR="00CC779E">
          <w:rPr>
            <w:noProof/>
            <w:webHidden/>
          </w:rPr>
          <w:t>144</w:t>
        </w:r>
        <w:r w:rsidR="00CC779E">
          <w:rPr>
            <w:noProof/>
            <w:webHidden/>
          </w:rPr>
          <w:fldChar w:fldCharType="end"/>
        </w:r>
      </w:hyperlink>
    </w:p>
    <w:p w14:paraId="2F26016D" w14:textId="369C918A"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0" w:history="1">
        <w:r w:rsidR="00CC779E" w:rsidRPr="00D50C38">
          <w:rPr>
            <w:rStyle w:val="Hyperlink"/>
            <w:bCs/>
            <w:noProof/>
          </w:rPr>
          <w:t>Table 81: Number of practices developing action plans following receipt of outreach visit 2 (by trial arm) (WP5)</w:t>
        </w:r>
        <w:r w:rsidR="00CC779E">
          <w:rPr>
            <w:noProof/>
            <w:webHidden/>
          </w:rPr>
          <w:tab/>
        </w:r>
        <w:r w:rsidR="00CC779E">
          <w:rPr>
            <w:noProof/>
            <w:webHidden/>
          </w:rPr>
          <w:fldChar w:fldCharType="begin"/>
        </w:r>
        <w:r w:rsidR="00CC779E">
          <w:rPr>
            <w:noProof/>
            <w:webHidden/>
          </w:rPr>
          <w:instrText xml:space="preserve"> PAGEREF _Toc19526810 \h </w:instrText>
        </w:r>
        <w:r w:rsidR="00CC779E">
          <w:rPr>
            <w:noProof/>
            <w:webHidden/>
          </w:rPr>
        </w:r>
        <w:r w:rsidR="00CC779E">
          <w:rPr>
            <w:noProof/>
            <w:webHidden/>
          </w:rPr>
          <w:fldChar w:fldCharType="separate"/>
        </w:r>
        <w:r w:rsidR="00CC779E">
          <w:rPr>
            <w:noProof/>
            <w:webHidden/>
          </w:rPr>
          <w:t>144</w:t>
        </w:r>
        <w:r w:rsidR="00CC779E">
          <w:rPr>
            <w:noProof/>
            <w:webHidden/>
          </w:rPr>
          <w:fldChar w:fldCharType="end"/>
        </w:r>
      </w:hyperlink>
    </w:p>
    <w:p w14:paraId="601175CF" w14:textId="1622CCB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1" w:history="1">
        <w:r w:rsidR="00CC779E" w:rsidRPr="00D50C38">
          <w:rPr>
            <w:rStyle w:val="Hyperlink"/>
            <w:bCs/>
            <w:noProof/>
          </w:rPr>
          <w:t>Table 82: Number of practices that joined the organisational groups (by trial arm) (WP5)</w:t>
        </w:r>
        <w:r w:rsidR="00CC779E">
          <w:rPr>
            <w:noProof/>
            <w:webHidden/>
          </w:rPr>
          <w:tab/>
        </w:r>
        <w:r w:rsidR="00CC779E">
          <w:rPr>
            <w:noProof/>
            <w:webHidden/>
          </w:rPr>
          <w:fldChar w:fldCharType="begin"/>
        </w:r>
        <w:r w:rsidR="00CC779E">
          <w:rPr>
            <w:noProof/>
            <w:webHidden/>
          </w:rPr>
          <w:instrText xml:space="preserve"> PAGEREF _Toc19526811 \h </w:instrText>
        </w:r>
        <w:r w:rsidR="00CC779E">
          <w:rPr>
            <w:noProof/>
            <w:webHidden/>
          </w:rPr>
        </w:r>
        <w:r w:rsidR="00CC779E">
          <w:rPr>
            <w:noProof/>
            <w:webHidden/>
          </w:rPr>
          <w:fldChar w:fldCharType="separate"/>
        </w:r>
        <w:r w:rsidR="00CC779E">
          <w:rPr>
            <w:noProof/>
            <w:webHidden/>
          </w:rPr>
          <w:t>144</w:t>
        </w:r>
        <w:r w:rsidR="00CC779E">
          <w:rPr>
            <w:noProof/>
            <w:webHidden/>
          </w:rPr>
          <w:fldChar w:fldCharType="end"/>
        </w:r>
      </w:hyperlink>
    </w:p>
    <w:p w14:paraId="18E15D6B" w14:textId="3D2F042D"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2" w:history="1">
        <w:r w:rsidR="00CC779E" w:rsidRPr="00D50C38">
          <w:rPr>
            <w:rStyle w:val="Hyperlink"/>
            <w:bCs/>
            <w:noProof/>
          </w:rPr>
          <w:t>Table 83: Number of practices participating in other quality improvement initiatives (by trial arm) (WP5)</w:t>
        </w:r>
        <w:r w:rsidR="00CC779E">
          <w:rPr>
            <w:noProof/>
            <w:webHidden/>
          </w:rPr>
          <w:tab/>
        </w:r>
        <w:r w:rsidR="00CC779E">
          <w:rPr>
            <w:noProof/>
            <w:webHidden/>
          </w:rPr>
          <w:fldChar w:fldCharType="begin"/>
        </w:r>
        <w:r w:rsidR="00CC779E">
          <w:rPr>
            <w:noProof/>
            <w:webHidden/>
          </w:rPr>
          <w:instrText xml:space="preserve"> PAGEREF _Toc19526812 \h </w:instrText>
        </w:r>
        <w:r w:rsidR="00CC779E">
          <w:rPr>
            <w:noProof/>
            <w:webHidden/>
          </w:rPr>
        </w:r>
        <w:r w:rsidR="00CC779E">
          <w:rPr>
            <w:noProof/>
            <w:webHidden/>
          </w:rPr>
          <w:fldChar w:fldCharType="separate"/>
        </w:r>
        <w:r w:rsidR="00CC779E">
          <w:rPr>
            <w:noProof/>
            <w:webHidden/>
          </w:rPr>
          <w:t>146</w:t>
        </w:r>
        <w:r w:rsidR="00CC779E">
          <w:rPr>
            <w:noProof/>
            <w:webHidden/>
          </w:rPr>
          <w:fldChar w:fldCharType="end"/>
        </w:r>
      </w:hyperlink>
    </w:p>
    <w:p w14:paraId="18C995D5" w14:textId="1864BA8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3" w:history="1">
        <w:r w:rsidR="00CC779E" w:rsidRPr="00D50C38">
          <w:rPr>
            <w:rStyle w:val="Hyperlink"/>
            <w:bCs/>
            <w:noProof/>
          </w:rPr>
          <w:t>Table 84: Other quality improvement initiatives identified by participating practices (WP5)</w:t>
        </w:r>
        <w:r w:rsidR="00CC779E">
          <w:rPr>
            <w:noProof/>
            <w:webHidden/>
          </w:rPr>
          <w:tab/>
        </w:r>
        <w:r w:rsidR="00CC779E">
          <w:rPr>
            <w:noProof/>
            <w:webHidden/>
          </w:rPr>
          <w:fldChar w:fldCharType="begin"/>
        </w:r>
        <w:r w:rsidR="00CC779E">
          <w:rPr>
            <w:noProof/>
            <w:webHidden/>
          </w:rPr>
          <w:instrText xml:space="preserve"> PAGEREF _Toc19526813 \h </w:instrText>
        </w:r>
        <w:r w:rsidR="00CC779E">
          <w:rPr>
            <w:noProof/>
            <w:webHidden/>
          </w:rPr>
        </w:r>
        <w:r w:rsidR="00CC779E">
          <w:rPr>
            <w:noProof/>
            <w:webHidden/>
          </w:rPr>
          <w:fldChar w:fldCharType="separate"/>
        </w:r>
        <w:r w:rsidR="00CC779E">
          <w:rPr>
            <w:noProof/>
            <w:webHidden/>
          </w:rPr>
          <w:t>147</w:t>
        </w:r>
        <w:r w:rsidR="00CC779E">
          <w:rPr>
            <w:noProof/>
            <w:webHidden/>
          </w:rPr>
          <w:fldChar w:fldCharType="end"/>
        </w:r>
      </w:hyperlink>
    </w:p>
    <w:p w14:paraId="0885DC8E" w14:textId="5C54FBA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4" w:history="1">
        <w:r w:rsidR="00CC779E" w:rsidRPr="00D50C38">
          <w:rPr>
            <w:rStyle w:val="Hyperlink"/>
            <w:noProof/>
          </w:rPr>
          <w:t>Table 85: Characteristics of process evaluation practices by trial (WP5)</w:t>
        </w:r>
        <w:r w:rsidR="00CC779E">
          <w:rPr>
            <w:noProof/>
            <w:webHidden/>
          </w:rPr>
          <w:tab/>
        </w:r>
        <w:r w:rsidR="00CC779E">
          <w:rPr>
            <w:noProof/>
            <w:webHidden/>
          </w:rPr>
          <w:fldChar w:fldCharType="begin"/>
        </w:r>
        <w:r w:rsidR="00CC779E">
          <w:rPr>
            <w:noProof/>
            <w:webHidden/>
          </w:rPr>
          <w:instrText xml:space="preserve"> PAGEREF _Toc19526814 \h </w:instrText>
        </w:r>
        <w:r w:rsidR="00CC779E">
          <w:rPr>
            <w:noProof/>
            <w:webHidden/>
          </w:rPr>
        </w:r>
        <w:r w:rsidR="00CC779E">
          <w:rPr>
            <w:noProof/>
            <w:webHidden/>
          </w:rPr>
          <w:fldChar w:fldCharType="separate"/>
        </w:r>
        <w:r w:rsidR="00CC779E">
          <w:rPr>
            <w:noProof/>
            <w:webHidden/>
          </w:rPr>
          <w:t>147</w:t>
        </w:r>
        <w:r w:rsidR="00CC779E">
          <w:rPr>
            <w:noProof/>
            <w:webHidden/>
          </w:rPr>
          <w:fldChar w:fldCharType="end"/>
        </w:r>
      </w:hyperlink>
    </w:p>
    <w:p w14:paraId="126AF4B4" w14:textId="753B2095"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5" w:history="1">
        <w:r w:rsidR="00CC779E" w:rsidRPr="00D50C38">
          <w:rPr>
            <w:rStyle w:val="Hyperlink"/>
            <w:noProof/>
          </w:rPr>
          <w:t>Table 86: Characteristics of process evaluation practices by indicator (WP5)</w:t>
        </w:r>
        <w:r w:rsidR="00CC779E">
          <w:rPr>
            <w:noProof/>
            <w:webHidden/>
          </w:rPr>
          <w:tab/>
        </w:r>
        <w:r w:rsidR="00CC779E">
          <w:rPr>
            <w:noProof/>
            <w:webHidden/>
          </w:rPr>
          <w:fldChar w:fldCharType="begin"/>
        </w:r>
        <w:r w:rsidR="00CC779E">
          <w:rPr>
            <w:noProof/>
            <w:webHidden/>
          </w:rPr>
          <w:instrText xml:space="preserve"> PAGEREF _Toc19526815 \h </w:instrText>
        </w:r>
        <w:r w:rsidR="00CC779E">
          <w:rPr>
            <w:noProof/>
            <w:webHidden/>
          </w:rPr>
        </w:r>
        <w:r w:rsidR="00CC779E">
          <w:rPr>
            <w:noProof/>
            <w:webHidden/>
          </w:rPr>
          <w:fldChar w:fldCharType="separate"/>
        </w:r>
        <w:r w:rsidR="00CC779E">
          <w:rPr>
            <w:noProof/>
            <w:webHidden/>
          </w:rPr>
          <w:t>149</w:t>
        </w:r>
        <w:r w:rsidR="00CC779E">
          <w:rPr>
            <w:noProof/>
            <w:webHidden/>
          </w:rPr>
          <w:fldChar w:fldCharType="end"/>
        </w:r>
      </w:hyperlink>
    </w:p>
    <w:p w14:paraId="2C3A4AF3" w14:textId="4E96C4D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6" w:history="1">
        <w:r w:rsidR="00CC779E" w:rsidRPr="00D50C38">
          <w:rPr>
            <w:rStyle w:val="Hyperlink"/>
            <w:noProof/>
          </w:rPr>
          <w:t>Table 87: Baseline risks associated with NSAIDs (risky prescribing model) (WP4b)</w:t>
        </w:r>
        <w:r w:rsidR="00CC779E">
          <w:rPr>
            <w:noProof/>
            <w:webHidden/>
          </w:rPr>
          <w:tab/>
        </w:r>
        <w:r w:rsidR="00CC779E">
          <w:rPr>
            <w:noProof/>
            <w:webHidden/>
          </w:rPr>
          <w:fldChar w:fldCharType="begin"/>
        </w:r>
        <w:r w:rsidR="00CC779E">
          <w:rPr>
            <w:noProof/>
            <w:webHidden/>
          </w:rPr>
          <w:instrText xml:space="preserve"> PAGEREF _Toc19526816 \h </w:instrText>
        </w:r>
        <w:r w:rsidR="00CC779E">
          <w:rPr>
            <w:noProof/>
            <w:webHidden/>
          </w:rPr>
        </w:r>
        <w:r w:rsidR="00CC779E">
          <w:rPr>
            <w:noProof/>
            <w:webHidden/>
          </w:rPr>
          <w:fldChar w:fldCharType="separate"/>
        </w:r>
        <w:r w:rsidR="00CC779E">
          <w:rPr>
            <w:noProof/>
            <w:webHidden/>
          </w:rPr>
          <w:t>150</w:t>
        </w:r>
        <w:r w:rsidR="00CC779E">
          <w:rPr>
            <w:noProof/>
            <w:webHidden/>
          </w:rPr>
          <w:fldChar w:fldCharType="end"/>
        </w:r>
      </w:hyperlink>
    </w:p>
    <w:p w14:paraId="535A1089" w14:textId="00FE6D7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7" w:history="1">
        <w:r w:rsidR="00CC779E" w:rsidRPr="00D50C38">
          <w:rPr>
            <w:rStyle w:val="Hyperlink"/>
            <w:noProof/>
          </w:rPr>
          <w:t>Table 88: Risky prescribing model - risks ratios of adverse events</w:t>
        </w:r>
        <w:r w:rsidR="00CC779E">
          <w:rPr>
            <w:noProof/>
            <w:webHidden/>
          </w:rPr>
          <w:tab/>
        </w:r>
        <w:r w:rsidR="00CC779E">
          <w:rPr>
            <w:noProof/>
            <w:webHidden/>
          </w:rPr>
          <w:fldChar w:fldCharType="begin"/>
        </w:r>
        <w:r w:rsidR="00CC779E">
          <w:rPr>
            <w:noProof/>
            <w:webHidden/>
          </w:rPr>
          <w:instrText xml:space="preserve"> PAGEREF _Toc19526817 \h </w:instrText>
        </w:r>
        <w:r w:rsidR="00CC779E">
          <w:rPr>
            <w:noProof/>
            <w:webHidden/>
          </w:rPr>
        </w:r>
        <w:r w:rsidR="00CC779E">
          <w:rPr>
            <w:noProof/>
            <w:webHidden/>
          </w:rPr>
          <w:fldChar w:fldCharType="separate"/>
        </w:r>
        <w:r w:rsidR="00CC779E">
          <w:rPr>
            <w:noProof/>
            <w:webHidden/>
          </w:rPr>
          <w:t>151</w:t>
        </w:r>
        <w:r w:rsidR="00CC779E">
          <w:rPr>
            <w:noProof/>
            <w:webHidden/>
          </w:rPr>
          <w:fldChar w:fldCharType="end"/>
        </w:r>
      </w:hyperlink>
    </w:p>
    <w:p w14:paraId="413943D1" w14:textId="26931CB1"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8" w:history="1">
        <w:r w:rsidR="00CC779E" w:rsidRPr="00D50C38">
          <w:rPr>
            <w:rStyle w:val="Hyperlink"/>
            <w:noProof/>
          </w:rPr>
          <w:t>Table 89</w:t>
        </w:r>
        <w:r w:rsidR="00CC779E" w:rsidRPr="00D50C38">
          <w:rPr>
            <w:rStyle w:val="Hyperlink"/>
            <w:noProof/>
            <w:lang w:val="en-US"/>
          </w:rPr>
          <w:t>: Risky prescribing model - effectiveness parameters</w:t>
        </w:r>
        <w:r w:rsidR="00CC779E">
          <w:rPr>
            <w:noProof/>
            <w:webHidden/>
          </w:rPr>
          <w:tab/>
        </w:r>
        <w:r w:rsidR="00CC779E">
          <w:rPr>
            <w:noProof/>
            <w:webHidden/>
          </w:rPr>
          <w:fldChar w:fldCharType="begin"/>
        </w:r>
        <w:r w:rsidR="00CC779E">
          <w:rPr>
            <w:noProof/>
            <w:webHidden/>
          </w:rPr>
          <w:instrText xml:space="preserve"> PAGEREF _Toc19526818 \h </w:instrText>
        </w:r>
        <w:r w:rsidR="00CC779E">
          <w:rPr>
            <w:noProof/>
            <w:webHidden/>
          </w:rPr>
        </w:r>
        <w:r w:rsidR="00CC779E">
          <w:rPr>
            <w:noProof/>
            <w:webHidden/>
          </w:rPr>
          <w:fldChar w:fldCharType="separate"/>
        </w:r>
        <w:r w:rsidR="00CC779E">
          <w:rPr>
            <w:noProof/>
            <w:webHidden/>
          </w:rPr>
          <w:t>152</w:t>
        </w:r>
        <w:r w:rsidR="00CC779E">
          <w:rPr>
            <w:noProof/>
            <w:webHidden/>
          </w:rPr>
          <w:fldChar w:fldCharType="end"/>
        </w:r>
      </w:hyperlink>
    </w:p>
    <w:p w14:paraId="4CEB7FEB" w14:textId="7E90C520"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19" w:history="1">
        <w:r w:rsidR="00CC779E" w:rsidRPr="00D50C38">
          <w:rPr>
            <w:rStyle w:val="Hyperlink"/>
            <w:noProof/>
          </w:rPr>
          <w:t>Table 90: Risky prescribing model - three month costs</w:t>
        </w:r>
        <w:r w:rsidR="00CC779E">
          <w:rPr>
            <w:noProof/>
            <w:webHidden/>
          </w:rPr>
          <w:tab/>
        </w:r>
        <w:r w:rsidR="00CC779E">
          <w:rPr>
            <w:noProof/>
            <w:webHidden/>
          </w:rPr>
          <w:fldChar w:fldCharType="begin"/>
        </w:r>
        <w:r w:rsidR="00CC779E">
          <w:rPr>
            <w:noProof/>
            <w:webHidden/>
          </w:rPr>
          <w:instrText xml:space="preserve"> PAGEREF _Toc19526819 \h </w:instrText>
        </w:r>
        <w:r w:rsidR="00CC779E">
          <w:rPr>
            <w:noProof/>
            <w:webHidden/>
          </w:rPr>
        </w:r>
        <w:r w:rsidR="00CC779E">
          <w:rPr>
            <w:noProof/>
            <w:webHidden/>
          </w:rPr>
          <w:fldChar w:fldCharType="separate"/>
        </w:r>
        <w:r w:rsidR="00CC779E">
          <w:rPr>
            <w:noProof/>
            <w:webHidden/>
          </w:rPr>
          <w:t>153</w:t>
        </w:r>
        <w:r w:rsidR="00CC779E">
          <w:rPr>
            <w:noProof/>
            <w:webHidden/>
          </w:rPr>
          <w:fldChar w:fldCharType="end"/>
        </w:r>
      </w:hyperlink>
    </w:p>
    <w:p w14:paraId="01972FCB" w14:textId="5C8C16FF"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0" w:history="1">
        <w:r w:rsidR="00CC779E" w:rsidRPr="00D50C38">
          <w:rPr>
            <w:rStyle w:val="Hyperlink"/>
            <w:noProof/>
          </w:rPr>
          <w:t>Table 91: Risky prescribing model – Utility parameter multipliers</w:t>
        </w:r>
        <w:r w:rsidR="00CC779E">
          <w:rPr>
            <w:noProof/>
            <w:webHidden/>
          </w:rPr>
          <w:tab/>
        </w:r>
        <w:r w:rsidR="00CC779E">
          <w:rPr>
            <w:noProof/>
            <w:webHidden/>
          </w:rPr>
          <w:fldChar w:fldCharType="begin"/>
        </w:r>
        <w:r w:rsidR="00CC779E">
          <w:rPr>
            <w:noProof/>
            <w:webHidden/>
          </w:rPr>
          <w:instrText xml:space="preserve"> PAGEREF _Toc19526820 \h </w:instrText>
        </w:r>
        <w:r w:rsidR="00CC779E">
          <w:rPr>
            <w:noProof/>
            <w:webHidden/>
          </w:rPr>
        </w:r>
        <w:r w:rsidR="00CC779E">
          <w:rPr>
            <w:noProof/>
            <w:webHidden/>
          </w:rPr>
          <w:fldChar w:fldCharType="separate"/>
        </w:r>
        <w:r w:rsidR="00CC779E">
          <w:rPr>
            <w:noProof/>
            <w:webHidden/>
          </w:rPr>
          <w:t>154</w:t>
        </w:r>
        <w:r w:rsidR="00CC779E">
          <w:rPr>
            <w:noProof/>
            <w:webHidden/>
          </w:rPr>
          <w:fldChar w:fldCharType="end"/>
        </w:r>
      </w:hyperlink>
    </w:p>
    <w:p w14:paraId="201134EC" w14:textId="5CE6980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1" w:history="1">
        <w:r w:rsidR="00CC779E" w:rsidRPr="00D50C38">
          <w:rPr>
            <w:rStyle w:val="Hyperlink"/>
            <w:noProof/>
          </w:rPr>
          <w:t>Table 92: Risky prescribing CKD model – probabilities and risk parameters</w:t>
        </w:r>
        <w:r w:rsidR="00CC779E">
          <w:rPr>
            <w:noProof/>
            <w:webHidden/>
          </w:rPr>
          <w:tab/>
        </w:r>
        <w:r w:rsidR="00CC779E">
          <w:rPr>
            <w:noProof/>
            <w:webHidden/>
          </w:rPr>
          <w:fldChar w:fldCharType="begin"/>
        </w:r>
        <w:r w:rsidR="00CC779E">
          <w:rPr>
            <w:noProof/>
            <w:webHidden/>
          </w:rPr>
          <w:instrText xml:space="preserve"> PAGEREF _Toc19526821 \h </w:instrText>
        </w:r>
        <w:r w:rsidR="00CC779E">
          <w:rPr>
            <w:noProof/>
            <w:webHidden/>
          </w:rPr>
        </w:r>
        <w:r w:rsidR="00CC779E">
          <w:rPr>
            <w:noProof/>
            <w:webHidden/>
          </w:rPr>
          <w:fldChar w:fldCharType="separate"/>
        </w:r>
        <w:r w:rsidR="00CC779E">
          <w:rPr>
            <w:noProof/>
            <w:webHidden/>
          </w:rPr>
          <w:t>155</w:t>
        </w:r>
        <w:r w:rsidR="00CC779E">
          <w:rPr>
            <w:noProof/>
            <w:webHidden/>
          </w:rPr>
          <w:fldChar w:fldCharType="end"/>
        </w:r>
      </w:hyperlink>
    </w:p>
    <w:p w14:paraId="4F2801B9" w14:textId="3A212D11"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2" w:history="1">
        <w:r w:rsidR="00CC779E" w:rsidRPr="00D50C38">
          <w:rPr>
            <w:rStyle w:val="Hyperlink"/>
            <w:noProof/>
          </w:rPr>
          <w:t>Table 93:  Risky prescribing - CKD sub-model three month costs</w:t>
        </w:r>
        <w:r w:rsidR="00CC779E">
          <w:rPr>
            <w:noProof/>
            <w:webHidden/>
          </w:rPr>
          <w:tab/>
        </w:r>
        <w:r w:rsidR="00CC779E">
          <w:rPr>
            <w:noProof/>
            <w:webHidden/>
          </w:rPr>
          <w:fldChar w:fldCharType="begin"/>
        </w:r>
        <w:r w:rsidR="00CC779E">
          <w:rPr>
            <w:noProof/>
            <w:webHidden/>
          </w:rPr>
          <w:instrText xml:space="preserve"> PAGEREF _Toc19526822 \h </w:instrText>
        </w:r>
        <w:r w:rsidR="00CC779E">
          <w:rPr>
            <w:noProof/>
            <w:webHidden/>
          </w:rPr>
        </w:r>
        <w:r w:rsidR="00CC779E">
          <w:rPr>
            <w:noProof/>
            <w:webHidden/>
          </w:rPr>
          <w:fldChar w:fldCharType="separate"/>
        </w:r>
        <w:r w:rsidR="00CC779E">
          <w:rPr>
            <w:noProof/>
            <w:webHidden/>
          </w:rPr>
          <w:t>156</w:t>
        </w:r>
        <w:r w:rsidR="00CC779E">
          <w:rPr>
            <w:noProof/>
            <w:webHidden/>
          </w:rPr>
          <w:fldChar w:fldCharType="end"/>
        </w:r>
      </w:hyperlink>
    </w:p>
    <w:p w14:paraId="4CD70031" w14:textId="447244FC"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3" w:history="1">
        <w:r w:rsidR="00CC779E" w:rsidRPr="00D50C38">
          <w:rPr>
            <w:rStyle w:val="Hyperlink"/>
            <w:noProof/>
          </w:rPr>
          <w:t>Table 94: CKD sub-model utility values</w:t>
        </w:r>
        <w:r w:rsidR="00CC779E">
          <w:rPr>
            <w:noProof/>
            <w:webHidden/>
          </w:rPr>
          <w:tab/>
        </w:r>
        <w:r w:rsidR="00CC779E">
          <w:rPr>
            <w:noProof/>
            <w:webHidden/>
          </w:rPr>
          <w:fldChar w:fldCharType="begin"/>
        </w:r>
        <w:r w:rsidR="00CC779E">
          <w:rPr>
            <w:noProof/>
            <w:webHidden/>
          </w:rPr>
          <w:instrText xml:space="preserve"> PAGEREF _Toc19526823 \h </w:instrText>
        </w:r>
        <w:r w:rsidR="00CC779E">
          <w:rPr>
            <w:noProof/>
            <w:webHidden/>
          </w:rPr>
        </w:r>
        <w:r w:rsidR="00CC779E">
          <w:rPr>
            <w:noProof/>
            <w:webHidden/>
          </w:rPr>
          <w:fldChar w:fldCharType="separate"/>
        </w:r>
        <w:r w:rsidR="00CC779E">
          <w:rPr>
            <w:noProof/>
            <w:webHidden/>
          </w:rPr>
          <w:t>157</w:t>
        </w:r>
        <w:r w:rsidR="00CC779E">
          <w:rPr>
            <w:noProof/>
            <w:webHidden/>
          </w:rPr>
          <w:fldChar w:fldCharType="end"/>
        </w:r>
      </w:hyperlink>
    </w:p>
    <w:p w14:paraId="6F2F4232" w14:textId="337CC5E3"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4" w:history="1">
        <w:r w:rsidR="00CC779E" w:rsidRPr="00D50C38">
          <w:rPr>
            <w:rStyle w:val="Hyperlink"/>
            <w:noProof/>
          </w:rPr>
          <w:t>Table 95: Risky prescribing model – proportions of patients eligible for each sub-indicator</w:t>
        </w:r>
        <w:r w:rsidR="00CC779E">
          <w:rPr>
            <w:noProof/>
            <w:webHidden/>
          </w:rPr>
          <w:tab/>
        </w:r>
        <w:r w:rsidR="00CC779E">
          <w:rPr>
            <w:noProof/>
            <w:webHidden/>
          </w:rPr>
          <w:fldChar w:fldCharType="begin"/>
        </w:r>
        <w:r w:rsidR="00CC779E">
          <w:rPr>
            <w:noProof/>
            <w:webHidden/>
          </w:rPr>
          <w:instrText xml:space="preserve"> PAGEREF _Toc19526824 \h </w:instrText>
        </w:r>
        <w:r w:rsidR="00CC779E">
          <w:rPr>
            <w:noProof/>
            <w:webHidden/>
          </w:rPr>
        </w:r>
        <w:r w:rsidR="00CC779E">
          <w:rPr>
            <w:noProof/>
            <w:webHidden/>
          </w:rPr>
          <w:fldChar w:fldCharType="separate"/>
        </w:r>
        <w:r w:rsidR="00CC779E">
          <w:rPr>
            <w:noProof/>
            <w:webHidden/>
          </w:rPr>
          <w:t>158</w:t>
        </w:r>
        <w:r w:rsidR="00CC779E">
          <w:rPr>
            <w:noProof/>
            <w:webHidden/>
          </w:rPr>
          <w:fldChar w:fldCharType="end"/>
        </w:r>
      </w:hyperlink>
    </w:p>
    <w:p w14:paraId="030B75AC" w14:textId="7BA52156"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5" w:history="1">
        <w:r w:rsidR="00CC779E" w:rsidRPr="00D50C38">
          <w:rPr>
            <w:rStyle w:val="Hyperlink"/>
            <w:noProof/>
          </w:rPr>
          <w:t xml:space="preserve">Table 96: </w:t>
        </w:r>
        <w:r w:rsidR="00CC779E" w:rsidRPr="00D50C38">
          <w:rPr>
            <w:rStyle w:val="Hyperlink"/>
            <w:noProof/>
            <w:lang w:val="en-US"/>
          </w:rPr>
          <w:t>Blood pressure control model - effectiveness parameters</w:t>
        </w:r>
        <w:r w:rsidR="00CC779E">
          <w:rPr>
            <w:noProof/>
            <w:webHidden/>
          </w:rPr>
          <w:tab/>
        </w:r>
        <w:r w:rsidR="00CC779E">
          <w:rPr>
            <w:noProof/>
            <w:webHidden/>
          </w:rPr>
          <w:fldChar w:fldCharType="begin"/>
        </w:r>
        <w:r w:rsidR="00CC779E">
          <w:rPr>
            <w:noProof/>
            <w:webHidden/>
          </w:rPr>
          <w:instrText xml:space="preserve"> PAGEREF _Toc19526825 \h </w:instrText>
        </w:r>
        <w:r w:rsidR="00CC779E">
          <w:rPr>
            <w:noProof/>
            <w:webHidden/>
          </w:rPr>
        </w:r>
        <w:r w:rsidR="00CC779E">
          <w:rPr>
            <w:noProof/>
            <w:webHidden/>
          </w:rPr>
          <w:fldChar w:fldCharType="separate"/>
        </w:r>
        <w:r w:rsidR="00CC779E">
          <w:rPr>
            <w:noProof/>
            <w:webHidden/>
          </w:rPr>
          <w:t>159</w:t>
        </w:r>
        <w:r w:rsidR="00CC779E">
          <w:rPr>
            <w:noProof/>
            <w:webHidden/>
          </w:rPr>
          <w:fldChar w:fldCharType="end"/>
        </w:r>
      </w:hyperlink>
    </w:p>
    <w:p w14:paraId="69AE048C" w14:textId="6939484D"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6" w:history="1">
        <w:r w:rsidR="00CC779E" w:rsidRPr="00D50C38">
          <w:rPr>
            <w:rStyle w:val="Hyperlink"/>
            <w:noProof/>
          </w:rPr>
          <w:t>Table 97: Blood pressure control model - transition probabilities</w:t>
        </w:r>
        <w:r w:rsidR="00CC779E">
          <w:rPr>
            <w:noProof/>
            <w:webHidden/>
          </w:rPr>
          <w:tab/>
        </w:r>
        <w:r w:rsidR="00CC779E">
          <w:rPr>
            <w:noProof/>
            <w:webHidden/>
          </w:rPr>
          <w:fldChar w:fldCharType="begin"/>
        </w:r>
        <w:r w:rsidR="00CC779E">
          <w:rPr>
            <w:noProof/>
            <w:webHidden/>
          </w:rPr>
          <w:instrText xml:space="preserve"> PAGEREF _Toc19526826 \h </w:instrText>
        </w:r>
        <w:r w:rsidR="00CC779E">
          <w:rPr>
            <w:noProof/>
            <w:webHidden/>
          </w:rPr>
        </w:r>
        <w:r w:rsidR="00CC779E">
          <w:rPr>
            <w:noProof/>
            <w:webHidden/>
          </w:rPr>
          <w:fldChar w:fldCharType="separate"/>
        </w:r>
        <w:r w:rsidR="00CC779E">
          <w:rPr>
            <w:noProof/>
            <w:webHidden/>
          </w:rPr>
          <w:t>160</w:t>
        </w:r>
        <w:r w:rsidR="00CC779E">
          <w:rPr>
            <w:noProof/>
            <w:webHidden/>
          </w:rPr>
          <w:fldChar w:fldCharType="end"/>
        </w:r>
      </w:hyperlink>
    </w:p>
    <w:p w14:paraId="53F1707D" w14:textId="17A8DF74"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7" w:history="1">
        <w:r w:rsidR="00CC779E" w:rsidRPr="00D50C38">
          <w:rPr>
            <w:rStyle w:val="Hyperlink"/>
            <w:noProof/>
          </w:rPr>
          <w:t>Table 98: Blood pressure control model - costs</w:t>
        </w:r>
        <w:r w:rsidR="00CC779E">
          <w:rPr>
            <w:noProof/>
            <w:webHidden/>
          </w:rPr>
          <w:tab/>
        </w:r>
        <w:r w:rsidR="00CC779E">
          <w:rPr>
            <w:noProof/>
            <w:webHidden/>
          </w:rPr>
          <w:fldChar w:fldCharType="begin"/>
        </w:r>
        <w:r w:rsidR="00CC779E">
          <w:rPr>
            <w:noProof/>
            <w:webHidden/>
          </w:rPr>
          <w:instrText xml:space="preserve"> PAGEREF _Toc19526827 \h </w:instrText>
        </w:r>
        <w:r w:rsidR="00CC779E">
          <w:rPr>
            <w:noProof/>
            <w:webHidden/>
          </w:rPr>
        </w:r>
        <w:r w:rsidR="00CC779E">
          <w:rPr>
            <w:noProof/>
            <w:webHidden/>
          </w:rPr>
          <w:fldChar w:fldCharType="separate"/>
        </w:r>
        <w:r w:rsidR="00CC779E">
          <w:rPr>
            <w:noProof/>
            <w:webHidden/>
          </w:rPr>
          <w:t>164</w:t>
        </w:r>
        <w:r w:rsidR="00CC779E">
          <w:rPr>
            <w:noProof/>
            <w:webHidden/>
          </w:rPr>
          <w:fldChar w:fldCharType="end"/>
        </w:r>
      </w:hyperlink>
    </w:p>
    <w:p w14:paraId="70753F07" w14:textId="0D4CC4D9"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8" w:history="1">
        <w:r w:rsidR="00CC779E" w:rsidRPr="00D50C38">
          <w:rPr>
            <w:rStyle w:val="Hyperlink"/>
            <w:noProof/>
          </w:rPr>
          <w:t>Table 99: Blood pressure control model - utility values</w:t>
        </w:r>
        <w:r w:rsidR="00CC779E">
          <w:rPr>
            <w:noProof/>
            <w:webHidden/>
          </w:rPr>
          <w:tab/>
        </w:r>
        <w:r w:rsidR="00CC779E">
          <w:rPr>
            <w:noProof/>
            <w:webHidden/>
          </w:rPr>
          <w:fldChar w:fldCharType="begin"/>
        </w:r>
        <w:r w:rsidR="00CC779E">
          <w:rPr>
            <w:noProof/>
            <w:webHidden/>
          </w:rPr>
          <w:instrText xml:space="preserve"> PAGEREF _Toc19526828 \h </w:instrText>
        </w:r>
        <w:r w:rsidR="00CC779E">
          <w:rPr>
            <w:noProof/>
            <w:webHidden/>
          </w:rPr>
        </w:r>
        <w:r w:rsidR="00CC779E">
          <w:rPr>
            <w:noProof/>
            <w:webHidden/>
          </w:rPr>
          <w:fldChar w:fldCharType="separate"/>
        </w:r>
        <w:r w:rsidR="00CC779E">
          <w:rPr>
            <w:noProof/>
            <w:webHidden/>
          </w:rPr>
          <w:t>165</w:t>
        </w:r>
        <w:r w:rsidR="00CC779E">
          <w:rPr>
            <w:noProof/>
            <w:webHidden/>
          </w:rPr>
          <w:fldChar w:fldCharType="end"/>
        </w:r>
      </w:hyperlink>
    </w:p>
    <w:p w14:paraId="5CFFE4A8" w14:textId="4F942B72"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29" w:history="1">
        <w:r w:rsidR="00CC779E" w:rsidRPr="00D50C38">
          <w:rPr>
            <w:rStyle w:val="Hyperlink"/>
            <w:noProof/>
          </w:rPr>
          <w:t xml:space="preserve">Table 100: </w:t>
        </w:r>
        <w:r w:rsidR="00CC779E" w:rsidRPr="00D50C38">
          <w:rPr>
            <w:rStyle w:val="Hyperlink"/>
            <w:noProof/>
            <w:lang w:val="en-US"/>
          </w:rPr>
          <w:t>Blood pressure</w:t>
        </w:r>
        <w:r w:rsidR="00CC779E" w:rsidRPr="00D50C38">
          <w:rPr>
            <w:rStyle w:val="Hyperlink"/>
            <w:noProof/>
          </w:rPr>
          <w:t xml:space="preserve"> control model – Proportions of patients eligible for each indicator</w:t>
        </w:r>
        <w:r w:rsidR="00CC779E">
          <w:rPr>
            <w:noProof/>
            <w:webHidden/>
          </w:rPr>
          <w:tab/>
        </w:r>
        <w:r w:rsidR="00CC779E">
          <w:rPr>
            <w:noProof/>
            <w:webHidden/>
          </w:rPr>
          <w:fldChar w:fldCharType="begin"/>
        </w:r>
        <w:r w:rsidR="00CC779E">
          <w:rPr>
            <w:noProof/>
            <w:webHidden/>
          </w:rPr>
          <w:instrText xml:space="preserve"> PAGEREF _Toc19526829 \h </w:instrText>
        </w:r>
        <w:r w:rsidR="00CC779E">
          <w:rPr>
            <w:noProof/>
            <w:webHidden/>
          </w:rPr>
        </w:r>
        <w:r w:rsidR="00CC779E">
          <w:rPr>
            <w:noProof/>
            <w:webHidden/>
          </w:rPr>
          <w:fldChar w:fldCharType="separate"/>
        </w:r>
        <w:r w:rsidR="00CC779E">
          <w:rPr>
            <w:noProof/>
            <w:webHidden/>
          </w:rPr>
          <w:t>166</w:t>
        </w:r>
        <w:r w:rsidR="00CC779E">
          <w:rPr>
            <w:noProof/>
            <w:webHidden/>
          </w:rPr>
          <w:fldChar w:fldCharType="end"/>
        </w:r>
      </w:hyperlink>
    </w:p>
    <w:p w14:paraId="5FF3D746" w14:textId="00C82E7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30" w:history="1">
        <w:r w:rsidR="00CC779E" w:rsidRPr="00D50C38">
          <w:rPr>
            <w:rStyle w:val="Hyperlink"/>
            <w:noProof/>
          </w:rPr>
          <w:t>Table 101: Diabetes control model - UKPDS input variables</w:t>
        </w:r>
        <w:r w:rsidR="00CC779E">
          <w:rPr>
            <w:noProof/>
            <w:webHidden/>
          </w:rPr>
          <w:tab/>
        </w:r>
        <w:r w:rsidR="00CC779E">
          <w:rPr>
            <w:noProof/>
            <w:webHidden/>
          </w:rPr>
          <w:fldChar w:fldCharType="begin"/>
        </w:r>
        <w:r w:rsidR="00CC779E">
          <w:rPr>
            <w:noProof/>
            <w:webHidden/>
          </w:rPr>
          <w:instrText xml:space="preserve"> PAGEREF _Toc19526830 \h </w:instrText>
        </w:r>
        <w:r w:rsidR="00CC779E">
          <w:rPr>
            <w:noProof/>
            <w:webHidden/>
          </w:rPr>
        </w:r>
        <w:r w:rsidR="00CC779E">
          <w:rPr>
            <w:noProof/>
            <w:webHidden/>
          </w:rPr>
          <w:fldChar w:fldCharType="separate"/>
        </w:r>
        <w:r w:rsidR="00CC779E">
          <w:rPr>
            <w:noProof/>
            <w:webHidden/>
          </w:rPr>
          <w:t>167</w:t>
        </w:r>
        <w:r w:rsidR="00CC779E">
          <w:rPr>
            <w:noProof/>
            <w:webHidden/>
          </w:rPr>
          <w:fldChar w:fldCharType="end"/>
        </w:r>
      </w:hyperlink>
    </w:p>
    <w:p w14:paraId="289674E5" w14:textId="3E609097"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31" w:history="1">
        <w:r w:rsidR="00CC779E" w:rsidRPr="00D50C38">
          <w:rPr>
            <w:rStyle w:val="Hyperlink"/>
            <w:bCs/>
            <w:noProof/>
          </w:rPr>
          <w:t>Table 102: Number of practices developing action plans following receipt of outreach visit 1 (by trial arm) (WP5)</w:t>
        </w:r>
        <w:r w:rsidR="00CC779E">
          <w:rPr>
            <w:noProof/>
            <w:webHidden/>
          </w:rPr>
          <w:tab/>
        </w:r>
        <w:r w:rsidR="00CC779E">
          <w:rPr>
            <w:noProof/>
            <w:webHidden/>
          </w:rPr>
          <w:fldChar w:fldCharType="begin"/>
        </w:r>
        <w:r w:rsidR="00CC779E">
          <w:rPr>
            <w:noProof/>
            <w:webHidden/>
          </w:rPr>
          <w:instrText xml:space="preserve"> PAGEREF _Toc19526831 \h </w:instrText>
        </w:r>
        <w:r w:rsidR="00CC779E">
          <w:rPr>
            <w:noProof/>
            <w:webHidden/>
          </w:rPr>
        </w:r>
        <w:r w:rsidR="00CC779E">
          <w:rPr>
            <w:noProof/>
            <w:webHidden/>
          </w:rPr>
          <w:fldChar w:fldCharType="separate"/>
        </w:r>
        <w:r w:rsidR="00CC779E">
          <w:rPr>
            <w:noProof/>
            <w:webHidden/>
          </w:rPr>
          <w:t>170</w:t>
        </w:r>
        <w:r w:rsidR="00CC779E">
          <w:rPr>
            <w:noProof/>
            <w:webHidden/>
          </w:rPr>
          <w:fldChar w:fldCharType="end"/>
        </w:r>
      </w:hyperlink>
    </w:p>
    <w:p w14:paraId="2F0F2E37" w14:textId="0A85E278" w:rsidR="00CC779E" w:rsidRDefault="00644054">
      <w:pPr>
        <w:pStyle w:val="TableofFigures"/>
        <w:tabs>
          <w:tab w:val="right" w:leader="dot" w:pos="9016"/>
        </w:tabs>
        <w:rPr>
          <w:rFonts w:asciiTheme="minorHAnsi" w:eastAsiaTheme="minorEastAsia" w:hAnsiTheme="minorHAnsi" w:cstheme="minorBidi"/>
          <w:noProof/>
          <w:sz w:val="22"/>
          <w:szCs w:val="22"/>
          <w:lang w:eastAsia="en-GB"/>
        </w:rPr>
      </w:pPr>
      <w:hyperlink w:anchor="_Toc19526832" w:history="1">
        <w:r w:rsidR="00CC779E" w:rsidRPr="00D50C38">
          <w:rPr>
            <w:rStyle w:val="Hyperlink"/>
            <w:bCs/>
            <w:noProof/>
          </w:rPr>
          <w:t>Table 103: Number of practices in the risky prescribing implementation arm receiving an outreach visit that had computerised prompts set up (WP5)</w:t>
        </w:r>
        <w:r w:rsidR="00CC779E">
          <w:rPr>
            <w:noProof/>
            <w:webHidden/>
          </w:rPr>
          <w:tab/>
        </w:r>
        <w:r w:rsidR="00CC779E">
          <w:rPr>
            <w:noProof/>
            <w:webHidden/>
          </w:rPr>
          <w:fldChar w:fldCharType="begin"/>
        </w:r>
        <w:r w:rsidR="00CC779E">
          <w:rPr>
            <w:noProof/>
            <w:webHidden/>
          </w:rPr>
          <w:instrText xml:space="preserve"> PAGEREF _Toc19526832 \h </w:instrText>
        </w:r>
        <w:r w:rsidR="00CC779E">
          <w:rPr>
            <w:noProof/>
            <w:webHidden/>
          </w:rPr>
        </w:r>
        <w:r w:rsidR="00CC779E">
          <w:rPr>
            <w:noProof/>
            <w:webHidden/>
          </w:rPr>
          <w:fldChar w:fldCharType="separate"/>
        </w:r>
        <w:r w:rsidR="00CC779E">
          <w:rPr>
            <w:noProof/>
            <w:webHidden/>
          </w:rPr>
          <w:t>171</w:t>
        </w:r>
        <w:r w:rsidR="00CC779E">
          <w:rPr>
            <w:noProof/>
            <w:webHidden/>
          </w:rPr>
          <w:fldChar w:fldCharType="end"/>
        </w:r>
      </w:hyperlink>
    </w:p>
    <w:p w14:paraId="44BD7DD5" w14:textId="4F705D71" w:rsidR="00B77EA3" w:rsidRPr="0082484A" w:rsidRDefault="00CF7CD1" w:rsidP="00B77EA3">
      <w:pPr>
        <w:contextualSpacing/>
        <w:rPr>
          <w:color w:val="FF0000"/>
          <w:sz w:val="22"/>
          <w:szCs w:val="22"/>
        </w:rPr>
      </w:pPr>
      <w:r w:rsidRPr="0082484A">
        <w:rPr>
          <w:color w:val="FF0000"/>
          <w:sz w:val="22"/>
          <w:szCs w:val="22"/>
        </w:rPr>
        <w:fldChar w:fldCharType="end"/>
      </w:r>
    </w:p>
    <w:p w14:paraId="18E76951" w14:textId="77777777" w:rsidR="00DB0F0B" w:rsidRPr="0082484A" w:rsidRDefault="00DB0F0B">
      <w:pPr>
        <w:spacing w:before="0" w:after="200"/>
        <w:rPr>
          <w:bCs/>
          <w:sz w:val="22"/>
          <w:szCs w:val="22"/>
        </w:rPr>
      </w:pPr>
      <w:bookmarkStart w:id="1" w:name="_Ref501103228"/>
      <w:bookmarkStart w:id="2" w:name="_Toc8728068"/>
      <w:r w:rsidRPr="0082484A">
        <w:rPr>
          <w:b/>
          <w:sz w:val="22"/>
          <w:szCs w:val="22"/>
        </w:rPr>
        <w:br w:type="page"/>
      </w:r>
    </w:p>
    <w:p w14:paraId="34912261" w14:textId="68C4C38D" w:rsidR="00B77EA3" w:rsidRPr="0082484A" w:rsidRDefault="00B77EA3" w:rsidP="00B77EA3">
      <w:pPr>
        <w:pStyle w:val="Caption"/>
        <w:rPr>
          <w:b w:val="0"/>
          <w:bCs w:val="0"/>
          <w:sz w:val="22"/>
          <w:szCs w:val="22"/>
        </w:rPr>
      </w:pPr>
      <w:bookmarkStart w:id="3" w:name="_Toc19526730"/>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1</w:t>
      </w:r>
      <w:r w:rsidRPr="0082484A">
        <w:rPr>
          <w:b w:val="0"/>
          <w:noProof/>
          <w:sz w:val="22"/>
          <w:szCs w:val="22"/>
        </w:rPr>
        <w:fldChar w:fldCharType="end"/>
      </w:r>
      <w:bookmarkEnd w:id="1"/>
      <w:r w:rsidRPr="0082484A">
        <w:rPr>
          <w:b w:val="0"/>
          <w:sz w:val="22"/>
          <w:szCs w:val="22"/>
        </w:rPr>
        <w:t>: Cluster-randomised evaluation: number of practices screened, eligible and randomised (by clinical commissioning group) (WP4a)</w:t>
      </w:r>
      <w:bookmarkEnd w:id="2"/>
      <w:bookmarkEnd w:id="3"/>
    </w:p>
    <w:tbl>
      <w:tblPr>
        <w:tblW w:w="0" w:type="auto"/>
        <w:tblLayout w:type="fixed"/>
        <w:tblCellMar>
          <w:left w:w="0" w:type="dxa"/>
          <w:right w:w="0" w:type="dxa"/>
        </w:tblCellMar>
        <w:tblLook w:val="0000" w:firstRow="0" w:lastRow="0" w:firstColumn="0" w:lastColumn="0" w:noHBand="0" w:noVBand="0"/>
      </w:tblPr>
      <w:tblGrid>
        <w:gridCol w:w="3969"/>
        <w:gridCol w:w="1687"/>
        <w:gridCol w:w="1560"/>
        <w:gridCol w:w="1701"/>
      </w:tblGrid>
      <w:tr w:rsidR="00B77EA3" w:rsidRPr="0082484A" w14:paraId="18A793B5" w14:textId="77777777" w:rsidTr="0082484A">
        <w:trPr>
          <w:cantSplit/>
          <w:tblHeader/>
        </w:trPr>
        <w:tc>
          <w:tcPr>
            <w:tcW w:w="3969"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EE0C073" w14:textId="77777777" w:rsidR="00B77EA3" w:rsidRPr="0082484A" w:rsidRDefault="00B77EA3" w:rsidP="00B77EA3">
            <w:pPr>
              <w:contextualSpacing/>
              <w:rPr>
                <w:bCs/>
                <w:sz w:val="22"/>
                <w:szCs w:val="22"/>
              </w:rPr>
            </w:pPr>
            <w:r w:rsidRPr="0082484A">
              <w:rPr>
                <w:bCs/>
                <w:sz w:val="22"/>
                <w:szCs w:val="22"/>
              </w:rPr>
              <w:t>CCG</w:t>
            </w:r>
          </w:p>
        </w:tc>
        <w:tc>
          <w:tcPr>
            <w:tcW w:w="168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F43D41E" w14:textId="77777777" w:rsidR="00B77EA3" w:rsidRPr="0082484A" w:rsidRDefault="00B77EA3" w:rsidP="00B77EA3">
            <w:pPr>
              <w:contextualSpacing/>
              <w:rPr>
                <w:bCs/>
                <w:sz w:val="22"/>
                <w:szCs w:val="22"/>
              </w:rPr>
            </w:pPr>
            <w:r w:rsidRPr="0082484A">
              <w:rPr>
                <w:bCs/>
                <w:sz w:val="22"/>
                <w:szCs w:val="22"/>
              </w:rPr>
              <w:t>Screened Practices (n=278)</w:t>
            </w:r>
          </w:p>
        </w:tc>
        <w:tc>
          <w:tcPr>
            <w:tcW w:w="156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82D62A7" w14:textId="77777777" w:rsidR="00B77EA3" w:rsidRPr="0082484A" w:rsidRDefault="00B77EA3" w:rsidP="00B77EA3">
            <w:pPr>
              <w:contextualSpacing/>
              <w:rPr>
                <w:bCs/>
                <w:sz w:val="22"/>
                <w:szCs w:val="22"/>
              </w:rPr>
            </w:pPr>
            <w:r w:rsidRPr="0082484A">
              <w:rPr>
                <w:bCs/>
                <w:sz w:val="22"/>
                <w:szCs w:val="22"/>
              </w:rPr>
              <w:t>Eligible Practices (n=243)</w:t>
            </w:r>
          </w:p>
        </w:tc>
        <w:tc>
          <w:tcPr>
            <w:tcW w:w="170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02EA61F" w14:textId="77777777" w:rsidR="00B77EA3" w:rsidRPr="0082484A" w:rsidRDefault="00B77EA3" w:rsidP="00B77EA3">
            <w:pPr>
              <w:contextualSpacing/>
              <w:rPr>
                <w:bCs/>
                <w:sz w:val="22"/>
                <w:szCs w:val="22"/>
              </w:rPr>
            </w:pPr>
            <w:r w:rsidRPr="0082484A">
              <w:rPr>
                <w:bCs/>
                <w:sz w:val="22"/>
                <w:szCs w:val="22"/>
              </w:rPr>
              <w:t>Randomised Practices (n=178)</w:t>
            </w:r>
          </w:p>
        </w:tc>
      </w:tr>
      <w:tr w:rsidR="00B77EA3" w:rsidRPr="0082484A" w14:paraId="3EFE6918"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6FDA532E" w14:textId="77777777" w:rsidR="00B77EA3" w:rsidRPr="0082484A" w:rsidRDefault="00B77EA3" w:rsidP="00B77EA3">
            <w:pPr>
              <w:contextualSpacing/>
              <w:rPr>
                <w:sz w:val="22"/>
                <w:szCs w:val="22"/>
              </w:rPr>
            </w:pPr>
            <w:r w:rsidRPr="0082484A">
              <w:rPr>
                <w:sz w:val="22"/>
                <w:szCs w:val="22"/>
              </w:rPr>
              <w:t>NHS Airedale, Wharfedale And Craven CCG</w:t>
            </w:r>
          </w:p>
        </w:tc>
        <w:tc>
          <w:tcPr>
            <w:tcW w:w="1687" w:type="dxa"/>
            <w:tcBorders>
              <w:top w:val="nil"/>
              <w:left w:val="nil"/>
              <w:bottom w:val="nil"/>
              <w:right w:val="nil"/>
            </w:tcBorders>
            <w:shd w:val="clear" w:color="auto" w:fill="FFFFFF"/>
            <w:tcMar>
              <w:left w:w="67" w:type="dxa"/>
              <w:right w:w="67" w:type="dxa"/>
            </w:tcMar>
          </w:tcPr>
          <w:p w14:paraId="25B5FE69" w14:textId="77777777" w:rsidR="00B77EA3" w:rsidRPr="0082484A" w:rsidRDefault="00B77EA3" w:rsidP="00B77EA3">
            <w:pPr>
              <w:contextualSpacing/>
              <w:rPr>
                <w:sz w:val="22"/>
                <w:szCs w:val="22"/>
              </w:rPr>
            </w:pPr>
            <w:r w:rsidRPr="0082484A">
              <w:rPr>
                <w:sz w:val="22"/>
                <w:szCs w:val="22"/>
              </w:rPr>
              <w:t>16 (5.76%)</w:t>
            </w:r>
          </w:p>
        </w:tc>
        <w:tc>
          <w:tcPr>
            <w:tcW w:w="1560" w:type="dxa"/>
            <w:tcBorders>
              <w:top w:val="nil"/>
              <w:left w:val="nil"/>
              <w:bottom w:val="nil"/>
              <w:right w:val="nil"/>
            </w:tcBorders>
            <w:shd w:val="clear" w:color="auto" w:fill="FFFFFF"/>
            <w:tcMar>
              <w:left w:w="67" w:type="dxa"/>
              <w:right w:w="67" w:type="dxa"/>
            </w:tcMar>
          </w:tcPr>
          <w:p w14:paraId="51EDC102" w14:textId="77777777" w:rsidR="00B77EA3" w:rsidRPr="0082484A" w:rsidRDefault="00B77EA3" w:rsidP="00B77EA3">
            <w:pPr>
              <w:contextualSpacing/>
              <w:rPr>
                <w:sz w:val="22"/>
                <w:szCs w:val="22"/>
              </w:rPr>
            </w:pPr>
            <w:r w:rsidRPr="0082484A">
              <w:rPr>
                <w:sz w:val="22"/>
                <w:szCs w:val="22"/>
              </w:rPr>
              <w:t>15 (6.17%)</w:t>
            </w:r>
          </w:p>
        </w:tc>
        <w:tc>
          <w:tcPr>
            <w:tcW w:w="1701" w:type="dxa"/>
            <w:tcBorders>
              <w:top w:val="nil"/>
              <w:left w:val="nil"/>
              <w:bottom w:val="nil"/>
              <w:right w:val="single" w:sz="11" w:space="0" w:color="000000"/>
            </w:tcBorders>
            <w:shd w:val="clear" w:color="auto" w:fill="FFFFFF"/>
            <w:tcMar>
              <w:left w:w="67" w:type="dxa"/>
              <w:right w:w="67" w:type="dxa"/>
            </w:tcMar>
          </w:tcPr>
          <w:p w14:paraId="291252C7" w14:textId="77777777" w:rsidR="00B77EA3" w:rsidRPr="0082484A" w:rsidRDefault="00B77EA3" w:rsidP="00B77EA3">
            <w:pPr>
              <w:contextualSpacing/>
              <w:rPr>
                <w:sz w:val="22"/>
                <w:szCs w:val="22"/>
              </w:rPr>
            </w:pPr>
            <w:r w:rsidRPr="0082484A">
              <w:rPr>
                <w:sz w:val="22"/>
                <w:szCs w:val="22"/>
              </w:rPr>
              <w:t>8 (4.49%)</w:t>
            </w:r>
          </w:p>
        </w:tc>
      </w:tr>
      <w:tr w:rsidR="00B77EA3" w:rsidRPr="0082484A" w14:paraId="454AE7C3"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41129E87" w14:textId="77777777" w:rsidR="00B77EA3" w:rsidRPr="0082484A" w:rsidRDefault="00B77EA3" w:rsidP="00B77EA3">
            <w:pPr>
              <w:contextualSpacing/>
              <w:rPr>
                <w:sz w:val="22"/>
                <w:szCs w:val="22"/>
              </w:rPr>
            </w:pPr>
            <w:r w:rsidRPr="0082484A">
              <w:rPr>
                <w:sz w:val="22"/>
                <w:szCs w:val="22"/>
              </w:rPr>
              <w:t>NHS Bradford City CCG</w:t>
            </w:r>
          </w:p>
        </w:tc>
        <w:tc>
          <w:tcPr>
            <w:tcW w:w="1687" w:type="dxa"/>
            <w:tcBorders>
              <w:top w:val="nil"/>
              <w:left w:val="nil"/>
              <w:bottom w:val="nil"/>
              <w:right w:val="nil"/>
            </w:tcBorders>
            <w:shd w:val="clear" w:color="auto" w:fill="FFFFFF"/>
            <w:tcMar>
              <w:left w:w="67" w:type="dxa"/>
              <w:right w:w="67" w:type="dxa"/>
            </w:tcMar>
          </w:tcPr>
          <w:p w14:paraId="02586E99" w14:textId="77777777" w:rsidR="00B77EA3" w:rsidRPr="0082484A" w:rsidRDefault="00B77EA3" w:rsidP="00B77EA3">
            <w:pPr>
              <w:contextualSpacing/>
              <w:rPr>
                <w:sz w:val="22"/>
                <w:szCs w:val="22"/>
              </w:rPr>
            </w:pPr>
            <w:r w:rsidRPr="0082484A">
              <w:rPr>
                <w:sz w:val="22"/>
                <w:szCs w:val="22"/>
              </w:rPr>
              <w:t>28 (10.07%)</w:t>
            </w:r>
          </w:p>
        </w:tc>
        <w:tc>
          <w:tcPr>
            <w:tcW w:w="1560" w:type="dxa"/>
            <w:tcBorders>
              <w:top w:val="nil"/>
              <w:left w:val="nil"/>
              <w:bottom w:val="nil"/>
              <w:right w:val="nil"/>
            </w:tcBorders>
            <w:shd w:val="clear" w:color="auto" w:fill="FFFFFF"/>
            <w:tcMar>
              <w:left w:w="67" w:type="dxa"/>
              <w:right w:w="67" w:type="dxa"/>
            </w:tcMar>
          </w:tcPr>
          <w:p w14:paraId="159796FC" w14:textId="77777777" w:rsidR="00B77EA3" w:rsidRPr="0082484A" w:rsidRDefault="00B77EA3" w:rsidP="00B77EA3">
            <w:pPr>
              <w:contextualSpacing/>
              <w:rPr>
                <w:sz w:val="22"/>
                <w:szCs w:val="22"/>
              </w:rPr>
            </w:pPr>
            <w:r w:rsidRPr="0082484A">
              <w:rPr>
                <w:sz w:val="22"/>
                <w:szCs w:val="22"/>
              </w:rPr>
              <w:t>26 (10.70%)</w:t>
            </w:r>
          </w:p>
        </w:tc>
        <w:tc>
          <w:tcPr>
            <w:tcW w:w="1701" w:type="dxa"/>
            <w:tcBorders>
              <w:top w:val="nil"/>
              <w:left w:val="nil"/>
              <w:bottom w:val="nil"/>
              <w:right w:val="single" w:sz="11" w:space="0" w:color="000000"/>
            </w:tcBorders>
            <w:shd w:val="clear" w:color="auto" w:fill="FFFFFF"/>
            <w:tcMar>
              <w:left w:w="67" w:type="dxa"/>
              <w:right w:w="67" w:type="dxa"/>
            </w:tcMar>
          </w:tcPr>
          <w:p w14:paraId="73880C40" w14:textId="77777777" w:rsidR="00B77EA3" w:rsidRPr="0082484A" w:rsidRDefault="00B77EA3" w:rsidP="00B77EA3">
            <w:pPr>
              <w:contextualSpacing/>
              <w:rPr>
                <w:sz w:val="22"/>
                <w:szCs w:val="22"/>
              </w:rPr>
            </w:pPr>
            <w:r w:rsidRPr="0082484A">
              <w:rPr>
                <w:sz w:val="22"/>
                <w:szCs w:val="22"/>
              </w:rPr>
              <w:t>19 (10.67%)</w:t>
            </w:r>
          </w:p>
        </w:tc>
      </w:tr>
      <w:tr w:rsidR="00B77EA3" w:rsidRPr="0082484A" w14:paraId="63B0995C"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65AA0F0F" w14:textId="77777777" w:rsidR="00B77EA3" w:rsidRPr="0082484A" w:rsidRDefault="00B77EA3" w:rsidP="00B77EA3">
            <w:pPr>
              <w:contextualSpacing/>
              <w:rPr>
                <w:sz w:val="22"/>
                <w:szCs w:val="22"/>
              </w:rPr>
            </w:pPr>
            <w:r w:rsidRPr="0082484A">
              <w:rPr>
                <w:sz w:val="22"/>
                <w:szCs w:val="22"/>
              </w:rPr>
              <w:t>NHS Bradford Districts CCG</w:t>
            </w:r>
          </w:p>
        </w:tc>
        <w:tc>
          <w:tcPr>
            <w:tcW w:w="1687" w:type="dxa"/>
            <w:tcBorders>
              <w:top w:val="nil"/>
              <w:left w:val="nil"/>
              <w:bottom w:val="nil"/>
              <w:right w:val="nil"/>
            </w:tcBorders>
            <w:shd w:val="clear" w:color="auto" w:fill="FFFFFF"/>
            <w:tcMar>
              <w:left w:w="67" w:type="dxa"/>
              <w:right w:w="67" w:type="dxa"/>
            </w:tcMar>
          </w:tcPr>
          <w:p w14:paraId="4810AFE1" w14:textId="77777777" w:rsidR="00B77EA3" w:rsidRPr="0082484A" w:rsidRDefault="00B77EA3" w:rsidP="00B77EA3">
            <w:pPr>
              <w:contextualSpacing/>
              <w:rPr>
                <w:sz w:val="22"/>
                <w:szCs w:val="22"/>
              </w:rPr>
            </w:pPr>
            <w:r w:rsidRPr="0082484A">
              <w:rPr>
                <w:sz w:val="22"/>
                <w:szCs w:val="22"/>
              </w:rPr>
              <w:t>40 (14.39%)</w:t>
            </w:r>
          </w:p>
        </w:tc>
        <w:tc>
          <w:tcPr>
            <w:tcW w:w="1560" w:type="dxa"/>
            <w:tcBorders>
              <w:top w:val="nil"/>
              <w:left w:val="nil"/>
              <w:bottom w:val="nil"/>
              <w:right w:val="nil"/>
            </w:tcBorders>
            <w:shd w:val="clear" w:color="auto" w:fill="FFFFFF"/>
            <w:tcMar>
              <w:left w:w="67" w:type="dxa"/>
              <w:right w:w="67" w:type="dxa"/>
            </w:tcMar>
          </w:tcPr>
          <w:p w14:paraId="43382720" w14:textId="77777777" w:rsidR="00B77EA3" w:rsidRPr="0082484A" w:rsidRDefault="00B77EA3" w:rsidP="00B77EA3">
            <w:pPr>
              <w:contextualSpacing/>
              <w:rPr>
                <w:sz w:val="22"/>
                <w:szCs w:val="22"/>
              </w:rPr>
            </w:pPr>
            <w:r w:rsidRPr="0082484A">
              <w:rPr>
                <w:sz w:val="22"/>
                <w:szCs w:val="22"/>
              </w:rPr>
              <w:t>35 (14.40%)</w:t>
            </w:r>
          </w:p>
        </w:tc>
        <w:tc>
          <w:tcPr>
            <w:tcW w:w="1701" w:type="dxa"/>
            <w:tcBorders>
              <w:top w:val="nil"/>
              <w:left w:val="nil"/>
              <w:bottom w:val="nil"/>
              <w:right w:val="single" w:sz="11" w:space="0" w:color="000000"/>
            </w:tcBorders>
            <w:shd w:val="clear" w:color="auto" w:fill="FFFFFF"/>
            <w:tcMar>
              <w:left w:w="67" w:type="dxa"/>
              <w:right w:w="67" w:type="dxa"/>
            </w:tcMar>
          </w:tcPr>
          <w:p w14:paraId="5C41CF0A" w14:textId="77777777" w:rsidR="00B77EA3" w:rsidRPr="0082484A" w:rsidRDefault="00B77EA3" w:rsidP="00B77EA3">
            <w:pPr>
              <w:contextualSpacing/>
              <w:rPr>
                <w:sz w:val="22"/>
                <w:szCs w:val="22"/>
              </w:rPr>
            </w:pPr>
            <w:r w:rsidRPr="0082484A">
              <w:rPr>
                <w:sz w:val="22"/>
                <w:szCs w:val="22"/>
              </w:rPr>
              <w:t>28 (15.73%)</w:t>
            </w:r>
          </w:p>
        </w:tc>
      </w:tr>
      <w:tr w:rsidR="00B77EA3" w:rsidRPr="0082484A" w14:paraId="26E9D0EF"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08F83963" w14:textId="77777777" w:rsidR="00B77EA3" w:rsidRPr="0082484A" w:rsidRDefault="00B77EA3" w:rsidP="00B77EA3">
            <w:pPr>
              <w:contextualSpacing/>
              <w:rPr>
                <w:sz w:val="22"/>
                <w:szCs w:val="22"/>
              </w:rPr>
            </w:pPr>
            <w:r w:rsidRPr="0082484A">
              <w:rPr>
                <w:sz w:val="22"/>
                <w:szCs w:val="22"/>
              </w:rPr>
              <w:t>NHS Calderdale CCG</w:t>
            </w:r>
          </w:p>
        </w:tc>
        <w:tc>
          <w:tcPr>
            <w:tcW w:w="1687" w:type="dxa"/>
            <w:tcBorders>
              <w:top w:val="nil"/>
              <w:left w:val="nil"/>
              <w:bottom w:val="nil"/>
              <w:right w:val="nil"/>
            </w:tcBorders>
            <w:shd w:val="clear" w:color="auto" w:fill="FFFFFF"/>
            <w:tcMar>
              <w:left w:w="67" w:type="dxa"/>
              <w:right w:w="67" w:type="dxa"/>
            </w:tcMar>
          </w:tcPr>
          <w:p w14:paraId="35BE5213" w14:textId="77777777" w:rsidR="00B77EA3" w:rsidRPr="0082484A" w:rsidRDefault="00B77EA3" w:rsidP="00B77EA3">
            <w:pPr>
              <w:contextualSpacing/>
              <w:rPr>
                <w:sz w:val="22"/>
                <w:szCs w:val="22"/>
              </w:rPr>
            </w:pPr>
            <w:r w:rsidRPr="0082484A">
              <w:rPr>
                <w:sz w:val="22"/>
                <w:szCs w:val="22"/>
              </w:rPr>
              <w:t>22 (7.91%)</w:t>
            </w:r>
          </w:p>
        </w:tc>
        <w:tc>
          <w:tcPr>
            <w:tcW w:w="1560" w:type="dxa"/>
            <w:tcBorders>
              <w:top w:val="nil"/>
              <w:left w:val="nil"/>
              <w:bottom w:val="nil"/>
              <w:right w:val="nil"/>
            </w:tcBorders>
            <w:shd w:val="clear" w:color="auto" w:fill="FFFFFF"/>
            <w:tcMar>
              <w:left w:w="67" w:type="dxa"/>
              <w:right w:w="67" w:type="dxa"/>
            </w:tcMar>
          </w:tcPr>
          <w:p w14:paraId="615F64D6" w14:textId="77777777" w:rsidR="00B77EA3" w:rsidRPr="0082484A" w:rsidRDefault="00B77EA3" w:rsidP="00B77EA3">
            <w:pPr>
              <w:contextualSpacing/>
              <w:rPr>
                <w:sz w:val="22"/>
                <w:szCs w:val="22"/>
              </w:rPr>
            </w:pPr>
            <w:r w:rsidRPr="0082484A">
              <w:rPr>
                <w:sz w:val="22"/>
                <w:szCs w:val="22"/>
              </w:rPr>
              <w:t>18 (7.41%)</w:t>
            </w:r>
          </w:p>
        </w:tc>
        <w:tc>
          <w:tcPr>
            <w:tcW w:w="1701" w:type="dxa"/>
            <w:tcBorders>
              <w:top w:val="nil"/>
              <w:left w:val="nil"/>
              <w:bottom w:val="nil"/>
              <w:right w:val="single" w:sz="11" w:space="0" w:color="000000"/>
            </w:tcBorders>
            <w:shd w:val="clear" w:color="auto" w:fill="FFFFFF"/>
            <w:tcMar>
              <w:left w:w="67" w:type="dxa"/>
              <w:right w:w="67" w:type="dxa"/>
            </w:tcMar>
          </w:tcPr>
          <w:p w14:paraId="23AC5FF4" w14:textId="77777777" w:rsidR="00B77EA3" w:rsidRPr="0082484A" w:rsidRDefault="00B77EA3" w:rsidP="00B77EA3">
            <w:pPr>
              <w:contextualSpacing/>
              <w:rPr>
                <w:sz w:val="22"/>
                <w:szCs w:val="22"/>
              </w:rPr>
            </w:pPr>
            <w:r w:rsidRPr="0082484A">
              <w:rPr>
                <w:sz w:val="22"/>
                <w:szCs w:val="22"/>
              </w:rPr>
              <w:t>12 (6.74%)</w:t>
            </w:r>
          </w:p>
        </w:tc>
      </w:tr>
      <w:tr w:rsidR="00B77EA3" w:rsidRPr="0082484A" w14:paraId="12BB90AD"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73012AA0" w14:textId="77777777" w:rsidR="00B77EA3" w:rsidRPr="0082484A" w:rsidRDefault="00B77EA3" w:rsidP="00B77EA3">
            <w:pPr>
              <w:contextualSpacing/>
              <w:rPr>
                <w:sz w:val="22"/>
                <w:szCs w:val="22"/>
              </w:rPr>
            </w:pPr>
            <w:r w:rsidRPr="0082484A">
              <w:rPr>
                <w:sz w:val="22"/>
                <w:szCs w:val="22"/>
              </w:rPr>
              <w:t>NHS Greater Huddersfield CCG</w:t>
            </w:r>
          </w:p>
        </w:tc>
        <w:tc>
          <w:tcPr>
            <w:tcW w:w="1687" w:type="dxa"/>
            <w:tcBorders>
              <w:top w:val="nil"/>
              <w:left w:val="nil"/>
              <w:bottom w:val="nil"/>
              <w:right w:val="nil"/>
            </w:tcBorders>
            <w:shd w:val="clear" w:color="auto" w:fill="FFFFFF"/>
            <w:tcMar>
              <w:left w:w="67" w:type="dxa"/>
              <w:right w:w="67" w:type="dxa"/>
            </w:tcMar>
          </w:tcPr>
          <w:p w14:paraId="0ECD391C" w14:textId="77777777" w:rsidR="00B77EA3" w:rsidRPr="0082484A" w:rsidRDefault="00B77EA3" w:rsidP="00B77EA3">
            <w:pPr>
              <w:contextualSpacing/>
              <w:rPr>
                <w:sz w:val="22"/>
                <w:szCs w:val="22"/>
              </w:rPr>
            </w:pPr>
            <w:r w:rsidRPr="0082484A">
              <w:rPr>
                <w:sz w:val="22"/>
                <w:szCs w:val="22"/>
              </w:rPr>
              <w:t>24 (8.63%)</w:t>
            </w:r>
          </w:p>
        </w:tc>
        <w:tc>
          <w:tcPr>
            <w:tcW w:w="1560" w:type="dxa"/>
            <w:tcBorders>
              <w:top w:val="nil"/>
              <w:left w:val="nil"/>
              <w:bottom w:val="nil"/>
              <w:right w:val="nil"/>
            </w:tcBorders>
            <w:shd w:val="clear" w:color="auto" w:fill="FFFFFF"/>
            <w:tcMar>
              <w:left w:w="67" w:type="dxa"/>
              <w:right w:w="67" w:type="dxa"/>
            </w:tcMar>
          </w:tcPr>
          <w:p w14:paraId="721499BF" w14:textId="77777777" w:rsidR="00B77EA3" w:rsidRPr="0082484A" w:rsidRDefault="00B77EA3" w:rsidP="00B77EA3">
            <w:pPr>
              <w:contextualSpacing/>
              <w:rPr>
                <w:sz w:val="22"/>
                <w:szCs w:val="22"/>
              </w:rPr>
            </w:pPr>
            <w:r w:rsidRPr="0082484A">
              <w:rPr>
                <w:sz w:val="22"/>
                <w:szCs w:val="22"/>
              </w:rPr>
              <w:t>24 (9.88%)</w:t>
            </w:r>
          </w:p>
        </w:tc>
        <w:tc>
          <w:tcPr>
            <w:tcW w:w="1701" w:type="dxa"/>
            <w:tcBorders>
              <w:top w:val="nil"/>
              <w:left w:val="nil"/>
              <w:bottom w:val="nil"/>
              <w:right w:val="single" w:sz="11" w:space="0" w:color="000000"/>
            </w:tcBorders>
            <w:shd w:val="clear" w:color="auto" w:fill="FFFFFF"/>
            <w:tcMar>
              <w:left w:w="67" w:type="dxa"/>
              <w:right w:w="67" w:type="dxa"/>
            </w:tcMar>
          </w:tcPr>
          <w:p w14:paraId="1B5B2588" w14:textId="77777777" w:rsidR="00B77EA3" w:rsidRPr="0082484A" w:rsidRDefault="00B77EA3" w:rsidP="00B77EA3">
            <w:pPr>
              <w:contextualSpacing/>
              <w:rPr>
                <w:sz w:val="22"/>
                <w:szCs w:val="22"/>
              </w:rPr>
            </w:pPr>
            <w:r w:rsidRPr="0082484A">
              <w:rPr>
                <w:sz w:val="22"/>
                <w:szCs w:val="22"/>
              </w:rPr>
              <w:t>18 (10.11%)</w:t>
            </w:r>
          </w:p>
        </w:tc>
      </w:tr>
      <w:tr w:rsidR="00B77EA3" w:rsidRPr="0082484A" w14:paraId="066A81C4"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40A9EE27" w14:textId="77777777" w:rsidR="00B77EA3" w:rsidRPr="0082484A" w:rsidRDefault="00B77EA3" w:rsidP="00B77EA3">
            <w:pPr>
              <w:contextualSpacing/>
              <w:rPr>
                <w:sz w:val="22"/>
                <w:szCs w:val="22"/>
              </w:rPr>
            </w:pPr>
            <w:r w:rsidRPr="0082484A">
              <w:rPr>
                <w:sz w:val="22"/>
                <w:szCs w:val="22"/>
              </w:rPr>
              <w:t>NHS Leeds North CCG</w:t>
            </w:r>
          </w:p>
        </w:tc>
        <w:tc>
          <w:tcPr>
            <w:tcW w:w="1687" w:type="dxa"/>
            <w:tcBorders>
              <w:top w:val="nil"/>
              <w:left w:val="nil"/>
              <w:bottom w:val="nil"/>
              <w:right w:val="nil"/>
            </w:tcBorders>
            <w:shd w:val="clear" w:color="auto" w:fill="FFFFFF"/>
            <w:tcMar>
              <w:left w:w="67" w:type="dxa"/>
              <w:right w:w="67" w:type="dxa"/>
            </w:tcMar>
          </w:tcPr>
          <w:p w14:paraId="52221593" w14:textId="77777777" w:rsidR="00B77EA3" w:rsidRPr="0082484A" w:rsidRDefault="00B77EA3" w:rsidP="00B77EA3">
            <w:pPr>
              <w:contextualSpacing/>
              <w:rPr>
                <w:sz w:val="22"/>
                <w:szCs w:val="22"/>
              </w:rPr>
            </w:pPr>
            <w:r w:rsidRPr="0082484A">
              <w:rPr>
                <w:sz w:val="22"/>
                <w:szCs w:val="22"/>
              </w:rPr>
              <w:t>21 (7.55%)</w:t>
            </w:r>
          </w:p>
        </w:tc>
        <w:tc>
          <w:tcPr>
            <w:tcW w:w="1560" w:type="dxa"/>
            <w:tcBorders>
              <w:top w:val="nil"/>
              <w:left w:val="nil"/>
              <w:bottom w:val="nil"/>
              <w:right w:val="nil"/>
            </w:tcBorders>
            <w:shd w:val="clear" w:color="auto" w:fill="FFFFFF"/>
            <w:tcMar>
              <w:left w:w="67" w:type="dxa"/>
              <w:right w:w="67" w:type="dxa"/>
            </w:tcMar>
          </w:tcPr>
          <w:p w14:paraId="00A28637" w14:textId="77777777" w:rsidR="00B77EA3" w:rsidRPr="0082484A" w:rsidRDefault="00B77EA3" w:rsidP="00B77EA3">
            <w:pPr>
              <w:contextualSpacing/>
              <w:rPr>
                <w:sz w:val="22"/>
                <w:szCs w:val="22"/>
              </w:rPr>
            </w:pPr>
            <w:r w:rsidRPr="0082484A">
              <w:rPr>
                <w:sz w:val="22"/>
                <w:szCs w:val="22"/>
              </w:rPr>
              <w:t>14 (5.76%)</w:t>
            </w:r>
          </w:p>
        </w:tc>
        <w:tc>
          <w:tcPr>
            <w:tcW w:w="1701" w:type="dxa"/>
            <w:tcBorders>
              <w:top w:val="nil"/>
              <w:left w:val="nil"/>
              <w:bottom w:val="nil"/>
              <w:right w:val="single" w:sz="11" w:space="0" w:color="000000"/>
            </w:tcBorders>
            <w:shd w:val="clear" w:color="auto" w:fill="FFFFFF"/>
            <w:tcMar>
              <w:left w:w="67" w:type="dxa"/>
              <w:right w:w="67" w:type="dxa"/>
            </w:tcMar>
          </w:tcPr>
          <w:p w14:paraId="7603AF57" w14:textId="77777777" w:rsidR="00B77EA3" w:rsidRPr="0082484A" w:rsidRDefault="00B77EA3" w:rsidP="00B77EA3">
            <w:pPr>
              <w:contextualSpacing/>
              <w:rPr>
                <w:sz w:val="22"/>
                <w:szCs w:val="22"/>
              </w:rPr>
            </w:pPr>
            <w:r w:rsidRPr="0082484A">
              <w:rPr>
                <w:sz w:val="22"/>
                <w:szCs w:val="22"/>
              </w:rPr>
              <w:t>12 (6.74%)</w:t>
            </w:r>
          </w:p>
        </w:tc>
      </w:tr>
      <w:tr w:rsidR="00B77EA3" w:rsidRPr="0082484A" w14:paraId="21765A3E"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3F00DD19" w14:textId="77777777" w:rsidR="00B77EA3" w:rsidRPr="0082484A" w:rsidRDefault="00B77EA3" w:rsidP="00B77EA3">
            <w:pPr>
              <w:contextualSpacing/>
              <w:rPr>
                <w:sz w:val="22"/>
                <w:szCs w:val="22"/>
              </w:rPr>
            </w:pPr>
            <w:r w:rsidRPr="0082484A">
              <w:rPr>
                <w:sz w:val="22"/>
                <w:szCs w:val="22"/>
              </w:rPr>
              <w:t>NHS Leeds South And East CCG</w:t>
            </w:r>
          </w:p>
        </w:tc>
        <w:tc>
          <w:tcPr>
            <w:tcW w:w="1687" w:type="dxa"/>
            <w:tcBorders>
              <w:top w:val="nil"/>
              <w:left w:val="nil"/>
              <w:bottom w:val="nil"/>
              <w:right w:val="nil"/>
            </w:tcBorders>
            <w:shd w:val="clear" w:color="auto" w:fill="FFFFFF"/>
            <w:tcMar>
              <w:left w:w="67" w:type="dxa"/>
              <w:right w:w="67" w:type="dxa"/>
            </w:tcMar>
          </w:tcPr>
          <w:p w14:paraId="1F2ED7F5" w14:textId="77777777" w:rsidR="00B77EA3" w:rsidRPr="0082484A" w:rsidRDefault="00B77EA3" w:rsidP="00B77EA3">
            <w:pPr>
              <w:contextualSpacing/>
              <w:rPr>
                <w:sz w:val="22"/>
                <w:szCs w:val="22"/>
              </w:rPr>
            </w:pPr>
            <w:r w:rsidRPr="0082484A">
              <w:rPr>
                <w:sz w:val="22"/>
                <w:szCs w:val="22"/>
              </w:rPr>
              <w:t>39 (14.03%)</w:t>
            </w:r>
          </w:p>
        </w:tc>
        <w:tc>
          <w:tcPr>
            <w:tcW w:w="1560" w:type="dxa"/>
            <w:tcBorders>
              <w:top w:val="nil"/>
              <w:left w:val="nil"/>
              <w:bottom w:val="nil"/>
              <w:right w:val="nil"/>
            </w:tcBorders>
            <w:shd w:val="clear" w:color="auto" w:fill="FFFFFF"/>
            <w:tcMar>
              <w:left w:w="67" w:type="dxa"/>
              <w:right w:w="67" w:type="dxa"/>
            </w:tcMar>
          </w:tcPr>
          <w:p w14:paraId="631F9D9B" w14:textId="77777777" w:rsidR="00B77EA3" w:rsidRPr="0082484A" w:rsidRDefault="00B77EA3" w:rsidP="00B77EA3">
            <w:pPr>
              <w:contextualSpacing/>
              <w:rPr>
                <w:sz w:val="22"/>
                <w:szCs w:val="22"/>
              </w:rPr>
            </w:pPr>
            <w:r w:rsidRPr="0082484A">
              <w:rPr>
                <w:sz w:val="22"/>
                <w:szCs w:val="22"/>
              </w:rPr>
              <w:t>30 (12.35%)</w:t>
            </w:r>
          </w:p>
        </w:tc>
        <w:tc>
          <w:tcPr>
            <w:tcW w:w="1701" w:type="dxa"/>
            <w:tcBorders>
              <w:top w:val="nil"/>
              <w:left w:val="nil"/>
              <w:bottom w:val="nil"/>
              <w:right w:val="single" w:sz="11" w:space="0" w:color="000000"/>
            </w:tcBorders>
            <w:shd w:val="clear" w:color="auto" w:fill="FFFFFF"/>
            <w:tcMar>
              <w:left w:w="67" w:type="dxa"/>
              <w:right w:w="67" w:type="dxa"/>
            </w:tcMar>
          </w:tcPr>
          <w:p w14:paraId="4EEE27B6" w14:textId="77777777" w:rsidR="00B77EA3" w:rsidRPr="0082484A" w:rsidRDefault="00B77EA3" w:rsidP="00B77EA3">
            <w:pPr>
              <w:contextualSpacing/>
              <w:rPr>
                <w:sz w:val="22"/>
                <w:szCs w:val="22"/>
              </w:rPr>
            </w:pPr>
            <w:r w:rsidRPr="0082484A">
              <w:rPr>
                <w:sz w:val="22"/>
                <w:szCs w:val="22"/>
              </w:rPr>
              <w:t>23 (12.92%)</w:t>
            </w:r>
          </w:p>
        </w:tc>
      </w:tr>
      <w:tr w:rsidR="00B77EA3" w:rsidRPr="0082484A" w14:paraId="0FEE96BD"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5470D04B" w14:textId="77777777" w:rsidR="00B77EA3" w:rsidRPr="0082484A" w:rsidRDefault="00B77EA3" w:rsidP="00B77EA3">
            <w:pPr>
              <w:contextualSpacing/>
              <w:rPr>
                <w:sz w:val="22"/>
                <w:szCs w:val="22"/>
              </w:rPr>
            </w:pPr>
            <w:r w:rsidRPr="0082484A">
              <w:rPr>
                <w:sz w:val="22"/>
                <w:szCs w:val="22"/>
              </w:rPr>
              <w:t>NHS Leeds West CCG</w:t>
            </w:r>
          </w:p>
        </w:tc>
        <w:tc>
          <w:tcPr>
            <w:tcW w:w="1687" w:type="dxa"/>
            <w:tcBorders>
              <w:top w:val="nil"/>
              <w:left w:val="nil"/>
              <w:bottom w:val="nil"/>
              <w:right w:val="nil"/>
            </w:tcBorders>
            <w:shd w:val="clear" w:color="auto" w:fill="FFFFFF"/>
            <w:tcMar>
              <w:left w:w="67" w:type="dxa"/>
              <w:right w:w="67" w:type="dxa"/>
            </w:tcMar>
          </w:tcPr>
          <w:p w14:paraId="06F3A9F0" w14:textId="77777777" w:rsidR="00B77EA3" w:rsidRPr="0082484A" w:rsidRDefault="00B77EA3" w:rsidP="00B77EA3">
            <w:pPr>
              <w:contextualSpacing/>
              <w:rPr>
                <w:sz w:val="22"/>
                <w:szCs w:val="22"/>
              </w:rPr>
            </w:pPr>
            <w:r w:rsidRPr="0082484A">
              <w:rPr>
                <w:sz w:val="22"/>
                <w:szCs w:val="22"/>
              </w:rPr>
              <w:t>25 (8.99%)</w:t>
            </w:r>
          </w:p>
        </w:tc>
        <w:tc>
          <w:tcPr>
            <w:tcW w:w="1560" w:type="dxa"/>
            <w:tcBorders>
              <w:top w:val="nil"/>
              <w:left w:val="nil"/>
              <w:bottom w:val="nil"/>
              <w:right w:val="nil"/>
            </w:tcBorders>
            <w:shd w:val="clear" w:color="auto" w:fill="FFFFFF"/>
            <w:tcMar>
              <w:left w:w="67" w:type="dxa"/>
              <w:right w:w="67" w:type="dxa"/>
            </w:tcMar>
          </w:tcPr>
          <w:p w14:paraId="4CCB03C0" w14:textId="77777777" w:rsidR="00B77EA3" w:rsidRPr="0082484A" w:rsidRDefault="00B77EA3" w:rsidP="00B77EA3">
            <w:pPr>
              <w:contextualSpacing/>
              <w:rPr>
                <w:sz w:val="22"/>
                <w:szCs w:val="22"/>
              </w:rPr>
            </w:pPr>
            <w:r w:rsidRPr="0082484A">
              <w:rPr>
                <w:sz w:val="22"/>
                <w:szCs w:val="22"/>
              </w:rPr>
              <w:t>24 (9.88%)</w:t>
            </w:r>
          </w:p>
        </w:tc>
        <w:tc>
          <w:tcPr>
            <w:tcW w:w="1701" w:type="dxa"/>
            <w:tcBorders>
              <w:top w:val="nil"/>
              <w:left w:val="nil"/>
              <w:bottom w:val="nil"/>
              <w:right w:val="single" w:sz="11" w:space="0" w:color="000000"/>
            </w:tcBorders>
            <w:shd w:val="clear" w:color="auto" w:fill="FFFFFF"/>
            <w:tcMar>
              <w:left w:w="67" w:type="dxa"/>
              <w:right w:w="67" w:type="dxa"/>
            </w:tcMar>
          </w:tcPr>
          <w:p w14:paraId="235BB2FF" w14:textId="77777777" w:rsidR="00B77EA3" w:rsidRPr="0082484A" w:rsidRDefault="00B77EA3" w:rsidP="00B77EA3">
            <w:pPr>
              <w:contextualSpacing/>
              <w:rPr>
                <w:sz w:val="22"/>
                <w:szCs w:val="22"/>
              </w:rPr>
            </w:pPr>
            <w:r w:rsidRPr="0082484A">
              <w:rPr>
                <w:sz w:val="22"/>
                <w:szCs w:val="22"/>
              </w:rPr>
              <w:t>20 (11.24%)</w:t>
            </w:r>
          </w:p>
        </w:tc>
      </w:tr>
      <w:tr w:rsidR="00B77EA3" w:rsidRPr="0082484A" w14:paraId="40B185BA"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4F1989AE" w14:textId="77777777" w:rsidR="00B77EA3" w:rsidRPr="0082484A" w:rsidRDefault="00B77EA3" w:rsidP="00B77EA3">
            <w:pPr>
              <w:contextualSpacing/>
              <w:rPr>
                <w:sz w:val="22"/>
                <w:szCs w:val="22"/>
              </w:rPr>
            </w:pPr>
            <w:r w:rsidRPr="0082484A">
              <w:rPr>
                <w:sz w:val="22"/>
                <w:szCs w:val="22"/>
              </w:rPr>
              <w:t>NHS North Kirklees CCG</w:t>
            </w:r>
          </w:p>
        </w:tc>
        <w:tc>
          <w:tcPr>
            <w:tcW w:w="1687" w:type="dxa"/>
            <w:tcBorders>
              <w:top w:val="nil"/>
              <w:left w:val="nil"/>
              <w:bottom w:val="nil"/>
              <w:right w:val="nil"/>
            </w:tcBorders>
            <w:shd w:val="clear" w:color="auto" w:fill="FFFFFF"/>
            <w:tcMar>
              <w:left w:w="67" w:type="dxa"/>
              <w:right w:w="67" w:type="dxa"/>
            </w:tcMar>
          </w:tcPr>
          <w:p w14:paraId="21C3BAD2" w14:textId="77777777" w:rsidR="00B77EA3" w:rsidRPr="0082484A" w:rsidRDefault="00B77EA3" w:rsidP="00B77EA3">
            <w:pPr>
              <w:contextualSpacing/>
              <w:rPr>
                <w:sz w:val="22"/>
                <w:szCs w:val="22"/>
              </w:rPr>
            </w:pPr>
            <w:r w:rsidRPr="0082484A">
              <w:rPr>
                <w:sz w:val="22"/>
                <w:szCs w:val="22"/>
              </w:rPr>
              <w:t>29 (10.43%)</w:t>
            </w:r>
          </w:p>
        </w:tc>
        <w:tc>
          <w:tcPr>
            <w:tcW w:w="1560" w:type="dxa"/>
            <w:tcBorders>
              <w:top w:val="nil"/>
              <w:left w:val="nil"/>
              <w:bottom w:val="nil"/>
              <w:right w:val="nil"/>
            </w:tcBorders>
            <w:shd w:val="clear" w:color="auto" w:fill="FFFFFF"/>
            <w:tcMar>
              <w:left w:w="67" w:type="dxa"/>
              <w:right w:w="67" w:type="dxa"/>
            </w:tcMar>
          </w:tcPr>
          <w:p w14:paraId="6CE2BF43" w14:textId="77777777" w:rsidR="00B77EA3" w:rsidRPr="0082484A" w:rsidRDefault="00B77EA3" w:rsidP="00B77EA3">
            <w:pPr>
              <w:contextualSpacing/>
              <w:rPr>
                <w:sz w:val="22"/>
                <w:szCs w:val="22"/>
              </w:rPr>
            </w:pPr>
            <w:r w:rsidRPr="0082484A">
              <w:rPr>
                <w:sz w:val="22"/>
                <w:szCs w:val="22"/>
              </w:rPr>
              <w:t>27 (11.11%)</w:t>
            </w:r>
          </w:p>
        </w:tc>
        <w:tc>
          <w:tcPr>
            <w:tcW w:w="1701" w:type="dxa"/>
            <w:tcBorders>
              <w:top w:val="nil"/>
              <w:left w:val="nil"/>
              <w:bottom w:val="nil"/>
              <w:right w:val="single" w:sz="11" w:space="0" w:color="000000"/>
            </w:tcBorders>
            <w:shd w:val="clear" w:color="auto" w:fill="FFFFFF"/>
            <w:tcMar>
              <w:left w:w="67" w:type="dxa"/>
              <w:right w:w="67" w:type="dxa"/>
            </w:tcMar>
          </w:tcPr>
          <w:p w14:paraId="51D0574A" w14:textId="77777777" w:rsidR="00B77EA3" w:rsidRPr="0082484A" w:rsidRDefault="00B77EA3" w:rsidP="00B77EA3">
            <w:pPr>
              <w:contextualSpacing/>
              <w:rPr>
                <w:sz w:val="22"/>
                <w:szCs w:val="22"/>
              </w:rPr>
            </w:pPr>
            <w:r w:rsidRPr="0082484A">
              <w:rPr>
                <w:sz w:val="22"/>
                <w:szCs w:val="22"/>
              </w:rPr>
              <w:t>18 (10.11%)</w:t>
            </w:r>
          </w:p>
        </w:tc>
      </w:tr>
      <w:tr w:rsidR="00B77EA3" w:rsidRPr="0082484A" w14:paraId="6365ACA6" w14:textId="77777777" w:rsidTr="0082484A">
        <w:trPr>
          <w:cantSplit/>
        </w:trPr>
        <w:tc>
          <w:tcPr>
            <w:tcW w:w="3969" w:type="dxa"/>
            <w:tcBorders>
              <w:top w:val="nil"/>
              <w:left w:val="single" w:sz="11" w:space="0" w:color="000000"/>
              <w:bottom w:val="nil"/>
              <w:right w:val="nil"/>
            </w:tcBorders>
            <w:shd w:val="clear" w:color="auto" w:fill="FFFFFF"/>
            <w:tcMar>
              <w:left w:w="67" w:type="dxa"/>
              <w:right w:w="67" w:type="dxa"/>
            </w:tcMar>
          </w:tcPr>
          <w:p w14:paraId="75641439" w14:textId="77777777" w:rsidR="00B77EA3" w:rsidRPr="0082484A" w:rsidRDefault="00B77EA3" w:rsidP="00B77EA3">
            <w:pPr>
              <w:contextualSpacing/>
              <w:rPr>
                <w:sz w:val="22"/>
                <w:szCs w:val="22"/>
              </w:rPr>
            </w:pPr>
            <w:r w:rsidRPr="0082484A">
              <w:rPr>
                <w:sz w:val="22"/>
                <w:szCs w:val="22"/>
              </w:rPr>
              <w:t>NHS Wakefield CCG</w:t>
            </w:r>
          </w:p>
        </w:tc>
        <w:tc>
          <w:tcPr>
            <w:tcW w:w="1687" w:type="dxa"/>
            <w:tcBorders>
              <w:top w:val="nil"/>
              <w:left w:val="nil"/>
              <w:bottom w:val="nil"/>
              <w:right w:val="nil"/>
            </w:tcBorders>
            <w:shd w:val="clear" w:color="auto" w:fill="FFFFFF"/>
            <w:tcMar>
              <w:left w:w="67" w:type="dxa"/>
              <w:right w:w="67" w:type="dxa"/>
            </w:tcMar>
          </w:tcPr>
          <w:p w14:paraId="1B68BEE1" w14:textId="77777777" w:rsidR="00B77EA3" w:rsidRPr="0082484A" w:rsidRDefault="00B77EA3" w:rsidP="00B77EA3">
            <w:pPr>
              <w:contextualSpacing/>
              <w:rPr>
                <w:sz w:val="22"/>
                <w:szCs w:val="22"/>
              </w:rPr>
            </w:pPr>
            <w:r w:rsidRPr="0082484A">
              <w:rPr>
                <w:sz w:val="22"/>
                <w:szCs w:val="22"/>
              </w:rPr>
              <w:t>34 (12.23%)</w:t>
            </w:r>
          </w:p>
        </w:tc>
        <w:tc>
          <w:tcPr>
            <w:tcW w:w="1560" w:type="dxa"/>
            <w:tcBorders>
              <w:top w:val="nil"/>
              <w:left w:val="nil"/>
              <w:bottom w:val="nil"/>
              <w:right w:val="nil"/>
            </w:tcBorders>
            <w:shd w:val="clear" w:color="auto" w:fill="FFFFFF"/>
            <w:tcMar>
              <w:left w:w="67" w:type="dxa"/>
              <w:right w:w="67" w:type="dxa"/>
            </w:tcMar>
          </w:tcPr>
          <w:p w14:paraId="1C6F6E12" w14:textId="77777777" w:rsidR="00B77EA3" w:rsidRPr="0082484A" w:rsidRDefault="00B77EA3" w:rsidP="00B77EA3">
            <w:pPr>
              <w:contextualSpacing/>
              <w:rPr>
                <w:sz w:val="22"/>
                <w:szCs w:val="22"/>
              </w:rPr>
            </w:pPr>
            <w:r w:rsidRPr="0082484A">
              <w:rPr>
                <w:sz w:val="22"/>
                <w:szCs w:val="22"/>
              </w:rPr>
              <w:t>30 (12.35%)</w:t>
            </w:r>
          </w:p>
        </w:tc>
        <w:tc>
          <w:tcPr>
            <w:tcW w:w="1701" w:type="dxa"/>
            <w:tcBorders>
              <w:top w:val="nil"/>
              <w:left w:val="nil"/>
              <w:bottom w:val="nil"/>
              <w:right w:val="single" w:sz="11" w:space="0" w:color="000000"/>
            </w:tcBorders>
            <w:shd w:val="clear" w:color="auto" w:fill="FFFFFF"/>
            <w:tcMar>
              <w:left w:w="67" w:type="dxa"/>
              <w:right w:w="67" w:type="dxa"/>
            </w:tcMar>
          </w:tcPr>
          <w:p w14:paraId="79DE6215" w14:textId="77777777" w:rsidR="00B77EA3" w:rsidRPr="0082484A" w:rsidRDefault="00B77EA3" w:rsidP="00B77EA3">
            <w:pPr>
              <w:contextualSpacing/>
              <w:rPr>
                <w:sz w:val="22"/>
                <w:szCs w:val="22"/>
              </w:rPr>
            </w:pPr>
            <w:r w:rsidRPr="0082484A">
              <w:rPr>
                <w:sz w:val="22"/>
                <w:szCs w:val="22"/>
              </w:rPr>
              <w:t>20 (11.24%)</w:t>
            </w:r>
          </w:p>
        </w:tc>
      </w:tr>
      <w:tr w:rsidR="00B77EA3" w:rsidRPr="0082484A" w14:paraId="3392FF98" w14:textId="77777777" w:rsidTr="0082484A">
        <w:trPr>
          <w:cantSplit/>
        </w:trPr>
        <w:tc>
          <w:tcPr>
            <w:tcW w:w="3969" w:type="dxa"/>
            <w:tcBorders>
              <w:top w:val="nil"/>
              <w:left w:val="single" w:sz="11" w:space="0" w:color="000000"/>
              <w:bottom w:val="single" w:sz="11" w:space="0" w:color="000000"/>
              <w:right w:val="nil"/>
            </w:tcBorders>
            <w:shd w:val="clear" w:color="auto" w:fill="FFFFFF"/>
            <w:tcMar>
              <w:left w:w="67" w:type="dxa"/>
              <w:right w:w="67" w:type="dxa"/>
            </w:tcMar>
          </w:tcPr>
          <w:p w14:paraId="4E9D413C" w14:textId="77777777" w:rsidR="00B77EA3" w:rsidRPr="0082484A" w:rsidRDefault="00B77EA3" w:rsidP="00B77EA3">
            <w:pPr>
              <w:contextualSpacing/>
              <w:rPr>
                <w:color w:val="FF0000"/>
                <w:sz w:val="22"/>
                <w:szCs w:val="22"/>
              </w:rPr>
            </w:pPr>
          </w:p>
        </w:tc>
        <w:tc>
          <w:tcPr>
            <w:tcW w:w="1687" w:type="dxa"/>
            <w:tcBorders>
              <w:top w:val="nil"/>
              <w:left w:val="nil"/>
              <w:bottom w:val="single" w:sz="11" w:space="0" w:color="000000"/>
              <w:right w:val="nil"/>
            </w:tcBorders>
            <w:shd w:val="clear" w:color="auto" w:fill="FFFFFF"/>
            <w:tcMar>
              <w:left w:w="67" w:type="dxa"/>
              <w:right w:w="67" w:type="dxa"/>
            </w:tcMar>
          </w:tcPr>
          <w:p w14:paraId="01DC67FA" w14:textId="77777777" w:rsidR="00B77EA3" w:rsidRPr="0082484A" w:rsidRDefault="00B77EA3" w:rsidP="00B77EA3">
            <w:pPr>
              <w:contextualSpacing/>
              <w:rPr>
                <w:color w:val="FF0000"/>
                <w:sz w:val="22"/>
                <w:szCs w:val="22"/>
              </w:rPr>
            </w:pPr>
          </w:p>
        </w:tc>
        <w:tc>
          <w:tcPr>
            <w:tcW w:w="1560" w:type="dxa"/>
            <w:tcBorders>
              <w:top w:val="nil"/>
              <w:left w:val="nil"/>
              <w:bottom w:val="single" w:sz="11" w:space="0" w:color="000000"/>
              <w:right w:val="nil"/>
            </w:tcBorders>
            <w:shd w:val="clear" w:color="auto" w:fill="FFFFFF"/>
            <w:tcMar>
              <w:left w:w="67" w:type="dxa"/>
              <w:right w:w="67" w:type="dxa"/>
            </w:tcMar>
          </w:tcPr>
          <w:p w14:paraId="7F8D98BD" w14:textId="77777777" w:rsidR="00B77EA3" w:rsidRPr="0082484A" w:rsidRDefault="00B77EA3" w:rsidP="00B77EA3">
            <w:pPr>
              <w:contextualSpacing/>
              <w:rPr>
                <w:color w:val="FF0000"/>
                <w:sz w:val="22"/>
                <w:szCs w:val="22"/>
              </w:rPr>
            </w:pPr>
          </w:p>
        </w:tc>
        <w:tc>
          <w:tcPr>
            <w:tcW w:w="1701" w:type="dxa"/>
            <w:tcBorders>
              <w:top w:val="nil"/>
              <w:left w:val="nil"/>
              <w:bottom w:val="single" w:sz="11" w:space="0" w:color="000000"/>
              <w:right w:val="single" w:sz="11" w:space="0" w:color="000000"/>
            </w:tcBorders>
            <w:shd w:val="clear" w:color="auto" w:fill="FFFFFF"/>
            <w:tcMar>
              <w:left w:w="67" w:type="dxa"/>
              <w:right w:w="67" w:type="dxa"/>
            </w:tcMar>
          </w:tcPr>
          <w:p w14:paraId="76299055" w14:textId="77777777" w:rsidR="00B77EA3" w:rsidRPr="0082484A" w:rsidRDefault="00B77EA3" w:rsidP="00B77EA3">
            <w:pPr>
              <w:contextualSpacing/>
              <w:rPr>
                <w:color w:val="FF0000"/>
                <w:sz w:val="22"/>
                <w:szCs w:val="22"/>
              </w:rPr>
            </w:pPr>
          </w:p>
        </w:tc>
      </w:tr>
    </w:tbl>
    <w:p w14:paraId="296447A8" w14:textId="77777777" w:rsidR="00B77EA3" w:rsidRPr="0082484A" w:rsidRDefault="00B77EA3" w:rsidP="00B77EA3">
      <w:pPr>
        <w:contextualSpacing/>
        <w:rPr>
          <w:color w:val="FF0000"/>
          <w:sz w:val="22"/>
          <w:szCs w:val="22"/>
        </w:rPr>
      </w:pPr>
    </w:p>
    <w:p w14:paraId="071DBEEB" w14:textId="77777777" w:rsidR="009A3C2D" w:rsidRPr="0082484A" w:rsidRDefault="009A3C2D" w:rsidP="00B77EA3">
      <w:pPr>
        <w:spacing w:after="200"/>
        <w:rPr>
          <w:color w:val="FF0000"/>
          <w:sz w:val="22"/>
          <w:szCs w:val="22"/>
        </w:rPr>
        <w:sectPr w:rsidR="009A3C2D" w:rsidRPr="0082484A" w:rsidSect="009A3C2D">
          <w:pgSz w:w="11906" w:h="16838"/>
          <w:pgMar w:top="1440" w:right="1440" w:bottom="1440" w:left="1440" w:header="708" w:footer="708" w:gutter="0"/>
          <w:cols w:space="708"/>
          <w:docGrid w:linePitch="360"/>
        </w:sectPr>
      </w:pPr>
    </w:p>
    <w:p w14:paraId="64FA51A0" w14:textId="5A1070A8" w:rsidR="00B77EA3" w:rsidRPr="0082484A" w:rsidRDefault="00B77EA3" w:rsidP="00B77EA3">
      <w:pPr>
        <w:pStyle w:val="Caption"/>
        <w:rPr>
          <w:b w:val="0"/>
          <w:bCs w:val="0"/>
          <w:sz w:val="22"/>
          <w:szCs w:val="22"/>
        </w:rPr>
      </w:pPr>
      <w:bookmarkStart w:id="4" w:name="_Ref501103231"/>
      <w:bookmarkStart w:id="5" w:name="_Toc8728069"/>
      <w:bookmarkStart w:id="6" w:name="_Toc19526731"/>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2</w:t>
      </w:r>
      <w:r w:rsidRPr="0082484A">
        <w:rPr>
          <w:b w:val="0"/>
          <w:noProof/>
          <w:sz w:val="22"/>
          <w:szCs w:val="22"/>
        </w:rPr>
        <w:fldChar w:fldCharType="end"/>
      </w:r>
      <w:bookmarkEnd w:id="4"/>
      <w:r w:rsidRPr="0082484A">
        <w:rPr>
          <w:b w:val="0"/>
          <w:sz w:val="22"/>
          <w:szCs w:val="22"/>
        </w:rPr>
        <w:t>: Cluster-randomised evaluation: reasons for practice ineligibility (by clinical commissioning group) (WP4a)</w:t>
      </w:r>
      <w:bookmarkEnd w:id="5"/>
      <w:bookmarkEnd w:id="6"/>
    </w:p>
    <w:tbl>
      <w:tblPr>
        <w:tblW w:w="10615" w:type="dxa"/>
        <w:tblInd w:w="-706" w:type="dxa"/>
        <w:tblLayout w:type="fixed"/>
        <w:tblCellMar>
          <w:left w:w="0" w:type="dxa"/>
          <w:right w:w="0" w:type="dxa"/>
        </w:tblCellMar>
        <w:tblLook w:val="0000" w:firstRow="0" w:lastRow="0" w:firstColumn="0" w:lastColumn="0" w:noHBand="0" w:noVBand="0"/>
      </w:tblPr>
      <w:tblGrid>
        <w:gridCol w:w="2677"/>
        <w:gridCol w:w="1417"/>
        <w:gridCol w:w="1418"/>
        <w:gridCol w:w="1276"/>
        <w:gridCol w:w="1447"/>
        <w:gridCol w:w="1246"/>
        <w:gridCol w:w="1134"/>
      </w:tblGrid>
      <w:tr w:rsidR="00B77EA3" w:rsidRPr="0082484A" w14:paraId="5278C6B5" w14:textId="77777777" w:rsidTr="0082484A">
        <w:trPr>
          <w:cantSplit/>
          <w:tblHeader/>
        </w:trPr>
        <w:tc>
          <w:tcPr>
            <w:tcW w:w="2677"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21A49A7" w14:textId="77777777" w:rsidR="00B77EA3" w:rsidRPr="0082484A" w:rsidRDefault="00B77EA3" w:rsidP="00B77EA3">
            <w:pPr>
              <w:contextualSpacing/>
              <w:rPr>
                <w:bCs/>
                <w:sz w:val="22"/>
                <w:szCs w:val="22"/>
              </w:rPr>
            </w:pPr>
            <w:r w:rsidRPr="0082484A">
              <w:rPr>
                <w:bCs/>
                <w:sz w:val="22"/>
                <w:szCs w:val="22"/>
              </w:rPr>
              <w:t>CCG</w:t>
            </w:r>
          </w:p>
        </w:tc>
        <w:tc>
          <w:tcPr>
            <w:tcW w:w="141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5888666" w14:textId="77777777" w:rsidR="00B77EA3" w:rsidRPr="0082484A" w:rsidRDefault="00B77EA3" w:rsidP="00B77EA3">
            <w:pPr>
              <w:contextualSpacing/>
              <w:rPr>
                <w:bCs/>
                <w:sz w:val="22"/>
                <w:szCs w:val="22"/>
              </w:rPr>
            </w:pPr>
            <w:r w:rsidRPr="0082484A">
              <w:rPr>
                <w:bCs/>
                <w:sz w:val="22"/>
                <w:szCs w:val="22"/>
              </w:rPr>
              <w:t xml:space="preserve">Pilot </w:t>
            </w:r>
          </w:p>
          <w:p w14:paraId="1198E547" w14:textId="77777777" w:rsidR="00B77EA3" w:rsidRPr="0082484A" w:rsidRDefault="00B77EA3" w:rsidP="00B77EA3">
            <w:pPr>
              <w:contextualSpacing/>
              <w:rPr>
                <w:bCs/>
                <w:sz w:val="22"/>
                <w:szCs w:val="22"/>
              </w:rPr>
            </w:pPr>
            <w:r w:rsidRPr="0082484A">
              <w:rPr>
                <w:bCs/>
                <w:sz w:val="22"/>
                <w:szCs w:val="22"/>
              </w:rPr>
              <w:t>(n=6)</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1A08FC3" w14:textId="77777777" w:rsidR="00B77EA3" w:rsidRPr="0082484A" w:rsidRDefault="00B77EA3" w:rsidP="00B77EA3">
            <w:pPr>
              <w:contextualSpacing/>
              <w:rPr>
                <w:bCs/>
                <w:sz w:val="22"/>
                <w:szCs w:val="22"/>
              </w:rPr>
            </w:pPr>
            <w:r w:rsidRPr="0082484A">
              <w:rPr>
                <w:bCs/>
                <w:sz w:val="22"/>
                <w:szCs w:val="22"/>
              </w:rPr>
              <w:t>Process evaluation (n=7)</w:t>
            </w:r>
          </w:p>
        </w:tc>
        <w:tc>
          <w:tcPr>
            <w:tcW w:w="1276"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7B803CD" w14:textId="77777777" w:rsidR="00B77EA3" w:rsidRPr="0082484A" w:rsidRDefault="00B77EA3" w:rsidP="00B77EA3">
            <w:pPr>
              <w:contextualSpacing/>
              <w:rPr>
                <w:bCs/>
                <w:sz w:val="22"/>
                <w:szCs w:val="22"/>
              </w:rPr>
            </w:pPr>
            <w:r w:rsidRPr="0082484A">
              <w:rPr>
                <w:bCs/>
                <w:sz w:val="22"/>
                <w:szCs w:val="22"/>
              </w:rPr>
              <w:t>Safe haven (n=2)</w:t>
            </w:r>
          </w:p>
        </w:tc>
        <w:tc>
          <w:tcPr>
            <w:tcW w:w="144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976D91D" w14:textId="77777777" w:rsidR="00B77EA3" w:rsidRPr="0082484A" w:rsidRDefault="00B77EA3" w:rsidP="00B77EA3">
            <w:pPr>
              <w:contextualSpacing/>
              <w:rPr>
                <w:bCs/>
                <w:sz w:val="22"/>
                <w:szCs w:val="22"/>
              </w:rPr>
            </w:pPr>
            <w:r w:rsidRPr="0082484A">
              <w:rPr>
                <w:bCs/>
                <w:sz w:val="22"/>
                <w:szCs w:val="22"/>
              </w:rPr>
              <w:t>Unable to contact (n=2)</w:t>
            </w:r>
          </w:p>
        </w:tc>
        <w:tc>
          <w:tcPr>
            <w:tcW w:w="1246"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F74214D" w14:textId="77777777" w:rsidR="00B77EA3" w:rsidRPr="0082484A" w:rsidRDefault="00B77EA3" w:rsidP="00B77EA3">
            <w:pPr>
              <w:contextualSpacing/>
              <w:rPr>
                <w:bCs/>
                <w:sz w:val="22"/>
                <w:szCs w:val="22"/>
              </w:rPr>
            </w:pPr>
            <w:r w:rsidRPr="0082484A">
              <w:rPr>
                <w:bCs/>
                <w:sz w:val="22"/>
                <w:szCs w:val="22"/>
              </w:rPr>
              <w:t xml:space="preserve">Participated in WP2&amp;3 </w:t>
            </w:r>
          </w:p>
          <w:p w14:paraId="752E52CC" w14:textId="77777777" w:rsidR="00B77EA3" w:rsidRPr="0082484A" w:rsidRDefault="00B77EA3" w:rsidP="00B77EA3">
            <w:pPr>
              <w:contextualSpacing/>
              <w:rPr>
                <w:bCs/>
                <w:sz w:val="22"/>
                <w:szCs w:val="22"/>
              </w:rPr>
            </w:pPr>
            <w:r w:rsidRPr="0082484A">
              <w:rPr>
                <w:bCs/>
                <w:sz w:val="22"/>
                <w:szCs w:val="22"/>
              </w:rPr>
              <w:t>(n=18)</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D2B556C" w14:textId="77777777" w:rsidR="00B77EA3" w:rsidRPr="0082484A" w:rsidRDefault="00B77EA3" w:rsidP="00B77EA3">
            <w:pPr>
              <w:contextualSpacing/>
              <w:rPr>
                <w:bCs/>
                <w:sz w:val="22"/>
                <w:szCs w:val="22"/>
              </w:rPr>
            </w:pPr>
            <w:r w:rsidRPr="0082484A">
              <w:rPr>
                <w:bCs/>
                <w:sz w:val="22"/>
                <w:szCs w:val="22"/>
              </w:rPr>
              <w:t>Total (n=35)</w:t>
            </w:r>
          </w:p>
        </w:tc>
      </w:tr>
      <w:tr w:rsidR="00B77EA3" w:rsidRPr="0082484A" w14:paraId="4A95FE98"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7E6BE99D" w14:textId="77777777" w:rsidR="00B77EA3" w:rsidRPr="0082484A" w:rsidRDefault="00B77EA3" w:rsidP="00B77EA3">
            <w:pPr>
              <w:contextualSpacing/>
              <w:rPr>
                <w:sz w:val="22"/>
                <w:szCs w:val="22"/>
              </w:rPr>
            </w:pPr>
            <w:r w:rsidRPr="0082484A">
              <w:rPr>
                <w:sz w:val="22"/>
                <w:szCs w:val="22"/>
              </w:rPr>
              <w:t>NHS Airedale, Wharfedale And Craven CCG</w:t>
            </w:r>
          </w:p>
        </w:tc>
        <w:tc>
          <w:tcPr>
            <w:tcW w:w="1417" w:type="dxa"/>
            <w:tcBorders>
              <w:top w:val="nil"/>
              <w:left w:val="nil"/>
              <w:bottom w:val="nil"/>
              <w:right w:val="nil"/>
            </w:tcBorders>
            <w:shd w:val="clear" w:color="auto" w:fill="FFFFFF"/>
            <w:tcMar>
              <w:left w:w="67" w:type="dxa"/>
              <w:right w:w="67" w:type="dxa"/>
            </w:tcMar>
          </w:tcPr>
          <w:p w14:paraId="0CEE2067"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265DC658" w14:textId="77777777" w:rsidR="00B77EA3" w:rsidRPr="0082484A" w:rsidRDefault="00B77EA3" w:rsidP="00B77EA3">
            <w:pPr>
              <w:contextualSpacing/>
              <w:rPr>
                <w:sz w:val="22"/>
                <w:szCs w:val="22"/>
              </w:rPr>
            </w:pPr>
            <w:r w:rsidRPr="0082484A">
              <w:rPr>
                <w:sz w:val="22"/>
                <w:szCs w:val="22"/>
              </w:rPr>
              <w:t>0 (0.00%)</w:t>
            </w:r>
          </w:p>
        </w:tc>
        <w:tc>
          <w:tcPr>
            <w:tcW w:w="1276" w:type="dxa"/>
            <w:tcBorders>
              <w:top w:val="nil"/>
              <w:left w:val="nil"/>
              <w:bottom w:val="nil"/>
              <w:right w:val="nil"/>
            </w:tcBorders>
            <w:shd w:val="clear" w:color="auto" w:fill="FFFFFF"/>
            <w:tcMar>
              <w:left w:w="67" w:type="dxa"/>
              <w:right w:w="67" w:type="dxa"/>
            </w:tcMar>
          </w:tcPr>
          <w:p w14:paraId="768ED6E9"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60D7AAA5"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4CBA5B79" w14:textId="77777777" w:rsidR="00B77EA3" w:rsidRPr="0082484A" w:rsidRDefault="00B77EA3" w:rsidP="00B77EA3">
            <w:pPr>
              <w:contextualSpacing/>
              <w:rPr>
                <w:sz w:val="22"/>
                <w:szCs w:val="22"/>
              </w:rPr>
            </w:pPr>
            <w:r w:rsidRPr="0082484A">
              <w:rPr>
                <w:sz w:val="22"/>
                <w:szCs w:val="22"/>
              </w:rPr>
              <w:t>1 (100.00%)</w:t>
            </w:r>
          </w:p>
        </w:tc>
        <w:tc>
          <w:tcPr>
            <w:tcW w:w="1134" w:type="dxa"/>
            <w:tcBorders>
              <w:top w:val="nil"/>
              <w:left w:val="nil"/>
              <w:bottom w:val="nil"/>
              <w:right w:val="single" w:sz="11" w:space="0" w:color="000000"/>
            </w:tcBorders>
            <w:shd w:val="clear" w:color="auto" w:fill="FFFFFF"/>
            <w:tcMar>
              <w:left w:w="67" w:type="dxa"/>
              <w:right w:w="67" w:type="dxa"/>
            </w:tcMar>
          </w:tcPr>
          <w:p w14:paraId="24542180" w14:textId="77777777" w:rsidR="00B77EA3" w:rsidRPr="0082484A" w:rsidRDefault="00B77EA3" w:rsidP="00B77EA3">
            <w:pPr>
              <w:contextualSpacing/>
              <w:rPr>
                <w:sz w:val="22"/>
                <w:szCs w:val="22"/>
              </w:rPr>
            </w:pPr>
            <w:r w:rsidRPr="0082484A">
              <w:rPr>
                <w:sz w:val="22"/>
                <w:szCs w:val="22"/>
              </w:rPr>
              <w:t>1 (100%)</w:t>
            </w:r>
          </w:p>
        </w:tc>
      </w:tr>
      <w:tr w:rsidR="00B77EA3" w:rsidRPr="0082484A" w14:paraId="06E2013F"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7754F7EA" w14:textId="77777777" w:rsidR="00B77EA3" w:rsidRPr="0082484A" w:rsidRDefault="00B77EA3" w:rsidP="00B77EA3">
            <w:pPr>
              <w:contextualSpacing/>
              <w:rPr>
                <w:sz w:val="22"/>
                <w:szCs w:val="22"/>
              </w:rPr>
            </w:pPr>
            <w:r w:rsidRPr="0082484A">
              <w:rPr>
                <w:sz w:val="22"/>
                <w:szCs w:val="22"/>
              </w:rPr>
              <w:t>NHS Bradford City CCG</w:t>
            </w:r>
          </w:p>
        </w:tc>
        <w:tc>
          <w:tcPr>
            <w:tcW w:w="1417" w:type="dxa"/>
            <w:tcBorders>
              <w:top w:val="nil"/>
              <w:left w:val="nil"/>
              <w:bottom w:val="nil"/>
              <w:right w:val="nil"/>
            </w:tcBorders>
            <w:shd w:val="clear" w:color="auto" w:fill="FFFFFF"/>
            <w:tcMar>
              <w:left w:w="67" w:type="dxa"/>
              <w:right w:w="67" w:type="dxa"/>
            </w:tcMar>
          </w:tcPr>
          <w:p w14:paraId="11B7BF07"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51281C20" w14:textId="77777777" w:rsidR="00B77EA3" w:rsidRPr="0082484A" w:rsidRDefault="00B77EA3" w:rsidP="00B77EA3">
            <w:pPr>
              <w:contextualSpacing/>
              <w:rPr>
                <w:sz w:val="22"/>
                <w:szCs w:val="22"/>
              </w:rPr>
            </w:pPr>
            <w:r w:rsidRPr="0082484A">
              <w:rPr>
                <w:sz w:val="22"/>
                <w:szCs w:val="22"/>
              </w:rPr>
              <w:t>0 (0.00%)</w:t>
            </w:r>
          </w:p>
        </w:tc>
        <w:tc>
          <w:tcPr>
            <w:tcW w:w="1276" w:type="dxa"/>
            <w:tcBorders>
              <w:top w:val="nil"/>
              <w:left w:val="nil"/>
              <w:bottom w:val="nil"/>
              <w:right w:val="nil"/>
            </w:tcBorders>
            <w:shd w:val="clear" w:color="auto" w:fill="FFFFFF"/>
            <w:tcMar>
              <w:left w:w="67" w:type="dxa"/>
              <w:right w:w="67" w:type="dxa"/>
            </w:tcMar>
          </w:tcPr>
          <w:p w14:paraId="0ACBD464"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489FAEDC"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3104000B" w14:textId="77777777" w:rsidR="00B77EA3" w:rsidRPr="0082484A" w:rsidRDefault="00B77EA3" w:rsidP="00B77EA3">
            <w:pPr>
              <w:contextualSpacing/>
              <w:rPr>
                <w:sz w:val="22"/>
                <w:szCs w:val="22"/>
              </w:rPr>
            </w:pPr>
            <w:r w:rsidRPr="0082484A">
              <w:rPr>
                <w:sz w:val="22"/>
                <w:szCs w:val="22"/>
              </w:rPr>
              <w:t>2 (100.00%)</w:t>
            </w:r>
          </w:p>
        </w:tc>
        <w:tc>
          <w:tcPr>
            <w:tcW w:w="1134" w:type="dxa"/>
            <w:tcBorders>
              <w:top w:val="nil"/>
              <w:left w:val="nil"/>
              <w:bottom w:val="nil"/>
              <w:right w:val="single" w:sz="11" w:space="0" w:color="000000"/>
            </w:tcBorders>
            <w:shd w:val="clear" w:color="auto" w:fill="FFFFFF"/>
            <w:tcMar>
              <w:left w:w="67" w:type="dxa"/>
              <w:right w:w="67" w:type="dxa"/>
            </w:tcMar>
          </w:tcPr>
          <w:p w14:paraId="018282D6" w14:textId="77777777" w:rsidR="00B77EA3" w:rsidRPr="0082484A" w:rsidRDefault="00B77EA3" w:rsidP="00B77EA3">
            <w:pPr>
              <w:contextualSpacing/>
              <w:rPr>
                <w:sz w:val="22"/>
                <w:szCs w:val="22"/>
              </w:rPr>
            </w:pPr>
            <w:r w:rsidRPr="0082484A">
              <w:rPr>
                <w:sz w:val="22"/>
                <w:szCs w:val="22"/>
              </w:rPr>
              <w:t>2 (100%)</w:t>
            </w:r>
          </w:p>
        </w:tc>
      </w:tr>
      <w:tr w:rsidR="00B77EA3" w:rsidRPr="0082484A" w14:paraId="56096694"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27567587" w14:textId="77777777" w:rsidR="00B77EA3" w:rsidRPr="0082484A" w:rsidRDefault="00B77EA3" w:rsidP="00B77EA3">
            <w:pPr>
              <w:contextualSpacing/>
              <w:rPr>
                <w:sz w:val="22"/>
                <w:szCs w:val="22"/>
              </w:rPr>
            </w:pPr>
            <w:r w:rsidRPr="0082484A">
              <w:rPr>
                <w:sz w:val="22"/>
                <w:szCs w:val="22"/>
              </w:rPr>
              <w:t>NHS Bradford Districts CCG</w:t>
            </w:r>
          </w:p>
        </w:tc>
        <w:tc>
          <w:tcPr>
            <w:tcW w:w="1417" w:type="dxa"/>
            <w:tcBorders>
              <w:top w:val="nil"/>
              <w:left w:val="nil"/>
              <w:bottom w:val="nil"/>
              <w:right w:val="nil"/>
            </w:tcBorders>
            <w:shd w:val="clear" w:color="auto" w:fill="FFFFFF"/>
            <w:tcMar>
              <w:left w:w="67" w:type="dxa"/>
              <w:right w:w="67" w:type="dxa"/>
            </w:tcMar>
          </w:tcPr>
          <w:p w14:paraId="3AE77E65" w14:textId="77777777" w:rsidR="00B77EA3" w:rsidRPr="0082484A" w:rsidRDefault="00B77EA3" w:rsidP="00B77EA3">
            <w:pPr>
              <w:contextualSpacing/>
              <w:rPr>
                <w:sz w:val="22"/>
                <w:szCs w:val="22"/>
              </w:rPr>
            </w:pPr>
            <w:r w:rsidRPr="0082484A">
              <w:rPr>
                <w:sz w:val="22"/>
                <w:szCs w:val="22"/>
              </w:rPr>
              <w:t>2 (40.00%)</w:t>
            </w:r>
          </w:p>
        </w:tc>
        <w:tc>
          <w:tcPr>
            <w:tcW w:w="1418" w:type="dxa"/>
            <w:tcBorders>
              <w:top w:val="nil"/>
              <w:left w:val="nil"/>
              <w:bottom w:val="nil"/>
              <w:right w:val="nil"/>
            </w:tcBorders>
            <w:shd w:val="clear" w:color="auto" w:fill="FFFFFF"/>
            <w:tcMar>
              <w:left w:w="67" w:type="dxa"/>
              <w:right w:w="67" w:type="dxa"/>
            </w:tcMar>
          </w:tcPr>
          <w:p w14:paraId="5DE8A951" w14:textId="77777777" w:rsidR="00B77EA3" w:rsidRPr="0082484A" w:rsidRDefault="00B77EA3" w:rsidP="00B77EA3">
            <w:pPr>
              <w:contextualSpacing/>
              <w:rPr>
                <w:sz w:val="22"/>
                <w:szCs w:val="22"/>
              </w:rPr>
            </w:pPr>
            <w:r w:rsidRPr="0082484A">
              <w:rPr>
                <w:sz w:val="22"/>
                <w:szCs w:val="22"/>
              </w:rPr>
              <w:t>1 (20.00%)</w:t>
            </w:r>
          </w:p>
        </w:tc>
        <w:tc>
          <w:tcPr>
            <w:tcW w:w="1276" w:type="dxa"/>
            <w:tcBorders>
              <w:top w:val="nil"/>
              <w:left w:val="nil"/>
              <w:bottom w:val="nil"/>
              <w:right w:val="nil"/>
            </w:tcBorders>
            <w:shd w:val="clear" w:color="auto" w:fill="FFFFFF"/>
            <w:tcMar>
              <w:left w:w="67" w:type="dxa"/>
              <w:right w:w="67" w:type="dxa"/>
            </w:tcMar>
          </w:tcPr>
          <w:p w14:paraId="41B468A2"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411EF162"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5B1F10F8" w14:textId="77777777" w:rsidR="00B77EA3" w:rsidRPr="0082484A" w:rsidRDefault="00B77EA3" w:rsidP="00B77EA3">
            <w:pPr>
              <w:contextualSpacing/>
              <w:rPr>
                <w:sz w:val="22"/>
                <w:szCs w:val="22"/>
              </w:rPr>
            </w:pPr>
            <w:r w:rsidRPr="0082484A">
              <w:rPr>
                <w:sz w:val="22"/>
                <w:szCs w:val="22"/>
              </w:rPr>
              <w:t>2 (40.00%)</w:t>
            </w:r>
          </w:p>
        </w:tc>
        <w:tc>
          <w:tcPr>
            <w:tcW w:w="1134" w:type="dxa"/>
            <w:tcBorders>
              <w:top w:val="nil"/>
              <w:left w:val="nil"/>
              <w:bottom w:val="nil"/>
              <w:right w:val="single" w:sz="11" w:space="0" w:color="000000"/>
            </w:tcBorders>
            <w:shd w:val="clear" w:color="auto" w:fill="FFFFFF"/>
            <w:tcMar>
              <w:left w:w="67" w:type="dxa"/>
              <w:right w:w="67" w:type="dxa"/>
            </w:tcMar>
          </w:tcPr>
          <w:p w14:paraId="51DAE82A" w14:textId="77777777" w:rsidR="00B77EA3" w:rsidRPr="0082484A" w:rsidRDefault="00B77EA3" w:rsidP="00B77EA3">
            <w:pPr>
              <w:contextualSpacing/>
              <w:rPr>
                <w:sz w:val="22"/>
                <w:szCs w:val="22"/>
              </w:rPr>
            </w:pPr>
            <w:r w:rsidRPr="0082484A">
              <w:rPr>
                <w:sz w:val="22"/>
                <w:szCs w:val="22"/>
              </w:rPr>
              <w:t>5 (100%)</w:t>
            </w:r>
          </w:p>
        </w:tc>
      </w:tr>
      <w:tr w:rsidR="00B77EA3" w:rsidRPr="0082484A" w14:paraId="196ACAA1"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41B11501" w14:textId="77777777" w:rsidR="00B77EA3" w:rsidRPr="0082484A" w:rsidRDefault="00B77EA3" w:rsidP="00B77EA3">
            <w:pPr>
              <w:contextualSpacing/>
              <w:rPr>
                <w:sz w:val="22"/>
                <w:szCs w:val="22"/>
              </w:rPr>
            </w:pPr>
            <w:r w:rsidRPr="0082484A">
              <w:rPr>
                <w:sz w:val="22"/>
                <w:szCs w:val="22"/>
              </w:rPr>
              <w:t>NHS Calderdale CCG</w:t>
            </w:r>
          </w:p>
        </w:tc>
        <w:tc>
          <w:tcPr>
            <w:tcW w:w="1417" w:type="dxa"/>
            <w:tcBorders>
              <w:top w:val="nil"/>
              <w:left w:val="nil"/>
              <w:bottom w:val="nil"/>
              <w:right w:val="nil"/>
            </w:tcBorders>
            <w:shd w:val="clear" w:color="auto" w:fill="FFFFFF"/>
            <w:tcMar>
              <w:left w:w="67" w:type="dxa"/>
              <w:right w:w="67" w:type="dxa"/>
            </w:tcMar>
          </w:tcPr>
          <w:p w14:paraId="417FAE04" w14:textId="77777777" w:rsidR="00B77EA3" w:rsidRPr="0082484A" w:rsidRDefault="00B77EA3" w:rsidP="00B77EA3">
            <w:pPr>
              <w:contextualSpacing/>
              <w:rPr>
                <w:sz w:val="22"/>
                <w:szCs w:val="22"/>
              </w:rPr>
            </w:pPr>
            <w:r w:rsidRPr="0082484A">
              <w:rPr>
                <w:sz w:val="22"/>
                <w:szCs w:val="22"/>
              </w:rPr>
              <w:t>1 (25.00%)</w:t>
            </w:r>
          </w:p>
        </w:tc>
        <w:tc>
          <w:tcPr>
            <w:tcW w:w="1418" w:type="dxa"/>
            <w:tcBorders>
              <w:top w:val="nil"/>
              <w:left w:val="nil"/>
              <w:bottom w:val="nil"/>
              <w:right w:val="nil"/>
            </w:tcBorders>
            <w:shd w:val="clear" w:color="auto" w:fill="FFFFFF"/>
            <w:tcMar>
              <w:left w:w="67" w:type="dxa"/>
              <w:right w:w="67" w:type="dxa"/>
            </w:tcMar>
          </w:tcPr>
          <w:p w14:paraId="5A43A372" w14:textId="77777777" w:rsidR="00B77EA3" w:rsidRPr="0082484A" w:rsidRDefault="00B77EA3" w:rsidP="00B77EA3">
            <w:pPr>
              <w:contextualSpacing/>
              <w:rPr>
                <w:sz w:val="22"/>
                <w:szCs w:val="22"/>
              </w:rPr>
            </w:pPr>
            <w:r w:rsidRPr="0082484A">
              <w:rPr>
                <w:sz w:val="22"/>
                <w:szCs w:val="22"/>
              </w:rPr>
              <w:t>1 (25.00%)</w:t>
            </w:r>
          </w:p>
        </w:tc>
        <w:tc>
          <w:tcPr>
            <w:tcW w:w="1276" w:type="dxa"/>
            <w:tcBorders>
              <w:top w:val="nil"/>
              <w:left w:val="nil"/>
              <w:bottom w:val="nil"/>
              <w:right w:val="nil"/>
            </w:tcBorders>
            <w:shd w:val="clear" w:color="auto" w:fill="FFFFFF"/>
            <w:tcMar>
              <w:left w:w="67" w:type="dxa"/>
              <w:right w:w="67" w:type="dxa"/>
            </w:tcMar>
          </w:tcPr>
          <w:p w14:paraId="6FE23E01" w14:textId="77777777" w:rsidR="00B77EA3" w:rsidRPr="0082484A" w:rsidRDefault="00B77EA3" w:rsidP="00B77EA3">
            <w:pPr>
              <w:contextualSpacing/>
              <w:rPr>
                <w:sz w:val="22"/>
                <w:szCs w:val="22"/>
              </w:rPr>
            </w:pPr>
            <w:r w:rsidRPr="0082484A">
              <w:rPr>
                <w:sz w:val="22"/>
                <w:szCs w:val="22"/>
              </w:rPr>
              <w:t>1 (25.00%)</w:t>
            </w:r>
          </w:p>
        </w:tc>
        <w:tc>
          <w:tcPr>
            <w:tcW w:w="1447" w:type="dxa"/>
            <w:tcBorders>
              <w:top w:val="nil"/>
              <w:left w:val="nil"/>
              <w:bottom w:val="nil"/>
              <w:right w:val="nil"/>
            </w:tcBorders>
            <w:shd w:val="clear" w:color="auto" w:fill="FFFFFF"/>
            <w:tcMar>
              <w:left w:w="67" w:type="dxa"/>
              <w:right w:w="67" w:type="dxa"/>
            </w:tcMar>
          </w:tcPr>
          <w:p w14:paraId="5571944A"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0152B254" w14:textId="77777777" w:rsidR="00B77EA3" w:rsidRPr="0082484A" w:rsidRDefault="00B77EA3" w:rsidP="00B77EA3">
            <w:pPr>
              <w:contextualSpacing/>
              <w:rPr>
                <w:sz w:val="22"/>
                <w:szCs w:val="22"/>
              </w:rPr>
            </w:pPr>
            <w:r w:rsidRPr="0082484A">
              <w:rPr>
                <w:sz w:val="22"/>
                <w:szCs w:val="22"/>
              </w:rPr>
              <w:t>1 (25.00%)</w:t>
            </w:r>
          </w:p>
        </w:tc>
        <w:tc>
          <w:tcPr>
            <w:tcW w:w="1134" w:type="dxa"/>
            <w:tcBorders>
              <w:top w:val="nil"/>
              <w:left w:val="nil"/>
              <w:bottom w:val="nil"/>
              <w:right w:val="single" w:sz="11" w:space="0" w:color="000000"/>
            </w:tcBorders>
            <w:shd w:val="clear" w:color="auto" w:fill="FFFFFF"/>
            <w:tcMar>
              <w:left w:w="67" w:type="dxa"/>
              <w:right w:w="67" w:type="dxa"/>
            </w:tcMar>
          </w:tcPr>
          <w:p w14:paraId="5C8FF304" w14:textId="77777777" w:rsidR="00B77EA3" w:rsidRPr="0082484A" w:rsidRDefault="00B77EA3" w:rsidP="00B77EA3">
            <w:pPr>
              <w:contextualSpacing/>
              <w:rPr>
                <w:sz w:val="22"/>
                <w:szCs w:val="22"/>
              </w:rPr>
            </w:pPr>
            <w:r w:rsidRPr="0082484A">
              <w:rPr>
                <w:sz w:val="22"/>
                <w:szCs w:val="22"/>
              </w:rPr>
              <w:t>4 (100%)</w:t>
            </w:r>
          </w:p>
        </w:tc>
      </w:tr>
      <w:tr w:rsidR="00B77EA3" w:rsidRPr="0082484A" w14:paraId="75D36666"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30EC5031" w14:textId="77777777" w:rsidR="00B77EA3" w:rsidRPr="0082484A" w:rsidRDefault="00B77EA3" w:rsidP="00B77EA3">
            <w:pPr>
              <w:contextualSpacing/>
              <w:rPr>
                <w:sz w:val="22"/>
                <w:szCs w:val="22"/>
              </w:rPr>
            </w:pPr>
            <w:r w:rsidRPr="0082484A">
              <w:rPr>
                <w:sz w:val="22"/>
                <w:szCs w:val="22"/>
              </w:rPr>
              <w:t>NHS Leeds North CCG</w:t>
            </w:r>
          </w:p>
        </w:tc>
        <w:tc>
          <w:tcPr>
            <w:tcW w:w="1417" w:type="dxa"/>
            <w:tcBorders>
              <w:top w:val="nil"/>
              <w:left w:val="nil"/>
              <w:bottom w:val="nil"/>
              <w:right w:val="nil"/>
            </w:tcBorders>
            <w:shd w:val="clear" w:color="auto" w:fill="FFFFFF"/>
            <w:tcMar>
              <w:left w:w="67" w:type="dxa"/>
              <w:right w:w="67" w:type="dxa"/>
            </w:tcMar>
          </w:tcPr>
          <w:p w14:paraId="74CD2923"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7DB00C89" w14:textId="77777777" w:rsidR="00B77EA3" w:rsidRPr="0082484A" w:rsidRDefault="00B77EA3" w:rsidP="00B77EA3">
            <w:pPr>
              <w:contextualSpacing/>
              <w:rPr>
                <w:sz w:val="22"/>
                <w:szCs w:val="22"/>
              </w:rPr>
            </w:pPr>
            <w:r w:rsidRPr="0082484A">
              <w:rPr>
                <w:sz w:val="22"/>
                <w:szCs w:val="22"/>
              </w:rPr>
              <w:t>1 (14.29%)</w:t>
            </w:r>
          </w:p>
        </w:tc>
        <w:tc>
          <w:tcPr>
            <w:tcW w:w="1276" w:type="dxa"/>
            <w:tcBorders>
              <w:top w:val="nil"/>
              <w:left w:val="nil"/>
              <w:bottom w:val="nil"/>
              <w:right w:val="nil"/>
            </w:tcBorders>
            <w:shd w:val="clear" w:color="auto" w:fill="FFFFFF"/>
            <w:tcMar>
              <w:left w:w="67" w:type="dxa"/>
              <w:right w:w="67" w:type="dxa"/>
            </w:tcMar>
          </w:tcPr>
          <w:p w14:paraId="65DDE877"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0D2C1173" w14:textId="77777777" w:rsidR="00B77EA3" w:rsidRPr="0082484A" w:rsidRDefault="00B77EA3" w:rsidP="00B77EA3">
            <w:pPr>
              <w:contextualSpacing/>
              <w:rPr>
                <w:sz w:val="22"/>
                <w:szCs w:val="22"/>
              </w:rPr>
            </w:pPr>
            <w:r w:rsidRPr="0082484A">
              <w:rPr>
                <w:sz w:val="22"/>
                <w:szCs w:val="22"/>
              </w:rPr>
              <w:t>1 (14.29%)</w:t>
            </w:r>
          </w:p>
        </w:tc>
        <w:tc>
          <w:tcPr>
            <w:tcW w:w="1246" w:type="dxa"/>
            <w:tcBorders>
              <w:top w:val="nil"/>
              <w:left w:val="nil"/>
              <w:bottom w:val="nil"/>
              <w:right w:val="nil"/>
            </w:tcBorders>
            <w:shd w:val="clear" w:color="auto" w:fill="FFFFFF"/>
            <w:tcMar>
              <w:left w:w="67" w:type="dxa"/>
              <w:right w:w="67" w:type="dxa"/>
            </w:tcMar>
          </w:tcPr>
          <w:p w14:paraId="6EA611B0" w14:textId="77777777" w:rsidR="00B77EA3" w:rsidRPr="0082484A" w:rsidRDefault="00B77EA3" w:rsidP="00B77EA3">
            <w:pPr>
              <w:contextualSpacing/>
              <w:rPr>
                <w:sz w:val="22"/>
                <w:szCs w:val="22"/>
              </w:rPr>
            </w:pPr>
            <w:r w:rsidRPr="0082484A">
              <w:rPr>
                <w:sz w:val="22"/>
                <w:szCs w:val="22"/>
              </w:rPr>
              <w:t>5 (71.43%)</w:t>
            </w:r>
          </w:p>
        </w:tc>
        <w:tc>
          <w:tcPr>
            <w:tcW w:w="1134" w:type="dxa"/>
            <w:tcBorders>
              <w:top w:val="nil"/>
              <w:left w:val="nil"/>
              <w:bottom w:val="nil"/>
              <w:right w:val="single" w:sz="11" w:space="0" w:color="000000"/>
            </w:tcBorders>
            <w:shd w:val="clear" w:color="auto" w:fill="FFFFFF"/>
            <w:tcMar>
              <w:left w:w="67" w:type="dxa"/>
              <w:right w:w="67" w:type="dxa"/>
            </w:tcMar>
          </w:tcPr>
          <w:p w14:paraId="74016D84" w14:textId="77777777" w:rsidR="00B77EA3" w:rsidRPr="0082484A" w:rsidRDefault="00B77EA3" w:rsidP="00B77EA3">
            <w:pPr>
              <w:contextualSpacing/>
              <w:rPr>
                <w:sz w:val="22"/>
                <w:szCs w:val="22"/>
              </w:rPr>
            </w:pPr>
            <w:r w:rsidRPr="0082484A">
              <w:rPr>
                <w:sz w:val="22"/>
                <w:szCs w:val="22"/>
              </w:rPr>
              <w:t>7 (100%)</w:t>
            </w:r>
          </w:p>
        </w:tc>
      </w:tr>
      <w:tr w:rsidR="00B77EA3" w:rsidRPr="0082484A" w14:paraId="7067E181"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4A0C443A" w14:textId="77777777" w:rsidR="00B77EA3" w:rsidRPr="0082484A" w:rsidRDefault="00B77EA3" w:rsidP="00B77EA3">
            <w:pPr>
              <w:contextualSpacing/>
              <w:rPr>
                <w:sz w:val="22"/>
                <w:szCs w:val="22"/>
              </w:rPr>
            </w:pPr>
            <w:r w:rsidRPr="0082484A">
              <w:rPr>
                <w:sz w:val="22"/>
                <w:szCs w:val="22"/>
              </w:rPr>
              <w:t>NHS Leeds South And East CCG</w:t>
            </w:r>
          </w:p>
        </w:tc>
        <w:tc>
          <w:tcPr>
            <w:tcW w:w="1417" w:type="dxa"/>
            <w:tcBorders>
              <w:top w:val="nil"/>
              <w:left w:val="nil"/>
              <w:bottom w:val="nil"/>
              <w:right w:val="nil"/>
            </w:tcBorders>
            <w:shd w:val="clear" w:color="auto" w:fill="FFFFFF"/>
            <w:tcMar>
              <w:left w:w="67" w:type="dxa"/>
              <w:right w:w="67" w:type="dxa"/>
            </w:tcMar>
          </w:tcPr>
          <w:p w14:paraId="53A23192" w14:textId="77777777" w:rsidR="00B77EA3" w:rsidRPr="0082484A" w:rsidRDefault="00B77EA3" w:rsidP="00B77EA3">
            <w:pPr>
              <w:contextualSpacing/>
              <w:rPr>
                <w:sz w:val="22"/>
                <w:szCs w:val="22"/>
              </w:rPr>
            </w:pPr>
            <w:r w:rsidRPr="0082484A">
              <w:rPr>
                <w:sz w:val="22"/>
                <w:szCs w:val="22"/>
              </w:rPr>
              <w:t>1 (11.11%)</w:t>
            </w:r>
          </w:p>
        </w:tc>
        <w:tc>
          <w:tcPr>
            <w:tcW w:w="1418" w:type="dxa"/>
            <w:tcBorders>
              <w:top w:val="nil"/>
              <w:left w:val="nil"/>
              <w:bottom w:val="nil"/>
              <w:right w:val="nil"/>
            </w:tcBorders>
            <w:shd w:val="clear" w:color="auto" w:fill="FFFFFF"/>
            <w:tcMar>
              <w:left w:w="67" w:type="dxa"/>
              <w:right w:w="67" w:type="dxa"/>
            </w:tcMar>
          </w:tcPr>
          <w:p w14:paraId="10549957" w14:textId="77777777" w:rsidR="00B77EA3" w:rsidRPr="0082484A" w:rsidRDefault="00B77EA3" w:rsidP="00B77EA3">
            <w:pPr>
              <w:contextualSpacing/>
              <w:rPr>
                <w:sz w:val="22"/>
                <w:szCs w:val="22"/>
              </w:rPr>
            </w:pPr>
            <w:r w:rsidRPr="0082484A">
              <w:rPr>
                <w:sz w:val="22"/>
                <w:szCs w:val="22"/>
              </w:rPr>
              <w:t>2 (22.22%)</w:t>
            </w:r>
          </w:p>
        </w:tc>
        <w:tc>
          <w:tcPr>
            <w:tcW w:w="1276" w:type="dxa"/>
            <w:tcBorders>
              <w:top w:val="nil"/>
              <w:left w:val="nil"/>
              <w:bottom w:val="nil"/>
              <w:right w:val="nil"/>
            </w:tcBorders>
            <w:shd w:val="clear" w:color="auto" w:fill="FFFFFF"/>
            <w:tcMar>
              <w:left w:w="67" w:type="dxa"/>
              <w:right w:w="67" w:type="dxa"/>
            </w:tcMar>
          </w:tcPr>
          <w:p w14:paraId="188B5648"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3479BA0F" w14:textId="77777777" w:rsidR="00B77EA3" w:rsidRPr="0082484A" w:rsidRDefault="00B77EA3" w:rsidP="00B77EA3">
            <w:pPr>
              <w:contextualSpacing/>
              <w:rPr>
                <w:sz w:val="22"/>
                <w:szCs w:val="22"/>
              </w:rPr>
            </w:pPr>
            <w:r w:rsidRPr="0082484A">
              <w:rPr>
                <w:sz w:val="22"/>
                <w:szCs w:val="22"/>
              </w:rPr>
              <w:t>1 (11.11%)</w:t>
            </w:r>
          </w:p>
        </w:tc>
        <w:tc>
          <w:tcPr>
            <w:tcW w:w="1246" w:type="dxa"/>
            <w:tcBorders>
              <w:top w:val="nil"/>
              <w:left w:val="nil"/>
              <w:bottom w:val="nil"/>
              <w:right w:val="nil"/>
            </w:tcBorders>
            <w:shd w:val="clear" w:color="auto" w:fill="FFFFFF"/>
            <w:tcMar>
              <w:left w:w="67" w:type="dxa"/>
              <w:right w:w="67" w:type="dxa"/>
            </w:tcMar>
          </w:tcPr>
          <w:p w14:paraId="3CE3AA3D" w14:textId="77777777" w:rsidR="00B77EA3" w:rsidRPr="0082484A" w:rsidRDefault="00B77EA3" w:rsidP="00B77EA3">
            <w:pPr>
              <w:contextualSpacing/>
              <w:rPr>
                <w:sz w:val="22"/>
                <w:szCs w:val="22"/>
              </w:rPr>
            </w:pPr>
            <w:r w:rsidRPr="0082484A">
              <w:rPr>
                <w:sz w:val="22"/>
                <w:szCs w:val="22"/>
              </w:rPr>
              <w:t>5 (55.56%)</w:t>
            </w:r>
          </w:p>
        </w:tc>
        <w:tc>
          <w:tcPr>
            <w:tcW w:w="1134" w:type="dxa"/>
            <w:tcBorders>
              <w:top w:val="nil"/>
              <w:left w:val="nil"/>
              <w:bottom w:val="nil"/>
              <w:right w:val="single" w:sz="11" w:space="0" w:color="000000"/>
            </w:tcBorders>
            <w:shd w:val="clear" w:color="auto" w:fill="FFFFFF"/>
            <w:tcMar>
              <w:left w:w="67" w:type="dxa"/>
              <w:right w:w="67" w:type="dxa"/>
            </w:tcMar>
          </w:tcPr>
          <w:p w14:paraId="0506C95E" w14:textId="77777777" w:rsidR="00B77EA3" w:rsidRPr="0082484A" w:rsidRDefault="00B77EA3" w:rsidP="00B77EA3">
            <w:pPr>
              <w:contextualSpacing/>
              <w:rPr>
                <w:sz w:val="22"/>
                <w:szCs w:val="22"/>
              </w:rPr>
            </w:pPr>
            <w:r w:rsidRPr="0082484A">
              <w:rPr>
                <w:sz w:val="22"/>
                <w:szCs w:val="22"/>
              </w:rPr>
              <w:t>9 (100%)</w:t>
            </w:r>
          </w:p>
        </w:tc>
      </w:tr>
      <w:tr w:rsidR="00B77EA3" w:rsidRPr="0082484A" w14:paraId="5CE66C69"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5C430135" w14:textId="77777777" w:rsidR="00B77EA3" w:rsidRPr="0082484A" w:rsidRDefault="00B77EA3" w:rsidP="00B77EA3">
            <w:pPr>
              <w:contextualSpacing/>
              <w:rPr>
                <w:sz w:val="22"/>
                <w:szCs w:val="22"/>
              </w:rPr>
            </w:pPr>
            <w:r w:rsidRPr="0082484A">
              <w:rPr>
                <w:sz w:val="22"/>
                <w:szCs w:val="22"/>
              </w:rPr>
              <w:t>NHS Leeds West CCG</w:t>
            </w:r>
          </w:p>
        </w:tc>
        <w:tc>
          <w:tcPr>
            <w:tcW w:w="1417" w:type="dxa"/>
            <w:tcBorders>
              <w:top w:val="nil"/>
              <w:left w:val="nil"/>
              <w:bottom w:val="nil"/>
              <w:right w:val="nil"/>
            </w:tcBorders>
            <w:shd w:val="clear" w:color="auto" w:fill="FFFFFF"/>
            <w:tcMar>
              <w:left w:w="67" w:type="dxa"/>
              <w:right w:w="67" w:type="dxa"/>
            </w:tcMar>
          </w:tcPr>
          <w:p w14:paraId="11922519" w14:textId="77777777" w:rsidR="00B77EA3" w:rsidRPr="0082484A" w:rsidRDefault="00B77EA3" w:rsidP="00B77EA3">
            <w:pPr>
              <w:contextualSpacing/>
              <w:rPr>
                <w:sz w:val="22"/>
                <w:szCs w:val="22"/>
              </w:rPr>
            </w:pPr>
            <w:r w:rsidRPr="0082484A">
              <w:rPr>
                <w:sz w:val="22"/>
                <w:szCs w:val="22"/>
              </w:rPr>
              <w:t>1 (100.00%)</w:t>
            </w:r>
          </w:p>
        </w:tc>
        <w:tc>
          <w:tcPr>
            <w:tcW w:w="1418" w:type="dxa"/>
            <w:tcBorders>
              <w:top w:val="nil"/>
              <w:left w:val="nil"/>
              <w:bottom w:val="nil"/>
              <w:right w:val="nil"/>
            </w:tcBorders>
            <w:shd w:val="clear" w:color="auto" w:fill="FFFFFF"/>
            <w:tcMar>
              <w:left w:w="67" w:type="dxa"/>
              <w:right w:w="67" w:type="dxa"/>
            </w:tcMar>
          </w:tcPr>
          <w:p w14:paraId="2EA5F791" w14:textId="77777777" w:rsidR="00B77EA3" w:rsidRPr="0082484A" w:rsidRDefault="00B77EA3" w:rsidP="00B77EA3">
            <w:pPr>
              <w:contextualSpacing/>
              <w:rPr>
                <w:sz w:val="22"/>
                <w:szCs w:val="22"/>
              </w:rPr>
            </w:pPr>
            <w:r w:rsidRPr="0082484A">
              <w:rPr>
                <w:sz w:val="22"/>
                <w:szCs w:val="22"/>
              </w:rPr>
              <w:t>0 (0.00%)</w:t>
            </w:r>
          </w:p>
        </w:tc>
        <w:tc>
          <w:tcPr>
            <w:tcW w:w="1276" w:type="dxa"/>
            <w:tcBorders>
              <w:top w:val="nil"/>
              <w:left w:val="nil"/>
              <w:bottom w:val="nil"/>
              <w:right w:val="nil"/>
            </w:tcBorders>
            <w:shd w:val="clear" w:color="auto" w:fill="FFFFFF"/>
            <w:tcMar>
              <w:left w:w="67" w:type="dxa"/>
              <w:right w:w="67" w:type="dxa"/>
            </w:tcMar>
          </w:tcPr>
          <w:p w14:paraId="30173418"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nil"/>
              <w:right w:val="nil"/>
            </w:tcBorders>
            <w:shd w:val="clear" w:color="auto" w:fill="FFFFFF"/>
            <w:tcMar>
              <w:left w:w="67" w:type="dxa"/>
              <w:right w:w="67" w:type="dxa"/>
            </w:tcMar>
          </w:tcPr>
          <w:p w14:paraId="05363BF6"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0CA70B89"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7F723EF6" w14:textId="77777777" w:rsidR="00B77EA3" w:rsidRPr="0082484A" w:rsidRDefault="00B77EA3" w:rsidP="00B77EA3">
            <w:pPr>
              <w:contextualSpacing/>
              <w:rPr>
                <w:sz w:val="22"/>
                <w:szCs w:val="22"/>
              </w:rPr>
            </w:pPr>
            <w:r w:rsidRPr="0082484A">
              <w:rPr>
                <w:sz w:val="22"/>
                <w:szCs w:val="22"/>
              </w:rPr>
              <w:t>1 (100%)</w:t>
            </w:r>
          </w:p>
        </w:tc>
      </w:tr>
      <w:tr w:rsidR="00B77EA3" w:rsidRPr="0082484A" w14:paraId="2FCEAA88" w14:textId="77777777" w:rsidTr="0082484A">
        <w:trPr>
          <w:cantSplit/>
        </w:trPr>
        <w:tc>
          <w:tcPr>
            <w:tcW w:w="2677" w:type="dxa"/>
            <w:tcBorders>
              <w:top w:val="nil"/>
              <w:left w:val="single" w:sz="11" w:space="0" w:color="000000"/>
              <w:bottom w:val="nil"/>
              <w:right w:val="nil"/>
            </w:tcBorders>
            <w:shd w:val="clear" w:color="auto" w:fill="FFFFFF"/>
            <w:tcMar>
              <w:left w:w="67" w:type="dxa"/>
              <w:right w:w="67" w:type="dxa"/>
            </w:tcMar>
          </w:tcPr>
          <w:p w14:paraId="0ED9DA87" w14:textId="77777777" w:rsidR="00B77EA3" w:rsidRPr="0082484A" w:rsidRDefault="00B77EA3" w:rsidP="00B77EA3">
            <w:pPr>
              <w:contextualSpacing/>
              <w:rPr>
                <w:sz w:val="22"/>
                <w:szCs w:val="22"/>
              </w:rPr>
            </w:pPr>
            <w:r w:rsidRPr="0082484A">
              <w:rPr>
                <w:sz w:val="22"/>
                <w:szCs w:val="22"/>
              </w:rPr>
              <w:t>NHS North Kirklees CCG</w:t>
            </w:r>
          </w:p>
        </w:tc>
        <w:tc>
          <w:tcPr>
            <w:tcW w:w="1417" w:type="dxa"/>
            <w:tcBorders>
              <w:top w:val="nil"/>
              <w:left w:val="nil"/>
              <w:bottom w:val="nil"/>
              <w:right w:val="nil"/>
            </w:tcBorders>
            <w:shd w:val="clear" w:color="auto" w:fill="FFFFFF"/>
            <w:tcMar>
              <w:left w:w="67" w:type="dxa"/>
              <w:right w:w="67" w:type="dxa"/>
            </w:tcMar>
          </w:tcPr>
          <w:p w14:paraId="56A13379"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01409F46" w14:textId="77777777" w:rsidR="00B77EA3" w:rsidRPr="0082484A" w:rsidRDefault="00B77EA3" w:rsidP="00B77EA3">
            <w:pPr>
              <w:contextualSpacing/>
              <w:rPr>
                <w:sz w:val="22"/>
                <w:szCs w:val="22"/>
              </w:rPr>
            </w:pPr>
            <w:r w:rsidRPr="0082484A">
              <w:rPr>
                <w:sz w:val="22"/>
                <w:szCs w:val="22"/>
              </w:rPr>
              <w:t>0 (0.00%)</w:t>
            </w:r>
          </w:p>
        </w:tc>
        <w:tc>
          <w:tcPr>
            <w:tcW w:w="1276" w:type="dxa"/>
            <w:tcBorders>
              <w:top w:val="nil"/>
              <w:left w:val="nil"/>
              <w:bottom w:val="nil"/>
              <w:right w:val="nil"/>
            </w:tcBorders>
            <w:shd w:val="clear" w:color="auto" w:fill="FFFFFF"/>
            <w:tcMar>
              <w:left w:w="67" w:type="dxa"/>
              <w:right w:w="67" w:type="dxa"/>
            </w:tcMar>
          </w:tcPr>
          <w:p w14:paraId="272AECA4" w14:textId="77777777" w:rsidR="00B77EA3" w:rsidRPr="0082484A" w:rsidRDefault="00B77EA3" w:rsidP="00B77EA3">
            <w:pPr>
              <w:contextualSpacing/>
              <w:rPr>
                <w:sz w:val="22"/>
                <w:szCs w:val="22"/>
              </w:rPr>
            </w:pPr>
            <w:r w:rsidRPr="0082484A">
              <w:rPr>
                <w:sz w:val="22"/>
                <w:szCs w:val="22"/>
              </w:rPr>
              <w:t>1 (50.00%)</w:t>
            </w:r>
          </w:p>
        </w:tc>
        <w:tc>
          <w:tcPr>
            <w:tcW w:w="1447" w:type="dxa"/>
            <w:tcBorders>
              <w:top w:val="nil"/>
              <w:left w:val="nil"/>
              <w:bottom w:val="nil"/>
              <w:right w:val="nil"/>
            </w:tcBorders>
            <w:shd w:val="clear" w:color="auto" w:fill="FFFFFF"/>
            <w:tcMar>
              <w:left w:w="67" w:type="dxa"/>
              <w:right w:w="67" w:type="dxa"/>
            </w:tcMar>
          </w:tcPr>
          <w:p w14:paraId="34C50980"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nil"/>
              <w:right w:val="nil"/>
            </w:tcBorders>
            <w:shd w:val="clear" w:color="auto" w:fill="FFFFFF"/>
            <w:tcMar>
              <w:left w:w="67" w:type="dxa"/>
              <w:right w:w="67" w:type="dxa"/>
            </w:tcMar>
          </w:tcPr>
          <w:p w14:paraId="060A4224" w14:textId="77777777" w:rsidR="00B77EA3" w:rsidRPr="0082484A" w:rsidRDefault="00B77EA3" w:rsidP="00B77EA3">
            <w:pPr>
              <w:contextualSpacing/>
              <w:rPr>
                <w:sz w:val="22"/>
                <w:szCs w:val="22"/>
              </w:rPr>
            </w:pPr>
            <w:r w:rsidRPr="0082484A">
              <w:rPr>
                <w:sz w:val="22"/>
                <w:szCs w:val="22"/>
              </w:rPr>
              <w:t>1 (50.00%)</w:t>
            </w:r>
          </w:p>
        </w:tc>
        <w:tc>
          <w:tcPr>
            <w:tcW w:w="1134" w:type="dxa"/>
            <w:tcBorders>
              <w:top w:val="nil"/>
              <w:left w:val="nil"/>
              <w:bottom w:val="nil"/>
              <w:right w:val="single" w:sz="11" w:space="0" w:color="000000"/>
            </w:tcBorders>
            <w:shd w:val="clear" w:color="auto" w:fill="FFFFFF"/>
            <w:tcMar>
              <w:left w:w="67" w:type="dxa"/>
              <w:right w:w="67" w:type="dxa"/>
            </w:tcMar>
          </w:tcPr>
          <w:p w14:paraId="5298179C" w14:textId="77777777" w:rsidR="00B77EA3" w:rsidRPr="0082484A" w:rsidRDefault="00B77EA3" w:rsidP="00B77EA3">
            <w:pPr>
              <w:contextualSpacing/>
              <w:rPr>
                <w:sz w:val="22"/>
                <w:szCs w:val="22"/>
              </w:rPr>
            </w:pPr>
            <w:r w:rsidRPr="0082484A">
              <w:rPr>
                <w:sz w:val="22"/>
                <w:szCs w:val="22"/>
              </w:rPr>
              <w:t>2 (100%)</w:t>
            </w:r>
          </w:p>
        </w:tc>
      </w:tr>
      <w:tr w:rsidR="00B77EA3" w:rsidRPr="0082484A" w14:paraId="06052440" w14:textId="77777777" w:rsidTr="0082484A">
        <w:trPr>
          <w:cantSplit/>
        </w:trPr>
        <w:tc>
          <w:tcPr>
            <w:tcW w:w="2677" w:type="dxa"/>
            <w:tcBorders>
              <w:top w:val="nil"/>
              <w:left w:val="single" w:sz="11" w:space="0" w:color="000000"/>
              <w:bottom w:val="single" w:sz="11" w:space="0" w:color="000000"/>
              <w:right w:val="nil"/>
            </w:tcBorders>
            <w:shd w:val="clear" w:color="auto" w:fill="FFFFFF"/>
            <w:tcMar>
              <w:left w:w="67" w:type="dxa"/>
              <w:right w:w="67" w:type="dxa"/>
            </w:tcMar>
          </w:tcPr>
          <w:p w14:paraId="2670DFF3" w14:textId="77777777" w:rsidR="00B77EA3" w:rsidRPr="0082484A" w:rsidRDefault="00B77EA3" w:rsidP="00B77EA3">
            <w:pPr>
              <w:contextualSpacing/>
              <w:rPr>
                <w:sz w:val="22"/>
                <w:szCs w:val="22"/>
              </w:rPr>
            </w:pPr>
            <w:r w:rsidRPr="0082484A">
              <w:rPr>
                <w:sz w:val="22"/>
                <w:szCs w:val="22"/>
              </w:rPr>
              <w:t>NHS Wakefield CCG</w:t>
            </w:r>
          </w:p>
        </w:tc>
        <w:tc>
          <w:tcPr>
            <w:tcW w:w="1417" w:type="dxa"/>
            <w:tcBorders>
              <w:top w:val="nil"/>
              <w:left w:val="nil"/>
              <w:bottom w:val="single" w:sz="11" w:space="0" w:color="000000"/>
              <w:right w:val="nil"/>
            </w:tcBorders>
            <w:shd w:val="clear" w:color="auto" w:fill="FFFFFF"/>
            <w:tcMar>
              <w:left w:w="67" w:type="dxa"/>
              <w:right w:w="67" w:type="dxa"/>
            </w:tcMar>
          </w:tcPr>
          <w:p w14:paraId="534C3E20" w14:textId="77777777" w:rsidR="00B77EA3" w:rsidRPr="0082484A" w:rsidRDefault="00B77EA3" w:rsidP="00B77EA3">
            <w:pPr>
              <w:contextualSpacing/>
              <w:rPr>
                <w:sz w:val="22"/>
                <w:szCs w:val="22"/>
              </w:rPr>
            </w:pPr>
            <w:r w:rsidRPr="0082484A">
              <w:rPr>
                <w:sz w:val="22"/>
                <w:szCs w:val="22"/>
              </w:rPr>
              <w:t>1 (25.00%)</w:t>
            </w:r>
          </w:p>
        </w:tc>
        <w:tc>
          <w:tcPr>
            <w:tcW w:w="1418" w:type="dxa"/>
            <w:tcBorders>
              <w:top w:val="nil"/>
              <w:left w:val="nil"/>
              <w:bottom w:val="single" w:sz="11" w:space="0" w:color="000000"/>
              <w:right w:val="nil"/>
            </w:tcBorders>
            <w:shd w:val="clear" w:color="auto" w:fill="FFFFFF"/>
            <w:tcMar>
              <w:left w:w="67" w:type="dxa"/>
              <w:right w:w="67" w:type="dxa"/>
            </w:tcMar>
          </w:tcPr>
          <w:p w14:paraId="2EF82B17" w14:textId="77777777" w:rsidR="00B77EA3" w:rsidRPr="0082484A" w:rsidRDefault="00B77EA3" w:rsidP="00B77EA3">
            <w:pPr>
              <w:contextualSpacing/>
              <w:rPr>
                <w:sz w:val="22"/>
                <w:szCs w:val="22"/>
              </w:rPr>
            </w:pPr>
            <w:r w:rsidRPr="0082484A">
              <w:rPr>
                <w:sz w:val="22"/>
                <w:szCs w:val="22"/>
              </w:rPr>
              <w:t>2 (50.00%)</w:t>
            </w:r>
          </w:p>
        </w:tc>
        <w:tc>
          <w:tcPr>
            <w:tcW w:w="1276" w:type="dxa"/>
            <w:tcBorders>
              <w:top w:val="nil"/>
              <w:left w:val="nil"/>
              <w:bottom w:val="single" w:sz="11" w:space="0" w:color="000000"/>
              <w:right w:val="nil"/>
            </w:tcBorders>
            <w:shd w:val="clear" w:color="auto" w:fill="FFFFFF"/>
            <w:tcMar>
              <w:left w:w="67" w:type="dxa"/>
              <w:right w:w="67" w:type="dxa"/>
            </w:tcMar>
          </w:tcPr>
          <w:p w14:paraId="0199E68E" w14:textId="77777777" w:rsidR="00B77EA3" w:rsidRPr="0082484A" w:rsidRDefault="00B77EA3" w:rsidP="00B77EA3">
            <w:pPr>
              <w:contextualSpacing/>
              <w:rPr>
                <w:sz w:val="22"/>
                <w:szCs w:val="22"/>
              </w:rPr>
            </w:pPr>
            <w:r w:rsidRPr="0082484A">
              <w:rPr>
                <w:sz w:val="22"/>
                <w:szCs w:val="22"/>
              </w:rPr>
              <w:t>0 (0.00%)</w:t>
            </w:r>
          </w:p>
        </w:tc>
        <w:tc>
          <w:tcPr>
            <w:tcW w:w="1447" w:type="dxa"/>
            <w:tcBorders>
              <w:top w:val="nil"/>
              <w:left w:val="nil"/>
              <w:bottom w:val="single" w:sz="11" w:space="0" w:color="000000"/>
              <w:right w:val="nil"/>
            </w:tcBorders>
            <w:shd w:val="clear" w:color="auto" w:fill="FFFFFF"/>
            <w:tcMar>
              <w:left w:w="67" w:type="dxa"/>
              <w:right w:w="67" w:type="dxa"/>
            </w:tcMar>
          </w:tcPr>
          <w:p w14:paraId="082E76DC" w14:textId="77777777" w:rsidR="00B77EA3" w:rsidRPr="0082484A" w:rsidRDefault="00B77EA3" w:rsidP="00B77EA3">
            <w:pPr>
              <w:contextualSpacing/>
              <w:rPr>
                <w:sz w:val="22"/>
                <w:szCs w:val="22"/>
              </w:rPr>
            </w:pPr>
            <w:r w:rsidRPr="0082484A">
              <w:rPr>
                <w:sz w:val="22"/>
                <w:szCs w:val="22"/>
              </w:rPr>
              <w:t>0 (0.00%)</w:t>
            </w:r>
          </w:p>
        </w:tc>
        <w:tc>
          <w:tcPr>
            <w:tcW w:w="1246" w:type="dxa"/>
            <w:tcBorders>
              <w:top w:val="nil"/>
              <w:left w:val="nil"/>
              <w:bottom w:val="single" w:sz="11" w:space="0" w:color="000000"/>
              <w:right w:val="nil"/>
            </w:tcBorders>
            <w:shd w:val="clear" w:color="auto" w:fill="FFFFFF"/>
            <w:tcMar>
              <w:left w:w="67" w:type="dxa"/>
              <w:right w:w="67" w:type="dxa"/>
            </w:tcMar>
          </w:tcPr>
          <w:p w14:paraId="79927BE9" w14:textId="77777777" w:rsidR="00B77EA3" w:rsidRPr="0082484A" w:rsidRDefault="00B77EA3" w:rsidP="00B77EA3">
            <w:pPr>
              <w:contextualSpacing/>
              <w:rPr>
                <w:sz w:val="22"/>
                <w:szCs w:val="22"/>
              </w:rPr>
            </w:pPr>
            <w:r w:rsidRPr="0082484A">
              <w:rPr>
                <w:sz w:val="22"/>
                <w:szCs w:val="22"/>
              </w:rPr>
              <w:t>1 (25.00%)</w:t>
            </w:r>
          </w:p>
        </w:tc>
        <w:tc>
          <w:tcPr>
            <w:tcW w:w="1134" w:type="dxa"/>
            <w:tcBorders>
              <w:top w:val="nil"/>
              <w:left w:val="nil"/>
              <w:bottom w:val="single" w:sz="11" w:space="0" w:color="000000"/>
              <w:right w:val="single" w:sz="11" w:space="0" w:color="000000"/>
            </w:tcBorders>
            <w:shd w:val="clear" w:color="auto" w:fill="FFFFFF"/>
            <w:tcMar>
              <w:left w:w="67" w:type="dxa"/>
              <w:right w:w="67" w:type="dxa"/>
            </w:tcMar>
          </w:tcPr>
          <w:p w14:paraId="03A88283" w14:textId="77777777" w:rsidR="00B77EA3" w:rsidRPr="0082484A" w:rsidRDefault="00B77EA3" w:rsidP="00B77EA3">
            <w:pPr>
              <w:contextualSpacing/>
              <w:rPr>
                <w:sz w:val="22"/>
                <w:szCs w:val="22"/>
              </w:rPr>
            </w:pPr>
            <w:r w:rsidRPr="0082484A">
              <w:rPr>
                <w:sz w:val="22"/>
                <w:szCs w:val="22"/>
              </w:rPr>
              <w:t>4 (100%)</w:t>
            </w:r>
          </w:p>
          <w:p w14:paraId="72A383D3" w14:textId="77777777" w:rsidR="00B77EA3" w:rsidRPr="0082484A" w:rsidRDefault="00B77EA3" w:rsidP="00B77EA3">
            <w:pPr>
              <w:contextualSpacing/>
              <w:rPr>
                <w:sz w:val="22"/>
                <w:szCs w:val="22"/>
              </w:rPr>
            </w:pPr>
          </w:p>
        </w:tc>
      </w:tr>
    </w:tbl>
    <w:p w14:paraId="0E4C62A0" w14:textId="77777777" w:rsidR="00B77EA3" w:rsidRPr="0082484A" w:rsidRDefault="00B77EA3" w:rsidP="00B77EA3">
      <w:pPr>
        <w:contextualSpacing/>
        <w:rPr>
          <w:sz w:val="22"/>
          <w:szCs w:val="22"/>
        </w:rPr>
      </w:pPr>
      <w:r w:rsidRPr="0082484A">
        <w:rPr>
          <w:sz w:val="22"/>
          <w:szCs w:val="22"/>
        </w:rPr>
        <w:t>Footnote: There were no practices from NHS Greater Huddersfield CCG which were ineligible for trial participation.</w:t>
      </w:r>
    </w:p>
    <w:p w14:paraId="23705085" w14:textId="77777777" w:rsidR="00B77EA3" w:rsidRPr="0082484A" w:rsidRDefault="00B77EA3" w:rsidP="00B77EA3">
      <w:pPr>
        <w:contextualSpacing/>
        <w:rPr>
          <w:color w:val="FF0000"/>
          <w:sz w:val="22"/>
          <w:szCs w:val="22"/>
        </w:rPr>
      </w:pPr>
    </w:p>
    <w:p w14:paraId="1269B361" w14:textId="77777777" w:rsidR="00DB0F0B" w:rsidRPr="0082484A" w:rsidRDefault="00DB0F0B">
      <w:pPr>
        <w:spacing w:before="0" w:after="200"/>
        <w:rPr>
          <w:bCs/>
          <w:sz w:val="22"/>
          <w:szCs w:val="22"/>
        </w:rPr>
      </w:pPr>
      <w:bookmarkStart w:id="7" w:name="_Ref501103237"/>
      <w:bookmarkStart w:id="8" w:name="_Toc8728070"/>
      <w:r w:rsidRPr="0082484A">
        <w:rPr>
          <w:b/>
          <w:sz w:val="22"/>
          <w:szCs w:val="22"/>
        </w:rPr>
        <w:br w:type="page"/>
      </w:r>
    </w:p>
    <w:p w14:paraId="26CDC13B" w14:textId="65B925A4" w:rsidR="00B77EA3" w:rsidRPr="0082484A" w:rsidRDefault="00B77EA3" w:rsidP="00B77EA3">
      <w:pPr>
        <w:pStyle w:val="Caption"/>
        <w:rPr>
          <w:b w:val="0"/>
          <w:bCs w:val="0"/>
          <w:sz w:val="22"/>
          <w:szCs w:val="22"/>
        </w:rPr>
      </w:pPr>
      <w:bookmarkStart w:id="9" w:name="_Toc19526732"/>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3</w:t>
      </w:r>
      <w:r w:rsidRPr="0082484A">
        <w:rPr>
          <w:b w:val="0"/>
          <w:noProof/>
          <w:sz w:val="22"/>
          <w:szCs w:val="22"/>
        </w:rPr>
        <w:fldChar w:fldCharType="end"/>
      </w:r>
      <w:bookmarkEnd w:id="7"/>
      <w:r w:rsidRPr="0082484A">
        <w:rPr>
          <w:b w:val="0"/>
          <w:sz w:val="22"/>
          <w:szCs w:val="22"/>
        </w:rPr>
        <w:t>: Cluster-randomised evaluation: reasons for exclusion of practices invited to participate but not randomised (by clinical commissioning group) (WP4a)</w:t>
      </w:r>
      <w:bookmarkEnd w:id="8"/>
      <w:bookmarkEnd w:id="9"/>
    </w:p>
    <w:tbl>
      <w:tblPr>
        <w:tblW w:w="10712" w:type="dxa"/>
        <w:tblInd w:w="-661" w:type="dxa"/>
        <w:tblLayout w:type="fixed"/>
        <w:tblCellMar>
          <w:left w:w="0" w:type="dxa"/>
          <w:right w:w="0" w:type="dxa"/>
        </w:tblCellMar>
        <w:tblLook w:val="0000" w:firstRow="0" w:lastRow="0" w:firstColumn="0" w:lastColumn="0" w:noHBand="0" w:noVBand="0"/>
      </w:tblPr>
      <w:tblGrid>
        <w:gridCol w:w="2348"/>
        <w:gridCol w:w="1418"/>
        <w:gridCol w:w="1559"/>
        <w:gridCol w:w="1276"/>
        <w:gridCol w:w="1562"/>
        <w:gridCol w:w="1273"/>
        <w:gridCol w:w="1276"/>
      </w:tblGrid>
      <w:tr w:rsidR="00B77EA3" w:rsidRPr="0082484A" w14:paraId="01FB9579" w14:textId="77777777" w:rsidTr="0082484A">
        <w:trPr>
          <w:cantSplit/>
          <w:tblHeader/>
        </w:trPr>
        <w:tc>
          <w:tcPr>
            <w:tcW w:w="234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E7AAFC7" w14:textId="77777777" w:rsidR="00B77EA3" w:rsidRPr="0082484A" w:rsidRDefault="00B77EA3" w:rsidP="00B77EA3">
            <w:pPr>
              <w:tabs>
                <w:tab w:val="left" w:pos="2355"/>
              </w:tabs>
              <w:contextualSpacing/>
              <w:rPr>
                <w:bCs/>
                <w:sz w:val="22"/>
                <w:szCs w:val="22"/>
              </w:rPr>
            </w:pPr>
            <w:bookmarkStart w:id="10" w:name="IDX4"/>
            <w:bookmarkEnd w:id="10"/>
            <w:r w:rsidRPr="0082484A">
              <w:rPr>
                <w:bCs/>
                <w:sz w:val="22"/>
                <w:szCs w:val="22"/>
              </w:rPr>
              <w:t>CCG</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3B639BE" w14:textId="77777777" w:rsidR="00B77EA3" w:rsidRPr="0082484A" w:rsidRDefault="00B77EA3" w:rsidP="00B77EA3">
            <w:pPr>
              <w:tabs>
                <w:tab w:val="left" w:pos="2355"/>
              </w:tabs>
              <w:contextualSpacing/>
              <w:rPr>
                <w:bCs/>
                <w:sz w:val="22"/>
                <w:szCs w:val="22"/>
              </w:rPr>
            </w:pPr>
            <w:r w:rsidRPr="0082484A">
              <w:rPr>
                <w:bCs/>
                <w:sz w:val="22"/>
                <w:szCs w:val="22"/>
              </w:rPr>
              <w:t>Closed / merged (n=3)</w:t>
            </w:r>
          </w:p>
        </w:tc>
        <w:tc>
          <w:tcPr>
            <w:tcW w:w="155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D1D657" w14:textId="77777777" w:rsidR="00B77EA3" w:rsidRPr="0082484A" w:rsidRDefault="00B77EA3" w:rsidP="00B77EA3">
            <w:pPr>
              <w:tabs>
                <w:tab w:val="left" w:pos="2355"/>
              </w:tabs>
              <w:contextualSpacing/>
              <w:rPr>
                <w:bCs/>
                <w:sz w:val="22"/>
                <w:szCs w:val="22"/>
              </w:rPr>
            </w:pPr>
            <w:r w:rsidRPr="0082484A">
              <w:rPr>
                <w:bCs/>
                <w:sz w:val="22"/>
                <w:szCs w:val="22"/>
              </w:rPr>
              <w:t>Opt-out (n=56)</w:t>
            </w:r>
          </w:p>
        </w:tc>
        <w:tc>
          <w:tcPr>
            <w:tcW w:w="1276"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D187072" w14:textId="77777777" w:rsidR="00B77EA3" w:rsidRPr="0082484A" w:rsidRDefault="00B77EA3" w:rsidP="00B77EA3">
            <w:pPr>
              <w:tabs>
                <w:tab w:val="left" w:pos="2355"/>
              </w:tabs>
              <w:contextualSpacing/>
              <w:rPr>
                <w:bCs/>
                <w:sz w:val="22"/>
                <w:szCs w:val="22"/>
              </w:rPr>
            </w:pPr>
            <w:r w:rsidRPr="0082484A">
              <w:rPr>
                <w:bCs/>
                <w:sz w:val="22"/>
                <w:szCs w:val="22"/>
              </w:rPr>
              <w:t>PCT Boundary (n=4)</w:t>
            </w:r>
          </w:p>
        </w:tc>
        <w:tc>
          <w:tcPr>
            <w:tcW w:w="156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D9E78AA" w14:textId="77777777" w:rsidR="00B77EA3" w:rsidRPr="0082484A" w:rsidRDefault="00B77EA3" w:rsidP="00B77EA3">
            <w:pPr>
              <w:tabs>
                <w:tab w:val="left" w:pos="2355"/>
              </w:tabs>
              <w:contextualSpacing/>
              <w:rPr>
                <w:bCs/>
                <w:sz w:val="22"/>
                <w:szCs w:val="22"/>
              </w:rPr>
            </w:pPr>
            <w:r w:rsidRPr="0082484A">
              <w:rPr>
                <w:bCs/>
                <w:sz w:val="22"/>
                <w:szCs w:val="22"/>
              </w:rPr>
              <w:t>Proceed as process evaluation site (n=1)</w:t>
            </w:r>
          </w:p>
        </w:tc>
        <w:tc>
          <w:tcPr>
            <w:tcW w:w="1273"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3880064" w14:textId="77777777" w:rsidR="00B77EA3" w:rsidRPr="0082484A" w:rsidRDefault="00B77EA3" w:rsidP="00B77EA3">
            <w:pPr>
              <w:tabs>
                <w:tab w:val="left" w:pos="2355"/>
              </w:tabs>
              <w:contextualSpacing/>
              <w:rPr>
                <w:bCs/>
                <w:sz w:val="22"/>
                <w:szCs w:val="22"/>
              </w:rPr>
            </w:pPr>
            <w:r w:rsidRPr="0082484A">
              <w:rPr>
                <w:bCs/>
                <w:sz w:val="22"/>
                <w:szCs w:val="22"/>
              </w:rPr>
              <w:t>Return to sender (n=1)</w:t>
            </w:r>
          </w:p>
        </w:tc>
        <w:tc>
          <w:tcPr>
            <w:tcW w:w="1276"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383CA7A" w14:textId="77777777" w:rsidR="00B77EA3" w:rsidRPr="0082484A" w:rsidRDefault="00B77EA3" w:rsidP="00B77EA3">
            <w:pPr>
              <w:tabs>
                <w:tab w:val="left" w:pos="2355"/>
              </w:tabs>
              <w:contextualSpacing/>
              <w:rPr>
                <w:bCs/>
                <w:sz w:val="22"/>
                <w:szCs w:val="22"/>
              </w:rPr>
            </w:pPr>
            <w:r w:rsidRPr="0082484A">
              <w:rPr>
                <w:bCs/>
                <w:sz w:val="22"/>
                <w:szCs w:val="22"/>
              </w:rPr>
              <w:t>Total (n=65)</w:t>
            </w:r>
          </w:p>
        </w:tc>
      </w:tr>
      <w:tr w:rsidR="00B77EA3" w:rsidRPr="0082484A" w14:paraId="29B3C086"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2BA1ECB2" w14:textId="77777777" w:rsidR="00B77EA3" w:rsidRPr="0082484A" w:rsidRDefault="00B77EA3" w:rsidP="00B77EA3">
            <w:pPr>
              <w:tabs>
                <w:tab w:val="left" w:pos="2355"/>
              </w:tabs>
              <w:contextualSpacing/>
              <w:rPr>
                <w:sz w:val="22"/>
                <w:szCs w:val="22"/>
              </w:rPr>
            </w:pPr>
            <w:r w:rsidRPr="0082484A">
              <w:rPr>
                <w:sz w:val="22"/>
                <w:szCs w:val="22"/>
              </w:rPr>
              <w:t>NHS Airedale, Wharfedale And Craven CCG</w:t>
            </w:r>
          </w:p>
        </w:tc>
        <w:tc>
          <w:tcPr>
            <w:tcW w:w="1418" w:type="dxa"/>
            <w:tcBorders>
              <w:top w:val="nil"/>
              <w:left w:val="nil"/>
              <w:bottom w:val="nil"/>
              <w:right w:val="nil"/>
            </w:tcBorders>
            <w:shd w:val="clear" w:color="auto" w:fill="FFFFFF"/>
            <w:tcMar>
              <w:left w:w="67" w:type="dxa"/>
              <w:right w:w="67" w:type="dxa"/>
            </w:tcMar>
          </w:tcPr>
          <w:p w14:paraId="7E0222CF"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32FE4E3E" w14:textId="77777777" w:rsidR="00B77EA3" w:rsidRPr="0082484A" w:rsidRDefault="00B77EA3" w:rsidP="00B77EA3">
            <w:pPr>
              <w:tabs>
                <w:tab w:val="left" w:pos="2355"/>
              </w:tabs>
              <w:contextualSpacing/>
              <w:rPr>
                <w:sz w:val="22"/>
                <w:szCs w:val="22"/>
              </w:rPr>
            </w:pPr>
            <w:r w:rsidRPr="0082484A">
              <w:rPr>
                <w:sz w:val="22"/>
                <w:szCs w:val="22"/>
              </w:rPr>
              <w:t>3 (42.86%)</w:t>
            </w:r>
          </w:p>
        </w:tc>
        <w:tc>
          <w:tcPr>
            <w:tcW w:w="1276" w:type="dxa"/>
            <w:tcBorders>
              <w:top w:val="nil"/>
              <w:left w:val="nil"/>
              <w:bottom w:val="nil"/>
              <w:right w:val="nil"/>
            </w:tcBorders>
            <w:shd w:val="clear" w:color="auto" w:fill="FFFFFF"/>
            <w:tcMar>
              <w:left w:w="67" w:type="dxa"/>
              <w:right w:w="67" w:type="dxa"/>
            </w:tcMar>
          </w:tcPr>
          <w:p w14:paraId="610C81DB" w14:textId="77777777" w:rsidR="00B77EA3" w:rsidRPr="0082484A" w:rsidRDefault="00B77EA3" w:rsidP="00B77EA3">
            <w:pPr>
              <w:tabs>
                <w:tab w:val="left" w:pos="2355"/>
              </w:tabs>
              <w:contextualSpacing/>
              <w:rPr>
                <w:sz w:val="22"/>
                <w:szCs w:val="22"/>
              </w:rPr>
            </w:pPr>
            <w:r w:rsidRPr="0082484A">
              <w:rPr>
                <w:sz w:val="22"/>
                <w:szCs w:val="22"/>
              </w:rPr>
              <w:t>4 (57.14%)</w:t>
            </w:r>
          </w:p>
        </w:tc>
        <w:tc>
          <w:tcPr>
            <w:tcW w:w="1562" w:type="dxa"/>
            <w:tcBorders>
              <w:top w:val="nil"/>
              <w:left w:val="nil"/>
              <w:bottom w:val="nil"/>
              <w:right w:val="nil"/>
            </w:tcBorders>
            <w:shd w:val="clear" w:color="auto" w:fill="FFFFFF"/>
            <w:tcMar>
              <w:left w:w="67" w:type="dxa"/>
              <w:right w:w="67" w:type="dxa"/>
            </w:tcMar>
          </w:tcPr>
          <w:p w14:paraId="37DE8686"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6EDBA5F5"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7B7A9BB1" w14:textId="77777777" w:rsidR="00B77EA3" w:rsidRPr="0082484A" w:rsidRDefault="00B77EA3" w:rsidP="00B77EA3">
            <w:pPr>
              <w:tabs>
                <w:tab w:val="left" w:pos="2355"/>
              </w:tabs>
              <w:contextualSpacing/>
              <w:rPr>
                <w:sz w:val="22"/>
                <w:szCs w:val="22"/>
              </w:rPr>
            </w:pPr>
            <w:r w:rsidRPr="0082484A">
              <w:rPr>
                <w:sz w:val="22"/>
                <w:szCs w:val="22"/>
              </w:rPr>
              <w:t>7 (100%)</w:t>
            </w:r>
          </w:p>
        </w:tc>
      </w:tr>
      <w:tr w:rsidR="00B77EA3" w:rsidRPr="0082484A" w14:paraId="79FB5E4D"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6FEDABD2" w14:textId="77777777" w:rsidR="00B77EA3" w:rsidRPr="0082484A" w:rsidRDefault="00B77EA3" w:rsidP="00B77EA3">
            <w:pPr>
              <w:tabs>
                <w:tab w:val="left" w:pos="2355"/>
              </w:tabs>
              <w:contextualSpacing/>
              <w:rPr>
                <w:sz w:val="22"/>
                <w:szCs w:val="22"/>
              </w:rPr>
            </w:pPr>
            <w:r w:rsidRPr="0082484A">
              <w:rPr>
                <w:sz w:val="22"/>
                <w:szCs w:val="22"/>
              </w:rPr>
              <w:t>NHS Bradford City CCG</w:t>
            </w:r>
          </w:p>
        </w:tc>
        <w:tc>
          <w:tcPr>
            <w:tcW w:w="1418" w:type="dxa"/>
            <w:tcBorders>
              <w:top w:val="nil"/>
              <w:left w:val="nil"/>
              <w:bottom w:val="nil"/>
              <w:right w:val="nil"/>
            </w:tcBorders>
            <w:shd w:val="clear" w:color="auto" w:fill="FFFFFF"/>
            <w:tcMar>
              <w:left w:w="67" w:type="dxa"/>
              <w:right w:w="67" w:type="dxa"/>
            </w:tcMar>
          </w:tcPr>
          <w:p w14:paraId="0BE57AA6"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7D9EE062" w14:textId="77777777" w:rsidR="00B77EA3" w:rsidRPr="0082484A" w:rsidRDefault="00B77EA3" w:rsidP="00B77EA3">
            <w:pPr>
              <w:tabs>
                <w:tab w:val="left" w:pos="2355"/>
              </w:tabs>
              <w:contextualSpacing/>
              <w:rPr>
                <w:sz w:val="22"/>
                <w:szCs w:val="22"/>
              </w:rPr>
            </w:pPr>
            <w:r w:rsidRPr="0082484A">
              <w:rPr>
                <w:sz w:val="22"/>
                <w:szCs w:val="22"/>
              </w:rPr>
              <w:t>7 (100.00%)</w:t>
            </w:r>
          </w:p>
        </w:tc>
        <w:tc>
          <w:tcPr>
            <w:tcW w:w="1276" w:type="dxa"/>
            <w:tcBorders>
              <w:top w:val="nil"/>
              <w:left w:val="nil"/>
              <w:bottom w:val="nil"/>
              <w:right w:val="nil"/>
            </w:tcBorders>
            <w:shd w:val="clear" w:color="auto" w:fill="FFFFFF"/>
            <w:tcMar>
              <w:left w:w="67" w:type="dxa"/>
              <w:right w:w="67" w:type="dxa"/>
            </w:tcMar>
          </w:tcPr>
          <w:p w14:paraId="531304A4"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1BA5D6EE"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443329A6"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79D1A031" w14:textId="77777777" w:rsidR="00B77EA3" w:rsidRPr="0082484A" w:rsidRDefault="00B77EA3" w:rsidP="00B77EA3">
            <w:pPr>
              <w:tabs>
                <w:tab w:val="left" w:pos="2355"/>
              </w:tabs>
              <w:contextualSpacing/>
              <w:rPr>
                <w:sz w:val="22"/>
                <w:szCs w:val="22"/>
              </w:rPr>
            </w:pPr>
            <w:r w:rsidRPr="0082484A">
              <w:rPr>
                <w:sz w:val="22"/>
                <w:szCs w:val="22"/>
              </w:rPr>
              <w:t>7 (100%)</w:t>
            </w:r>
          </w:p>
        </w:tc>
      </w:tr>
      <w:tr w:rsidR="00B77EA3" w:rsidRPr="0082484A" w14:paraId="0067F08E"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3B5D9C65" w14:textId="77777777" w:rsidR="00B77EA3" w:rsidRPr="0082484A" w:rsidRDefault="00B77EA3" w:rsidP="00B77EA3">
            <w:pPr>
              <w:tabs>
                <w:tab w:val="left" w:pos="2355"/>
              </w:tabs>
              <w:contextualSpacing/>
              <w:rPr>
                <w:sz w:val="22"/>
                <w:szCs w:val="22"/>
              </w:rPr>
            </w:pPr>
            <w:r w:rsidRPr="0082484A">
              <w:rPr>
                <w:sz w:val="22"/>
                <w:szCs w:val="22"/>
              </w:rPr>
              <w:t>NHS Bradford Districts CCG</w:t>
            </w:r>
          </w:p>
        </w:tc>
        <w:tc>
          <w:tcPr>
            <w:tcW w:w="1418" w:type="dxa"/>
            <w:tcBorders>
              <w:top w:val="nil"/>
              <w:left w:val="nil"/>
              <w:bottom w:val="nil"/>
              <w:right w:val="nil"/>
            </w:tcBorders>
            <w:shd w:val="clear" w:color="auto" w:fill="FFFFFF"/>
            <w:tcMar>
              <w:left w:w="67" w:type="dxa"/>
              <w:right w:w="67" w:type="dxa"/>
            </w:tcMar>
          </w:tcPr>
          <w:p w14:paraId="1145A23D"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376DC5F1" w14:textId="77777777" w:rsidR="00B77EA3" w:rsidRPr="0082484A" w:rsidRDefault="00B77EA3" w:rsidP="00B77EA3">
            <w:pPr>
              <w:tabs>
                <w:tab w:val="left" w:pos="2355"/>
              </w:tabs>
              <w:contextualSpacing/>
              <w:rPr>
                <w:sz w:val="22"/>
                <w:szCs w:val="22"/>
              </w:rPr>
            </w:pPr>
            <w:r w:rsidRPr="0082484A">
              <w:rPr>
                <w:sz w:val="22"/>
                <w:szCs w:val="22"/>
              </w:rPr>
              <w:t>7 (100.00%)</w:t>
            </w:r>
          </w:p>
        </w:tc>
        <w:tc>
          <w:tcPr>
            <w:tcW w:w="1276" w:type="dxa"/>
            <w:tcBorders>
              <w:top w:val="nil"/>
              <w:left w:val="nil"/>
              <w:bottom w:val="nil"/>
              <w:right w:val="nil"/>
            </w:tcBorders>
            <w:shd w:val="clear" w:color="auto" w:fill="FFFFFF"/>
            <w:tcMar>
              <w:left w:w="67" w:type="dxa"/>
              <w:right w:w="67" w:type="dxa"/>
            </w:tcMar>
          </w:tcPr>
          <w:p w14:paraId="094F88D8"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4B417539"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293AF2BC"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557EE6C5" w14:textId="77777777" w:rsidR="00B77EA3" w:rsidRPr="0082484A" w:rsidRDefault="00B77EA3" w:rsidP="00B77EA3">
            <w:pPr>
              <w:tabs>
                <w:tab w:val="left" w:pos="2355"/>
              </w:tabs>
              <w:contextualSpacing/>
              <w:rPr>
                <w:sz w:val="22"/>
                <w:szCs w:val="22"/>
              </w:rPr>
            </w:pPr>
            <w:r w:rsidRPr="0082484A">
              <w:rPr>
                <w:sz w:val="22"/>
                <w:szCs w:val="22"/>
              </w:rPr>
              <w:t>7 (100%)</w:t>
            </w:r>
          </w:p>
        </w:tc>
      </w:tr>
      <w:tr w:rsidR="00B77EA3" w:rsidRPr="0082484A" w14:paraId="4CCEB460"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2E843B06" w14:textId="77777777" w:rsidR="00B77EA3" w:rsidRPr="0082484A" w:rsidRDefault="00B77EA3" w:rsidP="00B77EA3">
            <w:pPr>
              <w:tabs>
                <w:tab w:val="left" w:pos="2355"/>
              </w:tabs>
              <w:contextualSpacing/>
              <w:rPr>
                <w:sz w:val="22"/>
                <w:szCs w:val="22"/>
              </w:rPr>
            </w:pPr>
            <w:r w:rsidRPr="0082484A">
              <w:rPr>
                <w:sz w:val="22"/>
                <w:szCs w:val="22"/>
              </w:rPr>
              <w:t>NHS Calderdale CCG</w:t>
            </w:r>
          </w:p>
        </w:tc>
        <w:tc>
          <w:tcPr>
            <w:tcW w:w="1418" w:type="dxa"/>
            <w:tcBorders>
              <w:top w:val="nil"/>
              <w:left w:val="nil"/>
              <w:bottom w:val="nil"/>
              <w:right w:val="nil"/>
            </w:tcBorders>
            <w:shd w:val="clear" w:color="auto" w:fill="FFFFFF"/>
            <w:tcMar>
              <w:left w:w="67" w:type="dxa"/>
              <w:right w:w="67" w:type="dxa"/>
            </w:tcMar>
          </w:tcPr>
          <w:p w14:paraId="21D91AF1" w14:textId="77777777" w:rsidR="00B77EA3" w:rsidRPr="0082484A" w:rsidRDefault="00B77EA3" w:rsidP="00B77EA3">
            <w:pPr>
              <w:tabs>
                <w:tab w:val="left" w:pos="2355"/>
              </w:tabs>
              <w:contextualSpacing/>
              <w:rPr>
                <w:sz w:val="22"/>
                <w:szCs w:val="22"/>
              </w:rPr>
            </w:pPr>
            <w:r w:rsidRPr="0082484A">
              <w:rPr>
                <w:sz w:val="22"/>
                <w:szCs w:val="22"/>
              </w:rPr>
              <w:t>1 (16.67%)</w:t>
            </w:r>
          </w:p>
        </w:tc>
        <w:tc>
          <w:tcPr>
            <w:tcW w:w="1559" w:type="dxa"/>
            <w:tcBorders>
              <w:top w:val="nil"/>
              <w:left w:val="nil"/>
              <w:bottom w:val="nil"/>
              <w:right w:val="nil"/>
            </w:tcBorders>
            <w:shd w:val="clear" w:color="auto" w:fill="FFFFFF"/>
            <w:tcMar>
              <w:left w:w="67" w:type="dxa"/>
              <w:right w:w="67" w:type="dxa"/>
            </w:tcMar>
          </w:tcPr>
          <w:p w14:paraId="20EB5589" w14:textId="77777777" w:rsidR="00B77EA3" w:rsidRPr="0082484A" w:rsidRDefault="00B77EA3" w:rsidP="00B77EA3">
            <w:pPr>
              <w:tabs>
                <w:tab w:val="left" w:pos="2355"/>
              </w:tabs>
              <w:contextualSpacing/>
              <w:rPr>
                <w:sz w:val="22"/>
                <w:szCs w:val="22"/>
              </w:rPr>
            </w:pPr>
            <w:r w:rsidRPr="0082484A">
              <w:rPr>
                <w:sz w:val="22"/>
                <w:szCs w:val="22"/>
              </w:rPr>
              <w:t>4 (66.67%)</w:t>
            </w:r>
          </w:p>
        </w:tc>
        <w:tc>
          <w:tcPr>
            <w:tcW w:w="1276" w:type="dxa"/>
            <w:tcBorders>
              <w:top w:val="nil"/>
              <w:left w:val="nil"/>
              <w:bottom w:val="nil"/>
              <w:right w:val="nil"/>
            </w:tcBorders>
            <w:shd w:val="clear" w:color="auto" w:fill="FFFFFF"/>
            <w:tcMar>
              <w:left w:w="67" w:type="dxa"/>
              <w:right w:w="67" w:type="dxa"/>
            </w:tcMar>
          </w:tcPr>
          <w:p w14:paraId="7F3D3545"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6A31835D" w14:textId="77777777" w:rsidR="00B77EA3" w:rsidRPr="0082484A" w:rsidRDefault="00B77EA3" w:rsidP="00B77EA3">
            <w:pPr>
              <w:tabs>
                <w:tab w:val="left" w:pos="2355"/>
              </w:tabs>
              <w:contextualSpacing/>
              <w:rPr>
                <w:sz w:val="22"/>
                <w:szCs w:val="22"/>
              </w:rPr>
            </w:pPr>
            <w:r w:rsidRPr="0082484A">
              <w:rPr>
                <w:sz w:val="22"/>
                <w:szCs w:val="22"/>
              </w:rPr>
              <w:t>1 (16.67%)</w:t>
            </w:r>
          </w:p>
        </w:tc>
        <w:tc>
          <w:tcPr>
            <w:tcW w:w="1273" w:type="dxa"/>
            <w:tcBorders>
              <w:top w:val="nil"/>
              <w:left w:val="nil"/>
              <w:bottom w:val="nil"/>
              <w:right w:val="nil"/>
            </w:tcBorders>
            <w:shd w:val="clear" w:color="auto" w:fill="FFFFFF"/>
            <w:tcMar>
              <w:left w:w="67" w:type="dxa"/>
              <w:right w:w="67" w:type="dxa"/>
            </w:tcMar>
          </w:tcPr>
          <w:p w14:paraId="088964D3"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19EDA48F" w14:textId="77777777" w:rsidR="00B77EA3" w:rsidRPr="0082484A" w:rsidRDefault="00B77EA3" w:rsidP="00B77EA3">
            <w:pPr>
              <w:tabs>
                <w:tab w:val="left" w:pos="2355"/>
              </w:tabs>
              <w:contextualSpacing/>
              <w:rPr>
                <w:sz w:val="22"/>
                <w:szCs w:val="22"/>
              </w:rPr>
            </w:pPr>
            <w:r w:rsidRPr="0082484A">
              <w:rPr>
                <w:sz w:val="22"/>
                <w:szCs w:val="22"/>
              </w:rPr>
              <w:t>6 (100%)</w:t>
            </w:r>
          </w:p>
        </w:tc>
      </w:tr>
      <w:tr w:rsidR="00B77EA3" w:rsidRPr="0082484A" w14:paraId="15EF44D0"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30EAAA15" w14:textId="77777777" w:rsidR="00B77EA3" w:rsidRPr="0082484A" w:rsidRDefault="00B77EA3" w:rsidP="00B77EA3">
            <w:pPr>
              <w:tabs>
                <w:tab w:val="left" w:pos="2355"/>
              </w:tabs>
              <w:contextualSpacing/>
              <w:rPr>
                <w:sz w:val="22"/>
                <w:szCs w:val="22"/>
              </w:rPr>
            </w:pPr>
            <w:r w:rsidRPr="0082484A">
              <w:rPr>
                <w:sz w:val="22"/>
                <w:szCs w:val="22"/>
              </w:rPr>
              <w:t>NHS Greater Huddersfield CCG</w:t>
            </w:r>
          </w:p>
        </w:tc>
        <w:tc>
          <w:tcPr>
            <w:tcW w:w="1418" w:type="dxa"/>
            <w:tcBorders>
              <w:top w:val="nil"/>
              <w:left w:val="nil"/>
              <w:bottom w:val="nil"/>
              <w:right w:val="nil"/>
            </w:tcBorders>
            <w:shd w:val="clear" w:color="auto" w:fill="FFFFFF"/>
            <w:tcMar>
              <w:left w:w="67" w:type="dxa"/>
              <w:right w:w="67" w:type="dxa"/>
            </w:tcMar>
          </w:tcPr>
          <w:p w14:paraId="358BADFD" w14:textId="77777777" w:rsidR="00B77EA3" w:rsidRPr="0082484A" w:rsidRDefault="00B77EA3" w:rsidP="00B77EA3">
            <w:pPr>
              <w:tabs>
                <w:tab w:val="left" w:pos="2355"/>
              </w:tabs>
              <w:contextualSpacing/>
              <w:rPr>
                <w:sz w:val="22"/>
                <w:szCs w:val="22"/>
              </w:rPr>
            </w:pPr>
            <w:r w:rsidRPr="0082484A">
              <w:rPr>
                <w:sz w:val="22"/>
                <w:szCs w:val="22"/>
              </w:rPr>
              <w:t>1 (16.67%)</w:t>
            </w:r>
          </w:p>
        </w:tc>
        <w:tc>
          <w:tcPr>
            <w:tcW w:w="1559" w:type="dxa"/>
            <w:tcBorders>
              <w:top w:val="nil"/>
              <w:left w:val="nil"/>
              <w:bottom w:val="nil"/>
              <w:right w:val="nil"/>
            </w:tcBorders>
            <w:shd w:val="clear" w:color="auto" w:fill="FFFFFF"/>
            <w:tcMar>
              <w:left w:w="67" w:type="dxa"/>
              <w:right w:w="67" w:type="dxa"/>
            </w:tcMar>
          </w:tcPr>
          <w:p w14:paraId="4A9E8BE4" w14:textId="77777777" w:rsidR="00B77EA3" w:rsidRPr="0082484A" w:rsidRDefault="00B77EA3" w:rsidP="00B77EA3">
            <w:pPr>
              <w:tabs>
                <w:tab w:val="left" w:pos="2355"/>
              </w:tabs>
              <w:contextualSpacing/>
              <w:rPr>
                <w:sz w:val="22"/>
                <w:szCs w:val="22"/>
              </w:rPr>
            </w:pPr>
            <w:r w:rsidRPr="0082484A">
              <w:rPr>
                <w:sz w:val="22"/>
                <w:szCs w:val="22"/>
              </w:rPr>
              <w:t>5 (83.33%)</w:t>
            </w:r>
          </w:p>
        </w:tc>
        <w:tc>
          <w:tcPr>
            <w:tcW w:w="1276" w:type="dxa"/>
            <w:tcBorders>
              <w:top w:val="nil"/>
              <w:left w:val="nil"/>
              <w:bottom w:val="nil"/>
              <w:right w:val="nil"/>
            </w:tcBorders>
            <w:shd w:val="clear" w:color="auto" w:fill="FFFFFF"/>
            <w:tcMar>
              <w:left w:w="67" w:type="dxa"/>
              <w:right w:w="67" w:type="dxa"/>
            </w:tcMar>
          </w:tcPr>
          <w:p w14:paraId="3F698085"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4D744E39"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01E9CDBB"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01863D6E" w14:textId="77777777" w:rsidR="00B77EA3" w:rsidRPr="0082484A" w:rsidRDefault="00B77EA3" w:rsidP="00B77EA3">
            <w:pPr>
              <w:tabs>
                <w:tab w:val="left" w:pos="2355"/>
              </w:tabs>
              <w:contextualSpacing/>
              <w:rPr>
                <w:sz w:val="22"/>
                <w:szCs w:val="22"/>
              </w:rPr>
            </w:pPr>
            <w:r w:rsidRPr="0082484A">
              <w:rPr>
                <w:sz w:val="22"/>
                <w:szCs w:val="22"/>
              </w:rPr>
              <w:t>6 (100%)</w:t>
            </w:r>
          </w:p>
        </w:tc>
      </w:tr>
      <w:tr w:rsidR="00B77EA3" w:rsidRPr="0082484A" w14:paraId="4EBB40C4"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172F8B3E" w14:textId="77777777" w:rsidR="00B77EA3" w:rsidRPr="0082484A" w:rsidRDefault="00B77EA3" w:rsidP="00B77EA3">
            <w:pPr>
              <w:tabs>
                <w:tab w:val="left" w:pos="2355"/>
              </w:tabs>
              <w:contextualSpacing/>
              <w:rPr>
                <w:sz w:val="22"/>
                <w:szCs w:val="22"/>
              </w:rPr>
            </w:pPr>
            <w:r w:rsidRPr="0082484A">
              <w:rPr>
                <w:sz w:val="22"/>
                <w:szCs w:val="22"/>
              </w:rPr>
              <w:t>NHS Leeds North CCG</w:t>
            </w:r>
          </w:p>
        </w:tc>
        <w:tc>
          <w:tcPr>
            <w:tcW w:w="1418" w:type="dxa"/>
            <w:tcBorders>
              <w:top w:val="nil"/>
              <w:left w:val="nil"/>
              <w:bottom w:val="nil"/>
              <w:right w:val="nil"/>
            </w:tcBorders>
            <w:shd w:val="clear" w:color="auto" w:fill="FFFFFF"/>
            <w:tcMar>
              <w:left w:w="67" w:type="dxa"/>
              <w:right w:w="67" w:type="dxa"/>
            </w:tcMar>
          </w:tcPr>
          <w:p w14:paraId="15FD8C45" w14:textId="77777777" w:rsidR="00B77EA3" w:rsidRPr="0082484A" w:rsidRDefault="00B77EA3" w:rsidP="00B77EA3">
            <w:pPr>
              <w:tabs>
                <w:tab w:val="left" w:pos="2355"/>
              </w:tabs>
              <w:contextualSpacing/>
              <w:rPr>
                <w:sz w:val="22"/>
                <w:szCs w:val="22"/>
              </w:rPr>
            </w:pPr>
            <w:r w:rsidRPr="0082484A">
              <w:rPr>
                <w:sz w:val="22"/>
                <w:szCs w:val="22"/>
              </w:rPr>
              <w:t>1 (50.00%)</w:t>
            </w:r>
          </w:p>
        </w:tc>
        <w:tc>
          <w:tcPr>
            <w:tcW w:w="1559" w:type="dxa"/>
            <w:tcBorders>
              <w:top w:val="nil"/>
              <w:left w:val="nil"/>
              <w:bottom w:val="nil"/>
              <w:right w:val="nil"/>
            </w:tcBorders>
            <w:shd w:val="clear" w:color="auto" w:fill="FFFFFF"/>
            <w:tcMar>
              <w:left w:w="67" w:type="dxa"/>
              <w:right w:w="67" w:type="dxa"/>
            </w:tcMar>
          </w:tcPr>
          <w:p w14:paraId="3AFAE853" w14:textId="77777777" w:rsidR="00B77EA3" w:rsidRPr="0082484A" w:rsidRDefault="00B77EA3" w:rsidP="00B77EA3">
            <w:pPr>
              <w:tabs>
                <w:tab w:val="left" w:pos="2355"/>
              </w:tabs>
              <w:contextualSpacing/>
              <w:rPr>
                <w:sz w:val="22"/>
                <w:szCs w:val="22"/>
              </w:rPr>
            </w:pPr>
            <w:r w:rsidRPr="0082484A">
              <w:rPr>
                <w:sz w:val="22"/>
                <w:szCs w:val="22"/>
              </w:rPr>
              <w:t>1 (50.00%)</w:t>
            </w:r>
          </w:p>
        </w:tc>
        <w:tc>
          <w:tcPr>
            <w:tcW w:w="1276" w:type="dxa"/>
            <w:tcBorders>
              <w:top w:val="nil"/>
              <w:left w:val="nil"/>
              <w:bottom w:val="nil"/>
              <w:right w:val="nil"/>
            </w:tcBorders>
            <w:shd w:val="clear" w:color="auto" w:fill="FFFFFF"/>
            <w:tcMar>
              <w:left w:w="67" w:type="dxa"/>
              <w:right w:w="67" w:type="dxa"/>
            </w:tcMar>
          </w:tcPr>
          <w:p w14:paraId="46AF7919"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54C581EE"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38167D19"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51CA08AA" w14:textId="77777777" w:rsidR="00B77EA3" w:rsidRPr="0082484A" w:rsidRDefault="00B77EA3" w:rsidP="00B77EA3">
            <w:pPr>
              <w:tabs>
                <w:tab w:val="left" w:pos="2355"/>
              </w:tabs>
              <w:contextualSpacing/>
              <w:rPr>
                <w:sz w:val="22"/>
                <w:szCs w:val="22"/>
              </w:rPr>
            </w:pPr>
            <w:r w:rsidRPr="0082484A">
              <w:rPr>
                <w:sz w:val="22"/>
                <w:szCs w:val="22"/>
              </w:rPr>
              <w:t>2 (100%)</w:t>
            </w:r>
          </w:p>
        </w:tc>
      </w:tr>
      <w:tr w:rsidR="00B77EA3" w:rsidRPr="0082484A" w14:paraId="741A42BC"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00B08556" w14:textId="77777777" w:rsidR="00B77EA3" w:rsidRPr="0082484A" w:rsidRDefault="00B77EA3" w:rsidP="00B77EA3">
            <w:pPr>
              <w:tabs>
                <w:tab w:val="left" w:pos="2355"/>
              </w:tabs>
              <w:contextualSpacing/>
              <w:rPr>
                <w:sz w:val="22"/>
                <w:szCs w:val="22"/>
              </w:rPr>
            </w:pPr>
            <w:r w:rsidRPr="0082484A">
              <w:rPr>
                <w:sz w:val="22"/>
                <w:szCs w:val="22"/>
              </w:rPr>
              <w:t>NHS Leeds South And East CCG</w:t>
            </w:r>
          </w:p>
        </w:tc>
        <w:tc>
          <w:tcPr>
            <w:tcW w:w="1418" w:type="dxa"/>
            <w:tcBorders>
              <w:top w:val="nil"/>
              <w:left w:val="nil"/>
              <w:bottom w:val="nil"/>
              <w:right w:val="nil"/>
            </w:tcBorders>
            <w:shd w:val="clear" w:color="auto" w:fill="FFFFFF"/>
            <w:tcMar>
              <w:left w:w="67" w:type="dxa"/>
              <w:right w:w="67" w:type="dxa"/>
            </w:tcMar>
          </w:tcPr>
          <w:p w14:paraId="0EF7D776"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55118B94" w14:textId="77777777" w:rsidR="00B77EA3" w:rsidRPr="0082484A" w:rsidRDefault="00B77EA3" w:rsidP="00B77EA3">
            <w:pPr>
              <w:tabs>
                <w:tab w:val="left" w:pos="2355"/>
              </w:tabs>
              <w:contextualSpacing/>
              <w:rPr>
                <w:sz w:val="22"/>
                <w:szCs w:val="22"/>
              </w:rPr>
            </w:pPr>
            <w:r w:rsidRPr="0082484A">
              <w:rPr>
                <w:sz w:val="22"/>
                <w:szCs w:val="22"/>
              </w:rPr>
              <w:t>7 (100.00%)</w:t>
            </w:r>
          </w:p>
        </w:tc>
        <w:tc>
          <w:tcPr>
            <w:tcW w:w="1276" w:type="dxa"/>
            <w:tcBorders>
              <w:top w:val="nil"/>
              <w:left w:val="nil"/>
              <w:bottom w:val="nil"/>
              <w:right w:val="nil"/>
            </w:tcBorders>
            <w:shd w:val="clear" w:color="auto" w:fill="FFFFFF"/>
            <w:tcMar>
              <w:left w:w="67" w:type="dxa"/>
              <w:right w:w="67" w:type="dxa"/>
            </w:tcMar>
          </w:tcPr>
          <w:p w14:paraId="1D249D93"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20BDC24F"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2AD40321"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2288C5D5" w14:textId="77777777" w:rsidR="00B77EA3" w:rsidRPr="0082484A" w:rsidRDefault="00B77EA3" w:rsidP="00B77EA3">
            <w:pPr>
              <w:tabs>
                <w:tab w:val="left" w:pos="2355"/>
              </w:tabs>
              <w:contextualSpacing/>
              <w:rPr>
                <w:sz w:val="22"/>
                <w:szCs w:val="22"/>
              </w:rPr>
            </w:pPr>
            <w:r w:rsidRPr="0082484A">
              <w:rPr>
                <w:sz w:val="22"/>
                <w:szCs w:val="22"/>
              </w:rPr>
              <w:t>7 (100%)</w:t>
            </w:r>
          </w:p>
        </w:tc>
      </w:tr>
      <w:tr w:rsidR="00B77EA3" w:rsidRPr="0082484A" w14:paraId="24A27185"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2E7F15A4" w14:textId="77777777" w:rsidR="00B77EA3" w:rsidRPr="0082484A" w:rsidRDefault="00B77EA3" w:rsidP="00B77EA3">
            <w:pPr>
              <w:tabs>
                <w:tab w:val="left" w:pos="2355"/>
              </w:tabs>
              <w:contextualSpacing/>
              <w:rPr>
                <w:sz w:val="22"/>
                <w:szCs w:val="22"/>
              </w:rPr>
            </w:pPr>
            <w:r w:rsidRPr="0082484A">
              <w:rPr>
                <w:sz w:val="22"/>
                <w:szCs w:val="22"/>
              </w:rPr>
              <w:t>NHS Leeds West CCG</w:t>
            </w:r>
          </w:p>
        </w:tc>
        <w:tc>
          <w:tcPr>
            <w:tcW w:w="1418" w:type="dxa"/>
            <w:tcBorders>
              <w:top w:val="nil"/>
              <w:left w:val="nil"/>
              <w:bottom w:val="nil"/>
              <w:right w:val="nil"/>
            </w:tcBorders>
            <w:shd w:val="clear" w:color="auto" w:fill="FFFFFF"/>
            <w:tcMar>
              <w:left w:w="67" w:type="dxa"/>
              <w:right w:w="67" w:type="dxa"/>
            </w:tcMar>
          </w:tcPr>
          <w:p w14:paraId="5C6E0B6B"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04B8F5B8" w14:textId="77777777" w:rsidR="00B77EA3" w:rsidRPr="0082484A" w:rsidRDefault="00B77EA3" w:rsidP="00B77EA3">
            <w:pPr>
              <w:tabs>
                <w:tab w:val="left" w:pos="2355"/>
              </w:tabs>
              <w:contextualSpacing/>
              <w:rPr>
                <w:sz w:val="22"/>
                <w:szCs w:val="22"/>
              </w:rPr>
            </w:pPr>
            <w:r w:rsidRPr="0082484A">
              <w:rPr>
                <w:sz w:val="22"/>
                <w:szCs w:val="22"/>
              </w:rPr>
              <w:t>4 (100.00%)</w:t>
            </w:r>
          </w:p>
        </w:tc>
        <w:tc>
          <w:tcPr>
            <w:tcW w:w="1276" w:type="dxa"/>
            <w:tcBorders>
              <w:top w:val="nil"/>
              <w:left w:val="nil"/>
              <w:bottom w:val="nil"/>
              <w:right w:val="nil"/>
            </w:tcBorders>
            <w:shd w:val="clear" w:color="auto" w:fill="FFFFFF"/>
            <w:tcMar>
              <w:left w:w="67" w:type="dxa"/>
              <w:right w:w="67" w:type="dxa"/>
            </w:tcMar>
          </w:tcPr>
          <w:p w14:paraId="46B75242"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01DB9395"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5FB97A4B"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69956DCE" w14:textId="77777777" w:rsidR="00B77EA3" w:rsidRPr="0082484A" w:rsidRDefault="00B77EA3" w:rsidP="00B77EA3">
            <w:pPr>
              <w:tabs>
                <w:tab w:val="left" w:pos="2355"/>
              </w:tabs>
              <w:contextualSpacing/>
              <w:rPr>
                <w:sz w:val="22"/>
                <w:szCs w:val="22"/>
              </w:rPr>
            </w:pPr>
            <w:r w:rsidRPr="0082484A">
              <w:rPr>
                <w:sz w:val="22"/>
                <w:szCs w:val="22"/>
              </w:rPr>
              <w:t>4 (100%)</w:t>
            </w:r>
          </w:p>
        </w:tc>
      </w:tr>
      <w:tr w:rsidR="00B77EA3" w:rsidRPr="0082484A" w14:paraId="37689A4E"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06E9D48F" w14:textId="77777777" w:rsidR="00B77EA3" w:rsidRPr="0082484A" w:rsidRDefault="00B77EA3" w:rsidP="00B77EA3">
            <w:pPr>
              <w:tabs>
                <w:tab w:val="left" w:pos="2355"/>
              </w:tabs>
              <w:contextualSpacing/>
              <w:rPr>
                <w:sz w:val="22"/>
                <w:szCs w:val="22"/>
              </w:rPr>
            </w:pPr>
            <w:r w:rsidRPr="0082484A">
              <w:rPr>
                <w:sz w:val="22"/>
                <w:szCs w:val="22"/>
              </w:rPr>
              <w:t>NHS North Kirklees CCG</w:t>
            </w:r>
          </w:p>
        </w:tc>
        <w:tc>
          <w:tcPr>
            <w:tcW w:w="1418" w:type="dxa"/>
            <w:tcBorders>
              <w:top w:val="nil"/>
              <w:left w:val="nil"/>
              <w:bottom w:val="nil"/>
              <w:right w:val="nil"/>
            </w:tcBorders>
            <w:shd w:val="clear" w:color="auto" w:fill="FFFFFF"/>
            <w:tcMar>
              <w:left w:w="67" w:type="dxa"/>
              <w:right w:w="67" w:type="dxa"/>
            </w:tcMar>
          </w:tcPr>
          <w:p w14:paraId="538C323D"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nil"/>
              <w:right w:val="nil"/>
            </w:tcBorders>
            <w:shd w:val="clear" w:color="auto" w:fill="FFFFFF"/>
            <w:tcMar>
              <w:left w:w="67" w:type="dxa"/>
              <w:right w:w="67" w:type="dxa"/>
            </w:tcMar>
          </w:tcPr>
          <w:p w14:paraId="44702228" w14:textId="77777777" w:rsidR="00B77EA3" w:rsidRPr="0082484A" w:rsidRDefault="00B77EA3" w:rsidP="00B77EA3">
            <w:pPr>
              <w:tabs>
                <w:tab w:val="left" w:pos="2355"/>
              </w:tabs>
              <w:contextualSpacing/>
              <w:rPr>
                <w:sz w:val="22"/>
                <w:szCs w:val="22"/>
              </w:rPr>
            </w:pPr>
            <w:r w:rsidRPr="0082484A">
              <w:rPr>
                <w:sz w:val="22"/>
                <w:szCs w:val="22"/>
              </w:rPr>
              <w:t>9 (100.00%)</w:t>
            </w:r>
          </w:p>
        </w:tc>
        <w:tc>
          <w:tcPr>
            <w:tcW w:w="1276" w:type="dxa"/>
            <w:tcBorders>
              <w:top w:val="nil"/>
              <w:left w:val="nil"/>
              <w:bottom w:val="nil"/>
              <w:right w:val="nil"/>
            </w:tcBorders>
            <w:shd w:val="clear" w:color="auto" w:fill="FFFFFF"/>
            <w:tcMar>
              <w:left w:w="67" w:type="dxa"/>
              <w:right w:w="67" w:type="dxa"/>
            </w:tcMar>
          </w:tcPr>
          <w:p w14:paraId="1CDB23C3"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nil"/>
              <w:right w:val="nil"/>
            </w:tcBorders>
            <w:shd w:val="clear" w:color="auto" w:fill="FFFFFF"/>
            <w:tcMar>
              <w:left w:w="67" w:type="dxa"/>
              <w:right w:w="67" w:type="dxa"/>
            </w:tcMar>
          </w:tcPr>
          <w:p w14:paraId="1DF7B168"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nil"/>
              <w:right w:val="nil"/>
            </w:tcBorders>
            <w:shd w:val="clear" w:color="auto" w:fill="FFFFFF"/>
            <w:tcMar>
              <w:left w:w="67" w:type="dxa"/>
              <w:right w:w="67" w:type="dxa"/>
            </w:tcMar>
          </w:tcPr>
          <w:p w14:paraId="425D93C9"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6" w:type="dxa"/>
            <w:tcBorders>
              <w:top w:val="nil"/>
              <w:left w:val="nil"/>
              <w:bottom w:val="nil"/>
              <w:right w:val="single" w:sz="11" w:space="0" w:color="000000"/>
            </w:tcBorders>
            <w:shd w:val="clear" w:color="auto" w:fill="FFFFFF"/>
            <w:tcMar>
              <w:left w:w="67" w:type="dxa"/>
              <w:right w:w="67" w:type="dxa"/>
            </w:tcMar>
          </w:tcPr>
          <w:p w14:paraId="1AFB57EB" w14:textId="77777777" w:rsidR="00B77EA3" w:rsidRPr="0082484A" w:rsidRDefault="00B77EA3" w:rsidP="00B77EA3">
            <w:pPr>
              <w:tabs>
                <w:tab w:val="left" w:pos="2355"/>
              </w:tabs>
              <w:contextualSpacing/>
              <w:rPr>
                <w:sz w:val="22"/>
                <w:szCs w:val="22"/>
              </w:rPr>
            </w:pPr>
            <w:r w:rsidRPr="0082484A">
              <w:rPr>
                <w:sz w:val="22"/>
                <w:szCs w:val="22"/>
              </w:rPr>
              <w:t>9 (100%)</w:t>
            </w:r>
          </w:p>
        </w:tc>
      </w:tr>
      <w:tr w:rsidR="00B77EA3" w:rsidRPr="0082484A" w14:paraId="0064E5A0" w14:textId="77777777" w:rsidTr="0082484A">
        <w:trPr>
          <w:cantSplit/>
        </w:trPr>
        <w:tc>
          <w:tcPr>
            <w:tcW w:w="2348" w:type="dxa"/>
            <w:tcBorders>
              <w:top w:val="nil"/>
              <w:left w:val="single" w:sz="11" w:space="0" w:color="000000"/>
              <w:bottom w:val="single" w:sz="11" w:space="0" w:color="000000"/>
              <w:right w:val="nil"/>
            </w:tcBorders>
            <w:shd w:val="clear" w:color="auto" w:fill="FFFFFF"/>
            <w:tcMar>
              <w:left w:w="67" w:type="dxa"/>
              <w:right w:w="67" w:type="dxa"/>
            </w:tcMar>
          </w:tcPr>
          <w:p w14:paraId="42F46433" w14:textId="77777777" w:rsidR="00B77EA3" w:rsidRPr="0082484A" w:rsidRDefault="00B77EA3" w:rsidP="00B77EA3">
            <w:pPr>
              <w:tabs>
                <w:tab w:val="left" w:pos="2355"/>
              </w:tabs>
              <w:contextualSpacing/>
              <w:rPr>
                <w:sz w:val="22"/>
                <w:szCs w:val="22"/>
              </w:rPr>
            </w:pPr>
            <w:r w:rsidRPr="0082484A">
              <w:rPr>
                <w:sz w:val="22"/>
                <w:szCs w:val="22"/>
              </w:rPr>
              <w:t>NHS Wakefield CCG</w:t>
            </w:r>
          </w:p>
        </w:tc>
        <w:tc>
          <w:tcPr>
            <w:tcW w:w="1418" w:type="dxa"/>
            <w:tcBorders>
              <w:top w:val="nil"/>
              <w:left w:val="nil"/>
              <w:bottom w:val="single" w:sz="11" w:space="0" w:color="000000"/>
              <w:right w:val="nil"/>
            </w:tcBorders>
            <w:shd w:val="clear" w:color="auto" w:fill="FFFFFF"/>
            <w:tcMar>
              <w:left w:w="67" w:type="dxa"/>
              <w:right w:w="67" w:type="dxa"/>
            </w:tcMar>
          </w:tcPr>
          <w:p w14:paraId="34B4C568" w14:textId="77777777" w:rsidR="00B77EA3" w:rsidRPr="0082484A" w:rsidRDefault="00B77EA3" w:rsidP="00B77EA3">
            <w:pPr>
              <w:tabs>
                <w:tab w:val="left" w:pos="2355"/>
              </w:tabs>
              <w:contextualSpacing/>
              <w:rPr>
                <w:sz w:val="22"/>
                <w:szCs w:val="22"/>
              </w:rPr>
            </w:pPr>
            <w:r w:rsidRPr="0082484A">
              <w:rPr>
                <w:sz w:val="22"/>
                <w:szCs w:val="22"/>
              </w:rPr>
              <w:t>0 (0.00%)</w:t>
            </w:r>
          </w:p>
        </w:tc>
        <w:tc>
          <w:tcPr>
            <w:tcW w:w="1559" w:type="dxa"/>
            <w:tcBorders>
              <w:top w:val="nil"/>
              <w:left w:val="nil"/>
              <w:bottom w:val="single" w:sz="11" w:space="0" w:color="000000"/>
              <w:right w:val="nil"/>
            </w:tcBorders>
            <w:shd w:val="clear" w:color="auto" w:fill="FFFFFF"/>
            <w:tcMar>
              <w:left w:w="67" w:type="dxa"/>
              <w:right w:w="67" w:type="dxa"/>
            </w:tcMar>
          </w:tcPr>
          <w:p w14:paraId="1605E832" w14:textId="77777777" w:rsidR="00B77EA3" w:rsidRPr="0082484A" w:rsidRDefault="00B77EA3" w:rsidP="00B77EA3">
            <w:pPr>
              <w:tabs>
                <w:tab w:val="left" w:pos="2355"/>
              </w:tabs>
              <w:contextualSpacing/>
              <w:rPr>
                <w:sz w:val="22"/>
                <w:szCs w:val="22"/>
              </w:rPr>
            </w:pPr>
            <w:r w:rsidRPr="0082484A">
              <w:rPr>
                <w:sz w:val="22"/>
                <w:szCs w:val="22"/>
              </w:rPr>
              <w:t>9 (90.00%)</w:t>
            </w:r>
          </w:p>
        </w:tc>
        <w:tc>
          <w:tcPr>
            <w:tcW w:w="1276" w:type="dxa"/>
            <w:tcBorders>
              <w:top w:val="nil"/>
              <w:left w:val="nil"/>
              <w:bottom w:val="single" w:sz="11" w:space="0" w:color="000000"/>
              <w:right w:val="nil"/>
            </w:tcBorders>
            <w:shd w:val="clear" w:color="auto" w:fill="FFFFFF"/>
            <w:tcMar>
              <w:left w:w="67" w:type="dxa"/>
              <w:right w:w="67" w:type="dxa"/>
            </w:tcMar>
          </w:tcPr>
          <w:p w14:paraId="7BA98F97" w14:textId="77777777" w:rsidR="00B77EA3" w:rsidRPr="0082484A" w:rsidRDefault="00B77EA3" w:rsidP="00B77EA3">
            <w:pPr>
              <w:tabs>
                <w:tab w:val="left" w:pos="2355"/>
              </w:tabs>
              <w:contextualSpacing/>
              <w:rPr>
                <w:sz w:val="22"/>
                <w:szCs w:val="22"/>
              </w:rPr>
            </w:pPr>
            <w:r w:rsidRPr="0082484A">
              <w:rPr>
                <w:sz w:val="22"/>
                <w:szCs w:val="22"/>
              </w:rPr>
              <w:t>0 (0.00%)</w:t>
            </w:r>
          </w:p>
        </w:tc>
        <w:tc>
          <w:tcPr>
            <w:tcW w:w="1562" w:type="dxa"/>
            <w:tcBorders>
              <w:top w:val="nil"/>
              <w:left w:val="nil"/>
              <w:bottom w:val="single" w:sz="11" w:space="0" w:color="000000"/>
              <w:right w:val="nil"/>
            </w:tcBorders>
            <w:shd w:val="clear" w:color="auto" w:fill="FFFFFF"/>
            <w:tcMar>
              <w:left w:w="67" w:type="dxa"/>
              <w:right w:w="67" w:type="dxa"/>
            </w:tcMar>
          </w:tcPr>
          <w:p w14:paraId="32F6945C" w14:textId="77777777" w:rsidR="00B77EA3" w:rsidRPr="0082484A" w:rsidRDefault="00B77EA3" w:rsidP="00B77EA3">
            <w:pPr>
              <w:tabs>
                <w:tab w:val="left" w:pos="2355"/>
              </w:tabs>
              <w:contextualSpacing/>
              <w:rPr>
                <w:sz w:val="22"/>
                <w:szCs w:val="22"/>
              </w:rPr>
            </w:pPr>
            <w:r w:rsidRPr="0082484A">
              <w:rPr>
                <w:sz w:val="22"/>
                <w:szCs w:val="22"/>
              </w:rPr>
              <w:t>0 (0.00%)</w:t>
            </w:r>
          </w:p>
        </w:tc>
        <w:tc>
          <w:tcPr>
            <w:tcW w:w="1273" w:type="dxa"/>
            <w:tcBorders>
              <w:top w:val="nil"/>
              <w:left w:val="nil"/>
              <w:bottom w:val="single" w:sz="11" w:space="0" w:color="000000"/>
              <w:right w:val="nil"/>
            </w:tcBorders>
            <w:shd w:val="clear" w:color="auto" w:fill="FFFFFF"/>
            <w:tcMar>
              <w:left w:w="67" w:type="dxa"/>
              <w:right w:w="67" w:type="dxa"/>
            </w:tcMar>
          </w:tcPr>
          <w:p w14:paraId="38A654AE" w14:textId="77777777" w:rsidR="00B77EA3" w:rsidRPr="0082484A" w:rsidRDefault="00B77EA3" w:rsidP="00B77EA3">
            <w:pPr>
              <w:tabs>
                <w:tab w:val="left" w:pos="2355"/>
              </w:tabs>
              <w:contextualSpacing/>
              <w:rPr>
                <w:sz w:val="22"/>
                <w:szCs w:val="22"/>
              </w:rPr>
            </w:pPr>
            <w:r w:rsidRPr="0082484A">
              <w:rPr>
                <w:sz w:val="22"/>
                <w:szCs w:val="22"/>
              </w:rPr>
              <w:t>1 (10.00%)</w:t>
            </w:r>
          </w:p>
        </w:tc>
        <w:tc>
          <w:tcPr>
            <w:tcW w:w="1276" w:type="dxa"/>
            <w:tcBorders>
              <w:top w:val="nil"/>
              <w:left w:val="nil"/>
              <w:bottom w:val="single" w:sz="11" w:space="0" w:color="000000"/>
              <w:right w:val="single" w:sz="11" w:space="0" w:color="000000"/>
            </w:tcBorders>
            <w:shd w:val="clear" w:color="auto" w:fill="FFFFFF"/>
            <w:tcMar>
              <w:left w:w="67" w:type="dxa"/>
              <w:right w:w="67" w:type="dxa"/>
            </w:tcMar>
          </w:tcPr>
          <w:p w14:paraId="600B6715" w14:textId="77777777" w:rsidR="00B77EA3" w:rsidRPr="0082484A" w:rsidRDefault="00B77EA3" w:rsidP="00B77EA3">
            <w:pPr>
              <w:tabs>
                <w:tab w:val="left" w:pos="2355"/>
              </w:tabs>
              <w:contextualSpacing/>
              <w:rPr>
                <w:sz w:val="22"/>
                <w:szCs w:val="22"/>
              </w:rPr>
            </w:pPr>
            <w:r w:rsidRPr="0082484A">
              <w:rPr>
                <w:sz w:val="22"/>
                <w:szCs w:val="22"/>
              </w:rPr>
              <w:t>10 (100%)</w:t>
            </w:r>
          </w:p>
          <w:p w14:paraId="307E8299" w14:textId="77777777" w:rsidR="00B77EA3" w:rsidRPr="0082484A" w:rsidRDefault="00B77EA3" w:rsidP="00B77EA3">
            <w:pPr>
              <w:tabs>
                <w:tab w:val="left" w:pos="2355"/>
              </w:tabs>
              <w:contextualSpacing/>
              <w:rPr>
                <w:sz w:val="22"/>
                <w:szCs w:val="22"/>
              </w:rPr>
            </w:pPr>
          </w:p>
        </w:tc>
      </w:tr>
    </w:tbl>
    <w:p w14:paraId="39C9EDE3" w14:textId="77777777" w:rsidR="00B77EA3" w:rsidRPr="0082484A" w:rsidRDefault="00B77EA3" w:rsidP="00B77EA3">
      <w:pPr>
        <w:pStyle w:val="Caption"/>
        <w:rPr>
          <w:b w:val="0"/>
          <w:sz w:val="22"/>
          <w:szCs w:val="22"/>
        </w:rPr>
      </w:pPr>
      <w:bookmarkStart w:id="11" w:name="_Ref501103243"/>
    </w:p>
    <w:p w14:paraId="0CDF9536" w14:textId="77777777" w:rsidR="00DB0F0B" w:rsidRPr="0082484A" w:rsidRDefault="00DB0F0B">
      <w:pPr>
        <w:spacing w:before="0" w:after="200"/>
        <w:rPr>
          <w:bCs/>
          <w:sz w:val="22"/>
          <w:szCs w:val="22"/>
        </w:rPr>
      </w:pPr>
      <w:bookmarkStart w:id="12" w:name="_Ref8646703"/>
      <w:bookmarkStart w:id="13" w:name="_Toc8728071"/>
      <w:r w:rsidRPr="0082484A">
        <w:rPr>
          <w:b/>
          <w:sz w:val="22"/>
          <w:szCs w:val="22"/>
        </w:rPr>
        <w:br w:type="page"/>
      </w:r>
    </w:p>
    <w:p w14:paraId="12B7F13D" w14:textId="2494757B" w:rsidR="00B77EA3" w:rsidRPr="0082484A" w:rsidRDefault="00B77EA3" w:rsidP="00B77EA3">
      <w:pPr>
        <w:pStyle w:val="Caption"/>
        <w:rPr>
          <w:b w:val="0"/>
          <w:bCs w:val="0"/>
          <w:sz w:val="22"/>
          <w:szCs w:val="22"/>
        </w:rPr>
      </w:pPr>
      <w:bookmarkStart w:id="14" w:name="_Toc19526733"/>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4</w:t>
      </w:r>
      <w:r w:rsidRPr="0082484A">
        <w:rPr>
          <w:b w:val="0"/>
          <w:noProof/>
          <w:sz w:val="22"/>
          <w:szCs w:val="22"/>
        </w:rPr>
        <w:fldChar w:fldCharType="end"/>
      </w:r>
      <w:bookmarkEnd w:id="11"/>
      <w:bookmarkEnd w:id="12"/>
      <w:r w:rsidRPr="0082484A">
        <w:rPr>
          <w:b w:val="0"/>
          <w:sz w:val="22"/>
          <w:szCs w:val="22"/>
        </w:rPr>
        <w:t>: Cluster-randomised evaluation: reasons provided by practices for opting out (WP4a)</w:t>
      </w:r>
      <w:bookmarkEnd w:id="13"/>
      <w:bookmarkEnd w:id="14"/>
    </w:p>
    <w:tbl>
      <w:tblPr>
        <w:tblW w:w="0" w:type="auto"/>
        <w:tblLayout w:type="fixed"/>
        <w:tblCellMar>
          <w:left w:w="0" w:type="dxa"/>
          <w:right w:w="0" w:type="dxa"/>
        </w:tblCellMar>
        <w:tblLook w:val="0000" w:firstRow="0" w:lastRow="0" w:firstColumn="0" w:lastColumn="0" w:noHBand="0" w:noVBand="0"/>
      </w:tblPr>
      <w:tblGrid>
        <w:gridCol w:w="2546"/>
        <w:gridCol w:w="1835"/>
      </w:tblGrid>
      <w:tr w:rsidR="00B77EA3" w:rsidRPr="0082484A" w14:paraId="2E1D996C" w14:textId="77777777" w:rsidTr="0082484A">
        <w:trPr>
          <w:cantSplit/>
          <w:tblHeader/>
        </w:trPr>
        <w:tc>
          <w:tcPr>
            <w:tcW w:w="2546"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5AE75DF" w14:textId="77777777" w:rsidR="00B77EA3" w:rsidRPr="0082484A" w:rsidRDefault="00B77EA3" w:rsidP="00B77EA3">
            <w:pPr>
              <w:contextualSpacing/>
              <w:rPr>
                <w:bCs/>
                <w:sz w:val="22"/>
                <w:szCs w:val="22"/>
              </w:rPr>
            </w:pPr>
            <w:bookmarkStart w:id="15" w:name="IDX5"/>
            <w:bookmarkEnd w:id="15"/>
            <w:r w:rsidRPr="0082484A">
              <w:rPr>
                <w:bCs/>
                <w:sz w:val="22"/>
                <w:szCs w:val="22"/>
              </w:rPr>
              <w:t>Reason for practice opt-out</w:t>
            </w:r>
          </w:p>
        </w:tc>
        <w:tc>
          <w:tcPr>
            <w:tcW w:w="1835"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0ECB525" w14:textId="77777777" w:rsidR="00B77EA3" w:rsidRPr="0082484A" w:rsidRDefault="00B77EA3" w:rsidP="00B77EA3">
            <w:pPr>
              <w:contextualSpacing/>
              <w:rPr>
                <w:bCs/>
                <w:sz w:val="22"/>
                <w:szCs w:val="22"/>
              </w:rPr>
            </w:pPr>
            <w:r w:rsidRPr="0082484A">
              <w:rPr>
                <w:bCs/>
                <w:sz w:val="22"/>
                <w:szCs w:val="22"/>
              </w:rPr>
              <w:t xml:space="preserve">Total </w:t>
            </w:r>
          </w:p>
          <w:p w14:paraId="13EE0AB6" w14:textId="77777777" w:rsidR="00B77EA3" w:rsidRPr="0082484A" w:rsidRDefault="00B77EA3" w:rsidP="00B77EA3">
            <w:pPr>
              <w:contextualSpacing/>
              <w:rPr>
                <w:bCs/>
                <w:sz w:val="22"/>
                <w:szCs w:val="22"/>
              </w:rPr>
            </w:pPr>
            <w:r w:rsidRPr="0082484A">
              <w:rPr>
                <w:bCs/>
                <w:sz w:val="22"/>
                <w:szCs w:val="22"/>
              </w:rPr>
              <w:t>(n=56)</w:t>
            </w:r>
          </w:p>
        </w:tc>
      </w:tr>
      <w:tr w:rsidR="00B77EA3" w:rsidRPr="0082484A" w14:paraId="7C2B6DDD" w14:textId="77777777" w:rsidTr="0082484A">
        <w:trPr>
          <w:cantSplit/>
        </w:trPr>
        <w:tc>
          <w:tcPr>
            <w:tcW w:w="2546" w:type="dxa"/>
            <w:tcBorders>
              <w:top w:val="nil"/>
              <w:left w:val="single" w:sz="11" w:space="0" w:color="000000"/>
              <w:bottom w:val="nil"/>
              <w:right w:val="nil"/>
            </w:tcBorders>
            <w:shd w:val="clear" w:color="auto" w:fill="FFFFFF"/>
            <w:tcMar>
              <w:left w:w="67" w:type="dxa"/>
              <w:right w:w="67" w:type="dxa"/>
            </w:tcMar>
          </w:tcPr>
          <w:p w14:paraId="40939725" w14:textId="77777777" w:rsidR="00B77EA3" w:rsidRPr="0082484A" w:rsidRDefault="00B77EA3" w:rsidP="00B77EA3">
            <w:pPr>
              <w:contextualSpacing/>
              <w:rPr>
                <w:sz w:val="22"/>
                <w:szCs w:val="22"/>
              </w:rPr>
            </w:pPr>
            <w:r w:rsidRPr="0082484A">
              <w:rPr>
                <w:sz w:val="22"/>
                <w:szCs w:val="22"/>
              </w:rPr>
              <w:t>Workload</w:t>
            </w:r>
          </w:p>
        </w:tc>
        <w:tc>
          <w:tcPr>
            <w:tcW w:w="1835" w:type="dxa"/>
            <w:tcBorders>
              <w:top w:val="nil"/>
              <w:left w:val="nil"/>
              <w:bottom w:val="nil"/>
              <w:right w:val="single" w:sz="11" w:space="0" w:color="000000"/>
            </w:tcBorders>
            <w:shd w:val="clear" w:color="auto" w:fill="FFFFFF"/>
            <w:tcMar>
              <w:left w:w="67" w:type="dxa"/>
              <w:right w:w="67" w:type="dxa"/>
            </w:tcMar>
          </w:tcPr>
          <w:p w14:paraId="791A2C89" w14:textId="77777777" w:rsidR="00B77EA3" w:rsidRPr="0082484A" w:rsidRDefault="00B77EA3" w:rsidP="00B77EA3">
            <w:pPr>
              <w:contextualSpacing/>
              <w:rPr>
                <w:sz w:val="22"/>
                <w:szCs w:val="22"/>
              </w:rPr>
            </w:pPr>
            <w:r w:rsidRPr="0082484A">
              <w:rPr>
                <w:sz w:val="22"/>
                <w:szCs w:val="22"/>
              </w:rPr>
              <w:t>13 (23.21%)</w:t>
            </w:r>
          </w:p>
        </w:tc>
      </w:tr>
      <w:tr w:rsidR="00B77EA3" w:rsidRPr="0082484A" w14:paraId="676ECB84" w14:textId="77777777" w:rsidTr="0082484A">
        <w:trPr>
          <w:cantSplit/>
        </w:trPr>
        <w:tc>
          <w:tcPr>
            <w:tcW w:w="2546" w:type="dxa"/>
            <w:tcBorders>
              <w:top w:val="nil"/>
              <w:left w:val="single" w:sz="11" w:space="0" w:color="000000"/>
              <w:bottom w:val="nil"/>
              <w:right w:val="nil"/>
            </w:tcBorders>
            <w:shd w:val="clear" w:color="auto" w:fill="FFFFFF"/>
            <w:tcMar>
              <w:left w:w="67" w:type="dxa"/>
              <w:right w:w="67" w:type="dxa"/>
            </w:tcMar>
          </w:tcPr>
          <w:p w14:paraId="2922BF48" w14:textId="77777777" w:rsidR="00B77EA3" w:rsidRPr="0082484A" w:rsidRDefault="00B77EA3" w:rsidP="00B77EA3">
            <w:pPr>
              <w:contextualSpacing/>
              <w:rPr>
                <w:sz w:val="22"/>
                <w:szCs w:val="22"/>
              </w:rPr>
            </w:pPr>
            <w:r w:rsidRPr="0082484A">
              <w:rPr>
                <w:sz w:val="22"/>
                <w:szCs w:val="22"/>
              </w:rPr>
              <w:t>Practice in process of change</w:t>
            </w:r>
          </w:p>
        </w:tc>
        <w:tc>
          <w:tcPr>
            <w:tcW w:w="1835" w:type="dxa"/>
            <w:tcBorders>
              <w:top w:val="nil"/>
              <w:left w:val="nil"/>
              <w:bottom w:val="nil"/>
              <w:right w:val="single" w:sz="11" w:space="0" w:color="000000"/>
            </w:tcBorders>
            <w:shd w:val="clear" w:color="auto" w:fill="FFFFFF"/>
            <w:tcMar>
              <w:left w:w="67" w:type="dxa"/>
              <w:right w:w="67" w:type="dxa"/>
            </w:tcMar>
          </w:tcPr>
          <w:p w14:paraId="3510FAB5" w14:textId="77777777" w:rsidR="00B77EA3" w:rsidRPr="0082484A" w:rsidRDefault="00B77EA3" w:rsidP="00B77EA3">
            <w:pPr>
              <w:contextualSpacing/>
              <w:rPr>
                <w:sz w:val="22"/>
                <w:szCs w:val="22"/>
              </w:rPr>
            </w:pPr>
            <w:r w:rsidRPr="0082484A">
              <w:rPr>
                <w:sz w:val="22"/>
                <w:szCs w:val="22"/>
              </w:rPr>
              <w:t>2 (3.57%)</w:t>
            </w:r>
          </w:p>
        </w:tc>
      </w:tr>
      <w:tr w:rsidR="00B77EA3" w:rsidRPr="0082484A" w14:paraId="5561A55D" w14:textId="77777777" w:rsidTr="0082484A">
        <w:trPr>
          <w:cantSplit/>
        </w:trPr>
        <w:tc>
          <w:tcPr>
            <w:tcW w:w="2546" w:type="dxa"/>
            <w:tcBorders>
              <w:top w:val="nil"/>
              <w:left w:val="single" w:sz="11" w:space="0" w:color="000000"/>
              <w:bottom w:val="nil"/>
              <w:right w:val="nil"/>
            </w:tcBorders>
            <w:shd w:val="clear" w:color="auto" w:fill="FFFFFF"/>
            <w:tcMar>
              <w:left w:w="67" w:type="dxa"/>
              <w:right w:w="67" w:type="dxa"/>
            </w:tcMar>
          </w:tcPr>
          <w:p w14:paraId="20827806" w14:textId="77777777" w:rsidR="00B77EA3" w:rsidRPr="0082484A" w:rsidRDefault="00B77EA3" w:rsidP="00B77EA3">
            <w:pPr>
              <w:contextualSpacing/>
              <w:rPr>
                <w:sz w:val="22"/>
                <w:szCs w:val="22"/>
              </w:rPr>
            </w:pPr>
            <w:r w:rsidRPr="0082484A">
              <w:rPr>
                <w:sz w:val="22"/>
                <w:szCs w:val="22"/>
              </w:rPr>
              <w:t>Practice choice/preference</w:t>
            </w:r>
          </w:p>
        </w:tc>
        <w:tc>
          <w:tcPr>
            <w:tcW w:w="1835" w:type="dxa"/>
            <w:tcBorders>
              <w:top w:val="nil"/>
              <w:left w:val="nil"/>
              <w:bottom w:val="nil"/>
              <w:right w:val="single" w:sz="11" w:space="0" w:color="000000"/>
            </w:tcBorders>
            <w:shd w:val="clear" w:color="auto" w:fill="FFFFFF"/>
            <w:tcMar>
              <w:left w:w="67" w:type="dxa"/>
              <w:right w:w="67" w:type="dxa"/>
            </w:tcMar>
          </w:tcPr>
          <w:p w14:paraId="48433554" w14:textId="77777777" w:rsidR="00B77EA3" w:rsidRPr="0082484A" w:rsidRDefault="00B77EA3" w:rsidP="00B77EA3">
            <w:pPr>
              <w:contextualSpacing/>
              <w:rPr>
                <w:sz w:val="22"/>
                <w:szCs w:val="22"/>
              </w:rPr>
            </w:pPr>
            <w:r w:rsidRPr="0082484A">
              <w:rPr>
                <w:sz w:val="22"/>
                <w:szCs w:val="22"/>
              </w:rPr>
              <w:t>1 (1.79%)</w:t>
            </w:r>
          </w:p>
        </w:tc>
      </w:tr>
      <w:tr w:rsidR="00B77EA3" w:rsidRPr="0082484A" w14:paraId="35F3A9F0" w14:textId="77777777" w:rsidTr="0082484A">
        <w:trPr>
          <w:cantSplit/>
        </w:trPr>
        <w:tc>
          <w:tcPr>
            <w:tcW w:w="2546" w:type="dxa"/>
            <w:tcBorders>
              <w:top w:val="nil"/>
              <w:left w:val="single" w:sz="11" w:space="0" w:color="000000"/>
              <w:bottom w:val="nil"/>
              <w:right w:val="nil"/>
            </w:tcBorders>
            <w:shd w:val="clear" w:color="auto" w:fill="FFFFFF"/>
            <w:tcMar>
              <w:left w:w="67" w:type="dxa"/>
              <w:right w:w="67" w:type="dxa"/>
            </w:tcMar>
          </w:tcPr>
          <w:p w14:paraId="1E11D66D" w14:textId="77777777" w:rsidR="00B77EA3" w:rsidRPr="0082484A" w:rsidRDefault="00B77EA3" w:rsidP="00B77EA3">
            <w:pPr>
              <w:contextualSpacing/>
              <w:rPr>
                <w:sz w:val="22"/>
                <w:szCs w:val="22"/>
              </w:rPr>
            </w:pPr>
            <w:r w:rsidRPr="0082484A">
              <w:rPr>
                <w:sz w:val="22"/>
                <w:szCs w:val="22"/>
              </w:rPr>
              <w:t>Unknown</w:t>
            </w:r>
          </w:p>
        </w:tc>
        <w:tc>
          <w:tcPr>
            <w:tcW w:w="1835" w:type="dxa"/>
            <w:tcBorders>
              <w:top w:val="nil"/>
              <w:left w:val="nil"/>
              <w:bottom w:val="nil"/>
              <w:right w:val="single" w:sz="11" w:space="0" w:color="000000"/>
            </w:tcBorders>
            <w:shd w:val="clear" w:color="auto" w:fill="FFFFFF"/>
            <w:tcMar>
              <w:left w:w="67" w:type="dxa"/>
              <w:right w:w="67" w:type="dxa"/>
            </w:tcMar>
          </w:tcPr>
          <w:p w14:paraId="2D5BCDD2" w14:textId="77777777" w:rsidR="00B77EA3" w:rsidRPr="0082484A" w:rsidRDefault="00B77EA3" w:rsidP="00B77EA3">
            <w:pPr>
              <w:contextualSpacing/>
              <w:rPr>
                <w:sz w:val="22"/>
                <w:szCs w:val="22"/>
              </w:rPr>
            </w:pPr>
            <w:r w:rsidRPr="0082484A">
              <w:rPr>
                <w:sz w:val="22"/>
                <w:szCs w:val="22"/>
              </w:rPr>
              <w:t>36 (64.29%)</w:t>
            </w:r>
          </w:p>
        </w:tc>
      </w:tr>
      <w:tr w:rsidR="00B77EA3" w:rsidRPr="0082484A" w14:paraId="1DC6316C" w14:textId="77777777" w:rsidTr="0082484A">
        <w:trPr>
          <w:cantSplit/>
        </w:trPr>
        <w:tc>
          <w:tcPr>
            <w:tcW w:w="2546" w:type="dxa"/>
            <w:tcBorders>
              <w:top w:val="nil"/>
              <w:left w:val="single" w:sz="11" w:space="0" w:color="000000"/>
              <w:bottom w:val="nil"/>
              <w:right w:val="nil"/>
            </w:tcBorders>
            <w:shd w:val="clear" w:color="auto" w:fill="FFFFFF"/>
            <w:tcMar>
              <w:left w:w="67" w:type="dxa"/>
              <w:right w:w="67" w:type="dxa"/>
            </w:tcMar>
          </w:tcPr>
          <w:p w14:paraId="5FCB1BF3" w14:textId="77777777" w:rsidR="00B77EA3" w:rsidRPr="0082484A" w:rsidRDefault="00B77EA3" w:rsidP="00B77EA3">
            <w:pPr>
              <w:contextualSpacing/>
              <w:rPr>
                <w:sz w:val="22"/>
                <w:szCs w:val="22"/>
              </w:rPr>
            </w:pPr>
            <w:r w:rsidRPr="0082484A">
              <w:rPr>
                <w:sz w:val="22"/>
                <w:szCs w:val="22"/>
              </w:rPr>
              <w:t>Other</w:t>
            </w:r>
          </w:p>
        </w:tc>
        <w:tc>
          <w:tcPr>
            <w:tcW w:w="1835" w:type="dxa"/>
            <w:tcBorders>
              <w:top w:val="nil"/>
              <w:left w:val="nil"/>
              <w:bottom w:val="nil"/>
              <w:right w:val="single" w:sz="11" w:space="0" w:color="000000"/>
            </w:tcBorders>
            <w:shd w:val="clear" w:color="auto" w:fill="FFFFFF"/>
            <w:tcMar>
              <w:left w:w="67" w:type="dxa"/>
              <w:right w:w="67" w:type="dxa"/>
            </w:tcMar>
          </w:tcPr>
          <w:p w14:paraId="0DFC2939" w14:textId="77777777" w:rsidR="00B77EA3" w:rsidRPr="0082484A" w:rsidRDefault="00B77EA3" w:rsidP="00B77EA3">
            <w:pPr>
              <w:contextualSpacing/>
              <w:rPr>
                <w:sz w:val="22"/>
                <w:szCs w:val="22"/>
              </w:rPr>
            </w:pPr>
            <w:r w:rsidRPr="0082484A">
              <w:rPr>
                <w:sz w:val="22"/>
                <w:szCs w:val="22"/>
              </w:rPr>
              <w:t>4 (7.14%)</w:t>
            </w:r>
          </w:p>
        </w:tc>
      </w:tr>
      <w:tr w:rsidR="00B77EA3" w:rsidRPr="0082484A" w14:paraId="5CE92A0B" w14:textId="77777777" w:rsidTr="0082484A">
        <w:trPr>
          <w:cantSplit/>
        </w:trPr>
        <w:tc>
          <w:tcPr>
            <w:tcW w:w="2546" w:type="dxa"/>
            <w:tcBorders>
              <w:top w:val="nil"/>
              <w:left w:val="single" w:sz="11" w:space="0" w:color="000000"/>
              <w:bottom w:val="single" w:sz="11" w:space="0" w:color="000000"/>
              <w:right w:val="nil"/>
            </w:tcBorders>
            <w:shd w:val="clear" w:color="auto" w:fill="FFFFFF"/>
            <w:tcMar>
              <w:left w:w="67" w:type="dxa"/>
              <w:right w:w="67" w:type="dxa"/>
            </w:tcMar>
          </w:tcPr>
          <w:p w14:paraId="5762BB2C" w14:textId="77777777" w:rsidR="00B77EA3" w:rsidRPr="0082484A" w:rsidRDefault="00B77EA3" w:rsidP="00B77EA3">
            <w:pPr>
              <w:contextualSpacing/>
              <w:rPr>
                <w:sz w:val="22"/>
                <w:szCs w:val="22"/>
              </w:rPr>
            </w:pPr>
          </w:p>
        </w:tc>
        <w:tc>
          <w:tcPr>
            <w:tcW w:w="1835" w:type="dxa"/>
            <w:tcBorders>
              <w:top w:val="nil"/>
              <w:left w:val="nil"/>
              <w:bottom w:val="single" w:sz="11" w:space="0" w:color="000000"/>
              <w:right w:val="single" w:sz="11" w:space="0" w:color="000000"/>
            </w:tcBorders>
            <w:shd w:val="clear" w:color="auto" w:fill="FFFFFF"/>
            <w:tcMar>
              <w:left w:w="67" w:type="dxa"/>
              <w:right w:w="67" w:type="dxa"/>
            </w:tcMar>
          </w:tcPr>
          <w:p w14:paraId="01B37702" w14:textId="77777777" w:rsidR="00B77EA3" w:rsidRPr="0082484A" w:rsidRDefault="00B77EA3" w:rsidP="00B77EA3">
            <w:pPr>
              <w:contextualSpacing/>
              <w:rPr>
                <w:sz w:val="22"/>
                <w:szCs w:val="22"/>
              </w:rPr>
            </w:pPr>
          </w:p>
        </w:tc>
      </w:tr>
    </w:tbl>
    <w:p w14:paraId="77FEC92D" w14:textId="77777777" w:rsidR="00B77EA3" w:rsidRPr="0082484A" w:rsidRDefault="00B77EA3" w:rsidP="00B77EA3">
      <w:pPr>
        <w:contextualSpacing/>
        <w:rPr>
          <w:color w:val="FF0000"/>
          <w:sz w:val="22"/>
          <w:szCs w:val="22"/>
          <w:vertAlign w:val="superscript"/>
        </w:rPr>
      </w:pPr>
    </w:p>
    <w:p w14:paraId="0478CABF" w14:textId="77777777" w:rsidR="00B77EA3" w:rsidRPr="0082484A" w:rsidRDefault="00B77EA3" w:rsidP="00B77EA3">
      <w:pPr>
        <w:contextualSpacing/>
        <w:rPr>
          <w:sz w:val="22"/>
          <w:szCs w:val="22"/>
        </w:rPr>
      </w:pPr>
      <w:r w:rsidRPr="0082484A">
        <w:rPr>
          <w:sz w:val="22"/>
          <w:szCs w:val="22"/>
          <w:vertAlign w:val="superscript"/>
        </w:rPr>
        <w:t>a</w:t>
      </w:r>
      <w:r w:rsidRPr="0082484A">
        <w:rPr>
          <w:sz w:val="22"/>
          <w:szCs w:val="22"/>
        </w:rPr>
        <w:t xml:space="preserve"> Other reasons provided were: ‘Partner retiring’; ‘Insufficient clarity on what we would be expected to do and how it would affect our workload.’; ‘Can't believe no additional work for practices - vague about what non-monetary incentives are/how time consuming they would be. Data extraction/security concerns. How do we know data has not been taken already? Please acknowledge not taken - SAE enclosed.’; ‘At the limit of our resources already with no capacity to take on more even if supported, I am afraid. Also not keen in principle in being involved in something that will happen if we don't opt-out’.</w:t>
      </w:r>
    </w:p>
    <w:p w14:paraId="2906BD8E" w14:textId="77777777" w:rsidR="00B77EA3" w:rsidRPr="0082484A" w:rsidRDefault="00B77EA3" w:rsidP="00B77EA3">
      <w:pPr>
        <w:spacing w:after="200"/>
        <w:rPr>
          <w:sz w:val="22"/>
          <w:szCs w:val="22"/>
        </w:rPr>
      </w:pPr>
      <w:r w:rsidRPr="0082484A">
        <w:rPr>
          <w:sz w:val="22"/>
          <w:szCs w:val="22"/>
        </w:rPr>
        <w:br w:type="page"/>
      </w:r>
    </w:p>
    <w:p w14:paraId="396AB2B6" w14:textId="1764D424" w:rsidR="00B77EA3" w:rsidRPr="0082484A" w:rsidRDefault="00B77EA3" w:rsidP="00B77EA3">
      <w:pPr>
        <w:pStyle w:val="Caption"/>
        <w:rPr>
          <w:b w:val="0"/>
          <w:bCs w:val="0"/>
          <w:sz w:val="22"/>
          <w:szCs w:val="22"/>
        </w:rPr>
      </w:pPr>
      <w:bookmarkStart w:id="16" w:name="_Ref501103248"/>
      <w:bookmarkStart w:id="17" w:name="_Toc8728072"/>
      <w:bookmarkStart w:id="18" w:name="_Toc19526734"/>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5</w:t>
      </w:r>
      <w:r w:rsidRPr="0082484A">
        <w:rPr>
          <w:b w:val="0"/>
          <w:noProof/>
          <w:sz w:val="22"/>
          <w:szCs w:val="22"/>
        </w:rPr>
        <w:fldChar w:fldCharType="end"/>
      </w:r>
      <w:bookmarkEnd w:id="16"/>
      <w:r w:rsidRPr="0082484A">
        <w:rPr>
          <w:b w:val="0"/>
          <w:sz w:val="22"/>
          <w:szCs w:val="22"/>
        </w:rPr>
        <w:t>: Cluster-randomised evaluation: reasons provided by practices for opting out (by clinical commissioning group) (WP4a)</w:t>
      </w:r>
      <w:bookmarkEnd w:id="17"/>
      <w:bookmarkEnd w:id="18"/>
    </w:p>
    <w:tbl>
      <w:tblPr>
        <w:tblW w:w="10570" w:type="dxa"/>
        <w:tblInd w:w="-661" w:type="dxa"/>
        <w:tblLayout w:type="fixed"/>
        <w:tblCellMar>
          <w:left w:w="0" w:type="dxa"/>
          <w:right w:w="0" w:type="dxa"/>
        </w:tblCellMar>
        <w:tblLook w:val="0000" w:firstRow="0" w:lastRow="0" w:firstColumn="0" w:lastColumn="0" w:noHBand="0" w:noVBand="0"/>
      </w:tblPr>
      <w:tblGrid>
        <w:gridCol w:w="2348"/>
        <w:gridCol w:w="1418"/>
        <w:gridCol w:w="1417"/>
        <w:gridCol w:w="1418"/>
        <w:gridCol w:w="1417"/>
        <w:gridCol w:w="1418"/>
        <w:gridCol w:w="1134"/>
      </w:tblGrid>
      <w:tr w:rsidR="00D43244" w:rsidRPr="0082484A" w14:paraId="318AA5BE" w14:textId="77777777" w:rsidTr="0082484A">
        <w:trPr>
          <w:cantSplit/>
          <w:tblHeader/>
        </w:trPr>
        <w:tc>
          <w:tcPr>
            <w:tcW w:w="234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D56C370" w14:textId="77777777" w:rsidR="00B77EA3" w:rsidRPr="0082484A" w:rsidRDefault="00B77EA3" w:rsidP="00B77EA3">
            <w:pPr>
              <w:contextualSpacing/>
              <w:rPr>
                <w:bCs/>
                <w:sz w:val="22"/>
                <w:szCs w:val="22"/>
              </w:rPr>
            </w:pPr>
            <w:bookmarkStart w:id="19" w:name="IDX6"/>
            <w:bookmarkEnd w:id="19"/>
            <w:r w:rsidRPr="0082484A">
              <w:rPr>
                <w:bCs/>
                <w:sz w:val="22"/>
                <w:szCs w:val="22"/>
              </w:rPr>
              <w:t>CCG</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4948FEF" w14:textId="77777777" w:rsidR="00B77EA3" w:rsidRPr="0082484A" w:rsidRDefault="00B77EA3" w:rsidP="00B77EA3">
            <w:pPr>
              <w:contextualSpacing/>
              <w:rPr>
                <w:bCs/>
                <w:sz w:val="22"/>
                <w:szCs w:val="22"/>
              </w:rPr>
            </w:pPr>
            <w:r w:rsidRPr="0082484A">
              <w:rPr>
                <w:bCs/>
                <w:sz w:val="22"/>
                <w:szCs w:val="22"/>
              </w:rPr>
              <w:t xml:space="preserve">Workload </w:t>
            </w:r>
          </w:p>
          <w:p w14:paraId="22627B0C" w14:textId="77777777" w:rsidR="00B77EA3" w:rsidRPr="0082484A" w:rsidRDefault="00B77EA3" w:rsidP="00B77EA3">
            <w:pPr>
              <w:contextualSpacing/>
              <w:rPr>
                <w:bCs/>
                <w:sz w:val="22"/>
                <w:szCs w:val="22"/>
              </w:rPr>
            </w:pPr>
            <w:r w:rsidRPr="0082484A">
              <w:rPr>
                <w:bCs/>
                <w:sz w:val="22"/>
                <w:szCs w:val="22"/>
              </w:rPr>
              <w:t>(n=13)</w:t>
            </w:r>
          </w:p>
        </w:tc>
        <w:tc>
          <w:tcPr>
            <w:tcW w:w="141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717502E" w14:textId="77777777" w:rsidR="00B77EA3" w:rsidRPr="0082484A" w:rsidRDefault="00B77EA3" w:rsidP="00B77EA3">
            <w:pPr>
              <w:contextualSpacing/>
              <w:rPr>
                <w:bCs/>
                <w:sz w:val="22"/>
                <w:szCs w:val="22"/>
              </w:rPr>
            </w:pPr>
            <w:r w:rsidRPr="0082484A">
              <w:rPr>
                <w:bCs/>
                <w:sz w:val="22"/>
                <w:szCs w:val="22"/>
              </w:rPr>
              <w:t>Practice in process of change (n=2)</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46BBFDE" w14:textId="77777777" w:rsidR="00B77EA3" w:rsidRPr="0082484A" w:rsidRDefault="00B77EA3" w:rsidP="00B77EA3">
            <w:pPr>
              <w:contextualSpacing/>
              <w:rPr>
                <w:bCs/>
                <w:sz w:val="22"/>
                <w:szCs w:val="22"/>
              </w:rPr>
            </w:pPr>
            <w:r w:rsidRPr="0082484A">
              <w:rPr>
                <w:bCs/>
                <w:sz w:val="22"/>
                <w:szCs w:val="22"/>
              </w:rPr>
              <w:t>Practice choice / preference</w:t>
            </w:r>
          </w:p>
          <w:p w14:paraId="04AC623F" w14:textId="77777777" w:rsidR="00B77EA3" w:rsidRPr="0082484A" w:rsidRDefault="00B77EA3" w:rsidP="00B77EA3">
            <w:pPr>
              <w:contextualSpacing/>
              <w:rPr>
                <w:bCs/>
                <w:sz w:val="22"/>
                <w:szCs w:val="22"/>
              </w:rPr>
            </w:pPr>
            <w:r w:rsidRPr="0082484A">
              <w:rPr>
                <w:bCs/>
                <w:sz w:val="22"/>
                <w:szCs w:val="22"/>
              </w:rPr>
              <w:t xml:space="preserve"> (n=1)</w:t>
            </w:r>
          </w:p>
        </w:tc>
        <w:tc>
          <w:tcPr>
            <w:tcW w:w="141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441C002" w14:textId="77777777" w:rsidR="00B77EA3" w:rsidRPr="0082484A" w:rsidRDefault="00B77EA3" w:rsidP="00B77EA3">
            <w:pPr>
              <w:contextualSpacing/>
              <w:rPr>
                <w:bCs/>
                <w:sz w:val="22"/>
                <w:szCs w:val="22"/>
              </w:rPr>
            </w:pPr>
            <w:r w:rsidRPr="0082484A">
              <w:rPr>
                <w:bCs/>
                <w:sz w:val="22"/>
                <w:szCs w:val="22"/>
              </w:rPr>
              <w:t>Unknown (n=36)</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970049D" w14:textId="77777777" w:rsidR="00B77EA3" w:rsidRPr="0082484A" w:rsidRDefault="00B77EA3" w:rsidP="00B77EA3">
            <w:pPr>
              <w:contextualSpacing/>
              <w:rPr>
                <w:bCs/>
                <w:sz w:val="22"/>
                <w:szCs w:val="22"/>
              </w:rPr>
            </w:pPr>
            <w:r w:rsidRPr="0082484A">
              <w:rPr>
                <w:bCs/>
                <w:sz w:val="22"/>
                <w:szCs w:val="22"/>
              </w:rPr>
              <w:t xml:space="preserve">Other </w:t>
            </w:r>
          </w:p>
          <w:p w14:paraId="696DC67C" w14:textId="77777777" w:rsidR="00B77EA3" w:rsidRPr="0082484A" w:rsidRDefault="00B77EA3" w:rsidP="00B77EA3">
            <w:pPr>
              <w:contextualSpacing/>
              <w:rPr>
                <w:bCs/>
                <w:sz w:val="22"/>
                <w:szCs w:val="22"/>
              </w:rPr>
            </w:pPr>
            <w:r w:rsidRPr="0082484A">
              <w:rPr>
                <w:bCs/>
                <w:sz w:val="22"/>
                <w:szCs w:val="22"/>
              </w:rPr>
              <w:t>(n=4)</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3647FE1" w14:textId="77777777" w:rsidR="00B77EA3" w:rsidRPr="0082484A" w:rsidRDefault="00B77EA3" w:rsidP="00B77EA3">
            <w:pPr>
              <w:contextualSpacing/>
              <w:rPr>
                <w:bCs/>
                <w:sz w:val="22"/>
                <w:szCs w:val="22"/>
              </w:rPr>
            </w:pPr>
            <w:r w:rsidRPr="0082484A">
              <w:rPr>
                <w:bCs/>
                <w:sz w:val="22"/>
                <w:szCs w:val="22"/>
              </w:rPr>
              <w:t>Total (n=56)</w:t>
            </w:r>
          </w:p>
        </w:tc>
      </w:tr>
      <w:tr w:rsidR="00D43244" w:rsidRPr="0082484A" w14:paraId="640BFC0D"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2F053D0C" w14:textId="77777777" w:rsidR="00B77EA3" w:rsidRPr="0082484A" w:rsidRDefault="00B77EA3" w:rsidP="00B77EA3">
            <w:pPr>
              <w:contextualSpacing/>
              <w:rPr>
                <w:sz w:val="22"/>
                <w:szCs w:val="22"/>
              </w:rPr>
            </w:pPr>
            <w:r w:rsidRPr="0082484A">
              <w:rPr>
                <w:sz w:val="22"/>
                <w:szCs w:val="22"/>
              </w:rPr>
              <w:t>NHS Airedale, Wharfedale And Craven CCG</w:t>
            </w:r>
          </w:p>
        </w:tc>
        <w:tc>
          <w:tcPr>
            <w:tcW w:w="1418" w:type="dxa"/>
            <w:tcBorders>
              <w:top w:val="nil"/>
              <w:left w:val="nil"/>
              <w:bottom w:val="nil"/>
              <w:right w:val="nil"/>
            </w:tcBorders>
            <w:shd w:val="clear" w:color="auto" w:fill="FFFFFF"/>
            <w:tcMar>
              <w:left w:w="67" w:type="dxa"/>
              <w:right w:w="67" w:type="dxa"/>
            </w:tcMar>
          </w:tcPr>
          <w:p w14:paraId="7703B2B9" w14:textId="77777777" w:rsidR="00B77EA3" w:rsidRPr="0082484A" w:rsidRDefault="00B77EA3" w:rsidP="00B77EA3">
            <w:pPr>
              <w:contextualSpacing/>
              <w:rPr>
                <w:sz w:val="22"/>
                <w:szCs w:val="22"/>
              </w:rPr>
            </w:pPr>
            <w:r w:rsidRPr="0082484A">
              <w:rPr>
                <w:sz w:val="22"/>
                <w:szCs w:val="22"/>
              </w:rPr>
              <w:t>1 (33.33%)</w:t>
            </w:r>
          </w:p>
        </w:tc>
        <w:tc>
          <w:tcPr>
            <w:tcW w:w="1417" w:type="dxa"/>
            <w:tcBorders>
              <w:top w:val="nil"/>
              <w:left w:val="nil"/>
              <w:bottom w:val="nil"/>
              <w:right w:val="nil"/>
            </w:tcBorders>
            <w:shd w:val="clear" w:color="auto" w:fill="FFFFFF"/>
            <w:tcMar>
              <w:left w:w="67" w:type="dxa"/>
              <w:right w:w="67" w:type="dxa"/>
            </w:tcMar>
          </w:tcPr>
          <w:p w14:paraId="63EC5A57"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7D52B49C"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68E7D249" w14:textId="77777777" w:rsidR="00B77EA3" w:rsidRPr="0082484A" w:rsidRDefault="00B77EA3" w:rsidP="00B77EA3">
            <w:pPr>
              <w:contextualSpacing/>
              <w:rPr>
                <w:sz w:val="22"/>
                <w:szCs w:val="22"/>
              </w:rPr>
            </w:pPr>
            <w:r w:rsidRPr="0082484A">
              <w:rPr>
                <w:sz w:val="22"/>
                <w:szCs w:val="22"/>
              </w:rPr>
              <w:t>2 (66.67%)</w:t>
            </w:r>
          </w:p>
        </w:tc>
        <w:tc>
          <w:tcPr>
            <w:tcW w:w="1418" w:type="dxa"/>
            <w:tcBorders>
              <w:top w:val="nil"/>
              <w:left w:val="nil"/>
              <w:bottom w:val="nil"/>
              <w:right w:val="nil"/>
            </w:tcBorders>
            <w:shd w:val="clear" w:color="auto" w:fill="FFFFFF"/>
            <w:tcMar>
              <w:left w:w="67" w:type="dxa"/>
              <w:right w:w="67" w:type="dxa"/>
            </w:tcMar>
          </w:tcPr>
          <w:p w14:paraId="207B200D"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2E894AEC" w14:textId="77777777" w:rsidR="00B77EA3" w:rsidRPr="0082484A" w:rsidRDefault="00B77EA3" w:rsidP="00B77EA3">
            <w:pPr>
              <w:contextualSpacing/>
              <w:rPr>
                <w:sz w:val="22"/>
                <w:szCs w:val="22"/>
              </w:rPr>
            </w:pPr>
            <w:r w:rsidRPr="0082484A">
              <w:rPr>
                <w:sz w:val="22"/>
                <w:szCs w:val="22"/>
              </w:rPr>
              <w:t>3 (100%)</w:t>
            </w:r>
          </w:p>
        </w:tc>
      </w:tr>
      <w:tr w:rsidR="00D43244" w:rsidRPr="0082484A" w14:paraId="415C3587"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3AD16107" w14:textId="77777777" w:rsidR="00B77EA3" w:rsidRPr="0082484A" w:rsidRDefault="00B77EA3" w:rsidP="00B77EA3">
            <w:pPr>
              <w:contextualSpacing/>
              <w:rPr>
                <w:sz w:val="22"/>
                <w:szCs w:val="22"/>
              </w:rPr>
            </w:pPr>
            <w:r w:rsidRPr="0082484A">
              <w:rPr>
                <w:sz w:val="22"/>
                <w:szCs w:val="22"/>
              </w:rPr>
              <w:t>NHS Bradford City CCG</w:t>
            </w:r>
          </w:p>
        </w:tc>
        <w:tc>
          <w:tcPr>
            <w:tcW w:w="1418" w:type="dxa"/>
            <w:tcBorders>
              <w:top w:val="nil"/>
              <w:left w:val="nil"/>
              <w:bottom w:val="nil"/>
              <w:right w:val="nil"/>
            </w:tcBorders>
            <w:shd w:val="clear" w:color="auto" w:fill="FFFFFF"/>
            <w:tcMar>
              <w:left w:w="67" w:type="dxa"/>
              <w:right w:w="67" w:type="dxa"/>
            </w:tcMar>
          </w:tcPr>
          <w:p w14:paraId="0D842F60" w14:textId="77777777" w:rsidR="00B77EA3" w:rsidRPr="0082484A" w:rsidRDefault="00B77EA3" w:rsidP="00B77EA3">
            <w:pPr>
              <w:contextualSpacing/>
              <w:rPr>
                <w:sz w:val="22"/>
                <w:szCs w:val="22"/>
              </w:rPr>
            </w:pPr>
            <w:r w:rsidRPr="0082484A">
              <w:rPr>
                <w:sz w:val="22"/>
                <w:szCs w:val="22"/>
              </w:rPr>
              <w:t>1 (14.29%)</w:t>
            </w:r>
          </w:p>
        </w:tc>
        <w:tc>
          <w:tcPr>
            <w:tcW w:w="1417" w:type="dxa"/>
            <w:tcBorders>
              <w:top w:val="nil"/>
              <w:left w:val="nil"/>
              <w:bottom w:val="nil"/>
              <w:right w:val="nil"/>
            </w:tcBorders>
            <w:shd w:val="clear" w:color="auto" w:fill="FFFFFF"/>
            <w:tcMar>
              <w:left w:w="67" w:type="dxa"/>
              <w:right w:w="67" w:type="dxa"/>
            </w:tcMar>
          </w:tcPr>
          <w:p w14:paraId="231A2395"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3CD3DD53"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26DE9CF5" w14:textId="77777777" w:rsidR="00B77EA3" w:rsidRPr="0082484A" w:rsidRDefault="00B77EA3" w:rsidP="00B77EA3">
            <w:pPr>
              <w:contextualSpacing/>
              <w:rPr>
                <w:sz w:val="22"/>
                <w:szCs w:val="22"/>
              </w:rPr>
            </w:pPr>
            <w:r w:rsidRPr="0082484A">
              <w:rPr>
                <w:sz w:val="22"/>
                <w:szCs w:val="22"/>
              </w:rPr>
              <w:t>6 (85.71%)</w:t>
            </w:r>
          </w:p>
        </w:tc>
        <w:tc>
          <w:tcPr>
            <w:tcW w:w="1418" w:type="dxa"/>
            <w:tcBorders>
              <w:top w:val="nil"/>
              <w:left w:val="nil"/>
              <w:bottom w:val="nil"/>
              <w:right w:val="nil"/>
            </w:tcBorders>
            <w:shd w:val="clear" w:color="auto" w:fill="FFFFFF"/>
            <w:tcMar>
              <w:left w:w="67" w:type="dxa"/>
              <w:right w:w="67" w:type="dxa"/>
            </w:tcMar>
          </w:tcPr>
          <w:p w14:paraId="45383ABF"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19327FC4" w14:textId="77777777" w:rsidR="00B77EA3" w:rsidRPr="0082484A" w:rsidRDefault="00B77EA3" w:rsidP="00B77EA3">
            <w:pPr>
              <w:contextualSpacing/>
              <w:rPr>
                <w:sz w:val="22"/>
                <w:szCs w:val="22"/>
              </w:rPr>
            </w:pPr>
            <w:r w:rsidRPr="0082484A">
              <w:rPr>
                <w:sz w:val="22"/>
                <w:szCs w:val="22"/>
              </w:rPr>
              <w:t>7 (100%)</w:t>
            </w:r>
          </w:p>
        </w:tc>
      </w:tr>
      <w:tr w:rsidR="00D43244" w:rsidRPr="0082484A" w14:paraId="61178B42"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097E6625" w14:textId="77777777" w:rsidR="00B77EA3" w:rsidRPr="0082484A" w:rsidRDefault="00B77EA3" w:rsidP="00B77EA3">
            <w:pPr>
              <w:contextualSpacing/>
              <w:rPr>
                <w:sz w:val="22"/>
                <w:szCs w:val="22"/>
              </w:rPr>
            </w:pPr>
            <w:r w:rsidRPr="0082484A">
              <w:rPr>
                <w:sz w:val="22"/>
                <w:szCs w:val="22"/>
              </w:rPr>
              <w:t>NHS Bradford Districts CCG</w:t>
            </w:r>
          </w:p>
        </w:tc>
        <w:tc>
          <w:tcPr>
            <w:tcW w:w="1418" w:type="dxa"/>
            <w:tcBorders>
              <w:top w:val="nil"/>
              <w:left w:val="nil"/>
              <w:bottom w:val="nil"/>
              <w:right w:val="nil"/>
            </w:tcBorders>
            <w:shd w:val="clear" w:color="auto" w:fill="FFFFFF"/>
            <w:tcMar>
              <w:left w:w="67" w:type="dxa"/>
              <w:right w:w="67" w:type="dxa"/>
            </w:tcMar>
          </w:tcPr>
          <w:p w14:paraId="512154B5" w14:textId="77777777" w:rsidR="00B77EA3" w:rsidRPr="0082484A" w:rsidRDefault="00B77EA3" w:rsidP="00B77EA3">
            <w:pPr>
              <w:contextualSpacing/>
              <w:rPr>
                <w:sz w:val="22"/>
                <w:szCs w:val="22"/>
              </w:rPr>
            </w:pPr>
            <w:r w:rsidRPr="0082484A">
              <w:rPr>
                <w:sz w:val="22"/>
                <w:szCs w:val="22"/>
              </w:rPr>
              <w:t>1 (14.29%)</w:t>
            </w:r>
          </w:p>
        </w:tc>
        <w:tc>
          <w:tcPr>
            <w:tcW w:w="1417" w:type="dxa"/>
            <w:tcBorders>
              <w:top w:val="nil"/>
              <w:left w:val="nil"/>
              <w:bottom w:val="nil"/>
              <w:right w:val="nil"/>
            </w:tcBorders>
            <w:shd w:val="clear" w:color="auto" w:fill="FFFFFF"/>
            <w:tcMar>
              <w:left w:w="67" w:type="dxa"/>
              <w:right w:w="67" w:type="dxa"/>
            </w:tcMar>
          </w:tcPr>
          <w:p w14:paraId="06BB9799"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65B37503"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309CE947" w14:textId="77777777" w:rsidR="00B77EA3" w:rsidRPr="0082484A" w:rsidRDefault="00B77EA3" w:rsidP="00B77EA3">
            <w:pPr>
              <w:contextualSpacing/>
              <w:rPr>
                <w:sz w:val="22"/>
                <w:szCs w:val="22"/>
              </w:rPr>
            </w:pPr>
            <w:r w:rsidRPr="0082484A">
              <w:rPr>
                <w:sz w:val="22"/>
                <w:szCs w:val="22"/>
              </w:rPr>
              <w:t>6 (85.71%)</w:t>
            </w:r>
          </w:p>
        </w:tc>
        <w:tc>
          <w:tcPr>
            <w:tcW w:w="1418" w:type="dxa"/>
            <w:tcBorders>
              <w:top w:val="nil"/>
              <w:left w:val="nil"/>
              <w:bottom w:val="nil"/>
              <w:right w:val="nil"/>
            </w:tcBorders>
            <w:shd w:val="clear" w:color="auto" w:fill="FFFFFF"/>
            <w:tcMar>
              <w:left w:w="67" w:type="dxa"/>
              <w:right w:w="67" w:type="dxa"/>
            </w:tcMar>
          </w:tcPr>
          <w:p w14:paraId="0EAE25EF"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49F1ECD5" w14:textId="77777777" w:rsidR="00B77EA3" w:rsidRPr="0082484A" w:rsidRDefault="00B77EA3" w:rsidP="00B77EA3">
            <w:pPr>
              <w:contextualSpacing/>
              <w:rPr>
                <w:sz w:val="22"/>
                <w:szCs w:val="22"/>
              </w:rPr>
            </w:pPr>
            <w:r w:rsidRPr="0082484A">
              <w:rPr>
                <w:sz w:val="22"/>
                <w:szCs w:val="22"/>
              </w:rPr>
              <w:t>7 (100%)</w:t>
            </w:r>
          </w:p>
        </w:tc>
      </w:tr>
      <w:tr w:rsidR="00D43244" w:rsidRPr="0082484A" w14:paraId="4B3EE1D4"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5F4641AF" w14:textId="77777777" w:rsidR="00B77EA3" w:rsidRPr="0082484A" w:rsidRDefault="00B77EA3" w:rsidP="00B77EA3">
            <w:pPr>
              <w:contextualSpacing/>
              <w:rPr>
                <w:sz w:val="22"/>
                <w:szCs w:val="22"/>
              </w:rPr>
            </w:pPr>
            <w:r w:rsidRPr="0082484A">
              <w:rPr>
                <w:sz w:val="22"/>
                <w:szCs w:val="22"/>
              </w:rPr>
              <w:t>NHS Calderdale CCG</w:t>
            </w:r>
          </w:p>
        </w:tc>
        <w:tc>
          <w:tcPr>
            <w:tcW w:w="1418" w:type="dxa"/>
            <w:tcBorders>
              <w:top w:val="nil"/>
              <w:left w:val="nil"/>
              <w:bottom w:val="nil"/>
              <w:right w:val="nil"/>
            </w:tcBorders>
            <w:shd w:val="clear" w:color="auto" w:fill="FFFFFF"/>
            <w:tcMar>
              <w:left w:w="67" w:type="dxa"/>
              <w:right w:w="67" w:type="dxa"/>
            </w:tcMar>
          </w:tcPr>
          <w:p w14:paraId="2552C732" w14:textId="77777777" w:rsidR="00B77EA3" w:rsidRPr="0082484A" w:rsidRDefault="00B77EA3" w:rsidP="00B77EA3">
            <w:pPr>
              <w:contextualSpacing/>
              <w:rPr>
                <w:sz w:val="22"/>
                <w:szCs w:val="22"/>
              </w:rPr>
            </w:pPr>
            <w:r w:rsidRPr="0082484A">
              <w:rPr>
                <w:sz w:val="22"/>
                <w:szCs w:val="22"/>
              </w:rPr>
              <w:t>1 (25.00%)</w:t>
            </w:r>
          </w:p>
        </w:tc>
        <w:tc>
          <w:tcPr>
            <w:tcW w:w="1417" w:type="dxa"/>
            <w:tcBorders>
              <w:top w:val="nil"/>
              <w:left w:val="nil"/>
              <w:bottom w:val="nil"/>
              <w:right w:val="nil"/>
            </w:tcBorders>
            <w:shd w:val="clear" w:color="auto" w:fill="FFFFFF"/>
            <w:tcMar>
              <w:left w:w="67" w:type="dxa"/>
              <w:right w:w="67" w:type="dxa"/>
            </w:tcMar>
          </w:tcPr>
          <w:p w14:paraId="73B07CDD"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54B310DC"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749ABB62" w14:textId="77777777" w:rsidR="00B77EA3" w:rsidRPr="0082484A" w:rsidRDefault="00B77EA3" w:rsidP="00B77EA3">
            <w:pPr>
              <w:contextualSpacing/>
              <w:rPr>
                <w:sz w:val="22"/>
                <w:szCs w:val="22"/>
              </w:rPr>
            </w:pPr>
            <w:r w:rsidRPr="0082484A">
              <w:rPr>
                <w:sz w:val="22"/>
                <w:szCs w:val="22"/>
              </w:rPr>
              <w:t>2 (50.00%)</w:t>
            </w:r>
          </w:p>
        </w:tc>
        <w:tc>
          <w:tcPr>
            <w:tcW w:w="1418" w:type="dxa"/>
            <w:tcBorders>
              <w:top w:val="nil"/>
              <w:left w:val="nil"/>
              <w:bottom w:val="nil"/>
              <w:right w:val="nil"/>
            </w:tcBorders>
            <w:shd w:val="clear" w:color="auto" w:fill="FFFFFF"/>
            <w:tcMar>
              <w:left w:w="67" w:type="dxa"/>
              <w:right w:w="67" w:type="dxa"/>
            </w:tcMar>
          </w:tcPr>
          <w:p w14:paraId="6F139B48" w14:textId="77777777" w:rsidR="00B77EA3" w:rsidRPr="0082484A" w:rsidRDefault="00B77EA3" w:rsidP="00B77EA3">
            <w:pPr>
              <w:contextualSpacing/>
              <w:rPr>
                <w:sz w:val="22"/>
                <w:szCs w:val="22"/>
              </w:rPr>
            </w:pPr>
            <w:r w:rsidRPr="0082484A">
              <w:rPr>
                <w:sz w:val="22"/>
                <w:szCs w:val="22"/>
              </w:rPr>
              <w:t>1 (25.00%)</w:t>
            </w:r>
          </w:p>
        </w:tc>
        <w:tc>
          <w:tcPr>
            <w:tcW w:w="1134" w:type="dxa"/>
            <w:tcBorders>
              <w:top w:val="nil"/>
              <w:left w:val="nil"/>
              <w:bottom w:val="nil"/>
              <w:right w:val="single" w:sz="11" w:space="0" w:color="000000"/>
            </w:tcBorders>
            <w:shd w:val="clear" w:color="auto" w:fill="FFFFFF"/>
            <w:tcMar>
              <w:left w:w="67" w:type="dxa"/>
              <w:right w:w="67" w:type="dxa"/>
            </w:tcMar>
          </w:tcPr>
          <w:p w14:paraId="5E38FC96" w14:textId="77777777" w:rsidR="00B77EA3" w:rsidRPr="0082484A" w:rsidRDefault="00B77EA3" w:rsidP="00B77EA3">
            <w:pPr>
              <w:contextualSpacing/>
              <w:rPr>
                <w:sz w:val="22"/>
                <w:szCs w:val="22"/>
              </w:rPr>
            </w:pPr>
            <w:r w:rsidRPr="0082484A">
              <w:rPr>
                <w:sz w:val="22"/>
                <w:szCs w:val="22"/>
              </w:rPr>
              <w:t>4 (100%)</w:t>
            </w:r>
          </w:p>
        </w:tc>
      </w:tr>
      <w:tr w:rsidR="00D43244" w:rsidRPr="0082484A" w14:paraId="7DAC85D6"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466A6BF7" w14:textId="77777777" w:rsidR="00B77EA3" w:rsidRPr="0082484A" w:rsidRDefault="00B77EA3" w:rsidP="00B77EA3">
            <w:pPr>
              <w:contextualSpacing/>
              <w:rPr>
                <w:sz w:val="22"/>
                <w:szCs w:val="22"/>
              </w:rPr>
            </w:pPr>
            <w:r w:rsidRPr="0082484A">
              <w:rPr>
                <w:sz w:val="22"/>
                <w:szCs w:val="22"/>
              </w:rPr>
              <w:t>NHS Greater Huddersfield CCG</w:t>
            </w:r>
          </w:p>
        </w:tc>
        <w:tc>
          <w:tcPr>
            <w:tcW w:w="1418" w:type="dxa"/>
            <w:tcBorders>
              <w:top w:val="nil"/>
              <w:left w:val="nil"/>
              <w:bottom w:val="nil"/>
              <w:right w:val="nil"/>
            </w:tcBorders>
            <w:shd w:val="clear" w:color="auto" w:fill="FFFFFF"/>
            <w:tcMar>
              <w:left w:w="67" w:type="dxa"/>
              <w:right w:w="67" w:type="dxa"/>
            </w:tcMar>
          </w:tcPr>
          <w:p w14:paraId="7BBCB66C"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11AF4952"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0C9C7A7A"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6A1349D3" w14:textId="77777777" w:rsidR="00B77EA3" w:rsidRPr="0082484A" w:rsidRDefault="00B77EA3" w:rsidP="00B77EA3">
            <w:pPr>
              <w:contextualSpacing/>
              <w:rPr>
                <w:sz w:val="22"/>
                <w:szCs w:val="22"/>
              </w:rPr>
            </w:pPr>
            <w:r w:rsidRPr="0082484A">
              <w:rPr>
                <w:sz w:val="22"/>
                <w:szCs w:val="22"/>
              </w:rPr>
              <w:t>3 (60.00%)</w:t>
            </w:r>
          </w:p>
        </w:tc>
        <w:tc>
          <w:tcPr>
            <w:tcW w:w="1418" w:type="dxa"/>
            <w:tcBorders>
              <w:top w:val="nil"/>
              <w:left w:val="nil"/>
              <w:bottom w:val="nil"/>
              <w:right w:val="nil"/>
            </w:tcBorders>
            <w:shd w:val="clear" w:color="auto" w:fill="FFFFFF"/>
            <w:tcMar>
              <w:left w:w="67" w:type="dxa"/>
              <w:right w:w="67" w:type="dxa"/>
            </w:tcMar>
          </w:tcPr>
          <w:p w14:paraId="010403A4" w14:textId="77777777" w:rsidR="00B77EA3" w:rsidRPr="0082484A" w:rsidRDefault="00B77EA3" w:rsidP="00B77EA3">
            <w:pPr>
              <w:contextualSpacing/>
              <w:rPr>
                <w:sz w:val="22"/>
                <w:szCs w:val="22"/>
              </w:rPr>
            </w:pPr>
            <w:r w:rsidRPr="0082484A">
              <w:rPr>
                <w:sz w:val="22"/>
                <w:szCs w:val="22"/>
              </w:rPr>
              <w:t>2 (40.00%)</w:t>
            </w:r>
          </w:p>
        </w:tc>
        <w:tc>
          <w:tcPr>
            <w:tcW w:w="1134" w:type="dxa"/>
            <w:tcBorders>
              <w:top w:val="nil"/>
              <w:left w:val="nil"/>
              <w:bottom w:val="nil"/>
              <w:right w:val="single" w:sz="11" w:space="0" w:color="000000"/>
            </w:tcBorders>
            <w:shd w:val="clear" w:color="auto" w:fill="FFFFFF"/>
            <w:tcMar>
              <w:left w:w="67" w:type="dxa"/>
              <w:right w:w="67" w:type="dxa"/>
            </w:tcMar>
          </w:tcPr>
          <w:p w14:paraId="120C51D8" w14:textId="77777777" w:rsidR="00B77EA3" w:rsidRPr="0082484A" w:rsidRDefault="00B77EA3" w:rsidP="00B77EA3">
            <w:pPr>
              <w:contextualSpacing/>
              <w:rPr>
                <w:sz w:val="22"/>
                <w:szCs w:val="22"/>
              </w:rPr>
            </w:pPr>
            <w:r w:rsidRPr="0082484A">
              <w:rPr>
                <w:sz w:val="22"/>
                <w:szCs w:val="22"/>
              </w:rPr>
              <w:t>5 (100%)</w:t>
            </w:r>
          </w:p>
        </w:tc>
      </w:tr>
      <w:tr w:rsidR="00D43244" w:rsidRPr="0082484A" w14:paraId="1024C394"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5E975B30" w14:textId="77777777" w:rsidR="00B77EA3" w:rsidRPr="0082484A" w:rsidRDefault="00B77EA3" w:rsidP="00B77EA3">
            <w:pPr>
              <w:contextualSpacing/>
              <w:rPr>
                <w:sz w:val="22"/>
                <w:szCs w:val="22"/>
              </w:rPr>
            </w:pPr>
            <w:r w:rsidRPr="0082484A">
              <w:rPr>
                <w:sz w:val="22"/>
                <w:szCs w:val="22"/>
              </w:rPr>
              <w:t>NHS Leeds North CCG</w:t>
            </w:r>
          </w:p>
        </w:tc>
        <w:tc>
          <w:tcPr>
            <w:tcW w:w="1418" w:type="dxa"/>
            <w:tcBorders>
              <w:top w:val="nil"/>
              <w:left w:val="nil"/>
              <w:bottom w:val="nil"/>
              <w:right w:val="nil"/>
            </w:tcBorders>
            <w:shd w:val="clear" w:color="auto" w:fill="FFFFFF"/>
            <w:tcMar>
              <w:left w:w="67" w:type="dxa"/>
              <w:right w:w="67" w:type="dxa"/>
            </w:tcMar>
          </w:tcPr>
          <w:p w14:paraId="6F922D02"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55D58722"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7BAE0248"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5D9A89AD" w14:textId="77777777" w:rsidR="00B77EA3" w:rsidRPr="0082484A" w:rsidRDefault="00B77EA3" w:rsidP="00B77EA3">
            <w:pPr>
              <w:contextualSpacing/>
              <w:rPr>
                <w:sz w:val="22"/>
                <w:szCs w:val="22"/>
              </w:rPr>
            </w:pPr>
            <w:r w:rsidRPr="0082484A">
              <w:rPr>
                <w:sz w:val="22"/>
                <w:szCs w:val="22"/>
              </w:rPr>
              <w:t>1 (100.00%)</w:t>
            </w:r>
          </w:p>
        </w:tc>
        <w:tc>
          <w:tcPr>
            <w:tcW w:w="1418" w:type="dxa"/>
            <w:tcBorders>
              <w:top w:val="nil"/>
              <w:left w:val="nil"/>
              <w:bottom w:val="nil"/>
              <w:right w:val="nil"/>
            </w:tcBorders>
            <w:shd w:val="clear" w:color="auto" w:fill="FFFFFF"/>
            <w:tcMar>
              <w:left w:w="67" w:type="dxa"/>
              <w:right w:w="67" w:type="dxa"/>
            </w:tcMar>
          </w:tcPr>
          <w:p w14:paraId="0CA0A611"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0A0F8317" w14:textId="77777777" w:rsidR="00B77EA3" w:rsidRPr="0082484A" w:rsidRDefault="00B77EA3" w:rsidP="00B77EA3">
            <w:pPr>
              <w:contextualSpacing/>
              <w:rPr>
                <w:sz w:val="22"/>
                <w:szCs w:val="22"/>
              </w:rPr>
            </w:pPr>
            <w:r w:rsidRPr="0082484A">
              <w:rPr>
                <w:sz w:val="22"/>
                <w:szCs w:val="22"/>
              </w:rPr>
              <w:t>1 (100%)</w:t>
            </w:r>
          </w:p>
        </w:tc>
      </w:tr>
      <w:tr w:rsidR="00D43244" w:rsidRPr="0082484A" w14:paraId="65362276"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6D6FBD69" w14:textId="77777777" w:rsidR="00B77EA3" w:rsidRPr="0082484A" w:rsidRDefault="00B77EA3" w:rsidP="00B77EA3">
            <w:pPr>
              <w:contextualSpacing/>
              <w:rPr>
                <w:sz w:val="22"/>
                <w:szCs w:val="22"/>
              </w:rPr>
            </w:pPr>
            <w:r w:rsidRPr="0082484A">
              <w:rPr>
                <w:sz w:val="22"/>
                <w:szCs w:val="22"/>
              </w:rPr>
              <w:t>NHS Leeds South And East CCG</w:t>
            </w:r>
          </w:p>
        </w:tc>
        <w:tc>
          <w:tcPr>
            <w:tcW w:w="1418" w:type="dxa"/>
            <w:tcBorders>
              <w:top w:val="nil"/>
              <w:left w:val="nil"/>
              <w:bottom w:val="nil"/>
              <w:right w:val="nil"/>
            </w:tcBorders>
            <w:shd w:val="clear" w:color="auto" w:fill="FFFFFF"/>
            <w:tcMar>
              <w:left w:w="67" w:type="dxa"/>
              <w:right w:w="67" w:type="dxa"/>
            </w:tcMar>
          </w:tcPr>
          <w:p w14:paraId="72C24B45" w14:textId="77777777" w:rsidR="00B77EA3" w:rsidRPr="0082484A" w:rsidRDefault="00B77EA3" w:rsidP="00B77EA3">
            <w:pPr>
              <w:contextualSpacing/>
              <w:rPr>
                <w:sz w:val="22"/>
                <w:szCs w:val="22"/>
              </w:rPr>
            </w:pPr>
            <w:r w:rsidRPr="0082484A">
              <w:rPr>
                <w:sz w:val="22"/>
                <w:szCs w:val="22"/>
              </w:rPr>
              <w:t>4 (57.14%)</w:t>
            </w:r>
          </w:p>
        </w:tc>
        <w:tc>
          <w:tcPr>
            <w:tcW w:w="1417" w:type="dxa"/>
            <w:tcBorders>
              <w:top w:val="nil"/>
              <w:left w:val="nil"/>
              <w:bottom w:val="nil"/>
              <w:right w:val="nil"/>
            </w:tcBorders>
            <w:shd w:val="clear" w:color="auto" w:fill="FFFFFF"/>
            <w:tcMar>
              <w:left w:w="67" w:type="dxa"/>
              <w:right w:w="67" w:type="dxa"/>
            </w:tcMar>
          </w:tcPr>
          <w:p w14:paraId="22CE8616"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67FAC2BF" w14:textId="77777777" w:rsidR="00B77EA3" w:rsidRPr="0082484A" w:rsidRDefault="00B77EA3" w:rsidP="00B77EA3">
            <w:pPr>
              <w:contextualSpacing/>
              <w:rPr>
                <w:sz w:val="22"/>
                <w:szCs w:val="22"/>
              </w:rPr>
            </w:pPr>
            <w:r w:rsidRPr="0082484A">
              <w:rPr>
                <w:sz w:val="22"/>
                <w:szCs w:val="22"/>
              </w:rPr>
              <w:t>1 (14.29%)</w:t>
            </w:r>
          </w:p>
        </w:tc>
        <w:tc>
          <w:tcPr>
            <w:tcW w:w="1417" w:type="dxa"/>
            <w:tcBorders>
              <w:top w:val="nil"/>
              <w:left w:val="nil"/>
              <w:bottom w:val="nil"/>
              <w:right w:val="nil"/>
            </w:tcBorders>
            <w:shd w:val="clear" w:color="auto" w:fill="FFFFFF"/>
            <w:tcMar>
              <w:left w:w="67" w:type="dxa"/>
              <w:right w:w="67" w:type="dxa"/>
            </w:tcMar>
          </w:tcPr>
          <w:p w14:paraId="1A0E018A" w14:textId="77777777" w:rsidR="00B77EA3" w:rsidRPr="0082484A" w:rsidRDefault="00B77EA3" w:rsidP="00B77EA3">
            <w:pPr>
              <w:contextualSpacing/>
              <w:rPr>
                <w:sz w:val="22"/>
                <w:szCs w:val="22"/>
              </w:rPr>
            </w:pPr>
            <w:r w:rsidRPr="0082484A">
              <w:rPr>
                <w:sz w:val="22"/>
                <w:szCs w:val="22"/>
              </w:rPr>
              <w:t>1 (14.29%)</w:t>
            </w:r>
          </w:p>
        </w:tc>
        <w:tc>
          <w:tcPr>
            <w:tcW w:w="1418" w:type="dxa"/>
            <w:tcBorders>
              <w:top w:val="nil"/>
              <w:left w:val="nil"/>
              <w:bottom w:val="nil"/>
              <w:right w:val="nil"/>
            </w:tcBorders>
            <w:shd w:val="clear" w:color="auto" w:fill="FFFFFF"/>
            <w:tcMar>
              <w:left w:w="67" w:type="dxa"/>
              <w:right w:w="67" w:type="dxa"/>
            </w:tcMar>
          </w:tcPr>
          <w:p w14:paraId="265DD10B" w14:textId="77777777" w:rsidR="00B77EA3" w:rsidRPr="0082484A" w:rsidRDefault="00B77EA3" w:rsidP="00B77EA3">
            <w:pPr>
              <w:contextualSpacing/>
              <w:rPr>
                <w:sz w:val="22"/>
                <w:szCs w:val="22"/>
              </w:rPr>
            </w:pPr>
            <w:r w:rsidRPr="0082484A">
              <w:rPr>
                <w:sz w:val="22"/>
                <w:szCs w:val="22"/>
              </w:rPr>
              <w:t>1 (14.29%)</w:t>
            </w:r>
          </w:p>
        </w:tc>
        <w:tc>
          <w:tcPr>
            <w:tcW w:w="1134" w:type="dxa"/>
            <w:tcBorders>
              <w:top w:val="nil"/>
              <w:left w:val="nil"/>
              <w:bottom w:val="nil"/>
              <w:right w:val="single" w:sz="11" w:space="0" w:color="000000"/>
            </w:tcBorders>
            <w:shd w:val="clear" w:color="auto" w:fill="FFFFFF"/>
            <w:tcMar>
              <w:left w:w="67" w:type="dxa"/>
              <w:right w:w="67" w:type="dxa"/>
            </w:tcMar>
          </w:tcPr>
          <w:p w14:paraId="78295887" w14:textId="77777777" w:rsidR="00B77EA3" w:rsidRPr="0082484A" w:rsidRDefault="00B77EA3" w:rsidP="00B77EA3">
            <w:pPr>
              <w:contextualSpacing/>
              <w:rPr>
                <w:sz w:val="22"/>
                <w:szCs w:val="22"/>
              </w:rPr>
            </w:pPr>
            <w:r w:rsidRPr="0082484A">
              <w:rPr>
                <w:sz w:val="22"/>
                <w:szCs w:val="22"/>
              </w:rPr>
              <w:t>7 (100%)</w:t>
            </w:r>
          </w:p>
        </w:tc>
      </w:tr>
      <w:tr w:rsidR="00D43244" w:rsidRPr="0082484A" w14:paraId="3C0BC142"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68D4E69A" w14:textId="77777777" w:rsidR="00B77EA3" w:rsidRPr="0082484A" w:rsidRDefault="00B77EA3" w:rsidP="00B77EA3">
            <w:pPr>
              <w:contextualSpacing/>
              <w:rPr>
                <w:sz w:val="22"/>
                <w:szCs w:val="22"/>
              </w:rPr>
            </w:pPr>
            <w:r w:rsidRPr="0082484A">
              <w:rPr>
                <w:sz w:val="22"/>
                <w:szCs w:val="22"/>
              </w:rPr>
              <w:t>NHS Leeds West CCG</w:t>
            </w:r>
          </w:p>
        </w:tc>
        <w:tc>
          <w:tcPr>
            <w:tcW w:w="1418" w:type="dxa"/>
            <w:tcBorders>
              <w:top w:val="nil"/>
              <w:left w:val="nil"/>
              <w:bottom w:val="nil"/>
              <w:right w:val="nil"/>
            </w:tcBorders>
            <w:shd w:val="clear" w:color="auto" w:fill="FFFFFF"/>
            <w:tcMar>
              <w:left w:w="67" w:type="dxa"/>
              <w:right w:w="67" w:type="dxa"/>
            </w:tcMar>
          </w:tcPr>
          <w:p w14:paraId="4A9F84B3" w14:textId="77777777" w:rsidR="00B77EA3" w:rsidRPr="0082484A" w:rsidRDefault="00B77EA3" w:rsidP="00B77EA3">
            <w:pPr>
              <w:contextualSpacing/>
              <w:rPr>
                <w:sz w:val="22"/>
                <w:szCs w:val="22"/>
              </w:rPr>
            </w:pPr>
            <w:r w:rsidRPr="0082484A">
              <w:rPr>
                <w:sz w:val="22"/>
                <w:szCs w:val="22"/>
              </w:rPr>
              <w:t>2 (50.00%)</w:t>
            </w:r>
          </w:p>
        </w:tc>
        <w:tc>
          <w:tcPr>
            <w:tcW w:w="1417" w:type="dxa"/>
            <w:tcBorders>
              <w:top w:val="nil"/>
              <w:left w:val="nil"/>
              <w:bottom w:val="nil"/>
              <w:right w:val="nil"/>
            </w:tcBorders>
            <w:shd w:val="clear" w:color="auto" w:fill="FFFFFF"/>
            <w:tcMar>
              <w:left w:w="67" w:type="dxa"/>
              <w:right w:w="67" w:type="dxa"/>
            </w:tcMar>
          </w:tcPr>
          <w:p w14:paraId="64B2B04D"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nil"/>
              <w:right w:val="nil"/>
            </w:tcBorders>
            <w:shd w:val="clear" w:color="auto" w:fill="FFFFFF"/>
            <w:tcMar>
              <w:left w:w="67" w:type="dxa"/>
              <w:right w:w="67" w:type="dxa"/>
            </w:tcMar>
          </w:tcPr>
          <w:p w14:paraId="36225BAE"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5F23F6A7" w14:textId="77777777" w:rsidR="00B77EA3" w:rsidRPr="0082484A" w:rsidRDefault="00B77EA3" w:rsidP="00B77EA3">
            <w:pPr>
              <w:contextualSpacing/>
              <w:rPr>
                <w:sz w:val="22"/>
                <w:szCs w:val="22"/>
              </w:rPr>
            </w:pPr>
            <w:r w:rsidRPr="0082484A">
              <w:rPr>
                <w:sz w:val="22"/>
                <w:szCs w:val="22"/>
              </w:rPr>
              <w:t>2 (50.00%)</w:t>
            </w:r>
          </w:p>
        </w:tc>
        <w:tc>
          <w:tcPr>
            <w:tcW w:w="1418" w:type="dxa"/>
            <w:tcBorders>
              <w:top w:val="nil"/>
              <w:left w:val="nil"/>
              <w:bottom w:val="nil"/>
              <w:right w:val="nil"/>
            </w:tcBorders>
            <w:shd w:val="clear" w:color="auto" w:fill="FFFFFF"/>
            <w:tcMar>
              <w:left w:w="67" w:type="dxa"/>
              <w:right w:w="67" w:type="dxa"/>
            </w:tcMar>
          </w:tcPr>
          <w:p w14:paraId="01BA59B6"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651043F4" w14:textId="77777777" w:rsidR="00B77EA3" w:rsidRPr="0082484A" w:rsidRDefault="00B77EA3" w:rsidP="00B77EA3">
            <w:pPr>
              <w:contextualSpacing/>
              <w:rPr>
                <w:sz w:val="22"/>
                <w:szCs w:val="22"/>
              </w:rPr>
            </w:pPr>
            <w:r w:rsidRPr="0082484A">
              <w:rPr>
                <w:sz w:val="22"/>
                <w:szCs w:val="22"/>
              </w:rPr>
              <w:t>4 (100%)</w:t>
            </w:r>
          </w:p>
        </w:tc>
      </w:tr>
      <w:tr w:rsidR="00D43244" w:rsidRPr="0082484A" w14:paraId="002AC8A8" w14:textId="77777777" w:rsidTr="0082484A">
        <w:trPr>
          <w:cantSplit/>
        </w:trPr>
        <w:tc>
          <w:tcPr>
            <w:tcW w:w="2348" w:type="dxa"/>
            <w:tcBorders>
              <w:top w:val="nil"/>
              <w:left w:val="single" w:sz="11" w:space="0" w:color="000000"/>
              <w:bottom w:val="nil"/>
              <w:right w:val="nil"/>
            </w:tcBorders>
            <w:shd w:val="clear" w:color="auto" w:fill="FFFFFF"/>
            <w:tcMar>
              <w:left w:w="67" w:type="dxa"/>
              <w:right w:w="67" w:type="dxa"/>
            </w:tcMar>
          </w:tcPr>
          <w:p w14:paraId="2A01D4C0" w14:textId="77777777" w:rsidR="00B77EA3" w:rsidRPr="0082484A" w:rsidRDefault="00B77EA3" w:rsidP="00B77EA3">
            <w:pPr>
              <w:contextualSpacing/>
              <w:rPr>
                <w:sz w:val="22"/>
                <w:szCs w:val="22"/>
              </w:rPr>
            </w:pPr>
            <w:r w:rsidRPr="0082484A">
              <w:rPr>
                <w:sz w:val="22"/>
                <w:szCs w:val="22"/>
              </w:rPr>
              <w:t>NHS North Kirklees CCG</w:t>
            </w:r>
          </w:p>
        </w:tc>
        <w:tc>
          <w:tcPr>
            <w:tcW w:w="1418" w:type="dxa"/>
            <w:tcBorders>
              <w:top w:val="nil"/>
              <w:left w:val="nil"/>
              <w:bottom w:val="nil"/>
              <w:right w:val="nil"/>
            </w:tcBorders>
            <w:shd w:val="clear" w:color="auto" w:fill="FFFFFF"/>
            <w:tcMar>
              <w:left w:w="67" w:type="dxa"/>
              <w:right w:w="67" w:type="dxa"/>
            </w:tcMar>
          </w:tcPr>
          <w:p w14:paraId="234B8013" w14:textId="77777777" w:rsidR="00B77EA3" w:rsidRPr="0082484A" w:rsidRDefault="00B77EA3" w:rsidP="00B77EA3">
            <w:pPr>
              <w:contextualSpacing/>
              <w:rPr>
                <w:sz w:val="22"/>
                <w:szCs w:val="22"/>
              </w:rPr>
            </w:pPr>
            <w:r w:rsidRPr="0082484A">
              <w:rPr>
                <w:sz w:val="22"/>
                <w:szCs w:val="22"/>
              </w:rPr>
              <w:t>1 (11.11%)</w:t>
            </w:r>
          </w:p>
        </w:tc>
        <w:tc>
          <w:tcPr>
            <w:tcW w:w="1417" w:type="dxa"/>
            <w:tcBorders>
              <w:top w:val="nil"/>
              <w:left w:val="nil"/>
              <w:bottom w:val="nil"/>
              <w:right w:val="nil"/>
            </w:tcBorders>
            <w:shd w:val="clear" w:color="auto" w:fill="FFFFFF"/>
            <w:tcMar>
              <w:left w:w="67" w:type="dxa"/>
              <w:right w:w="67" w:type="dxa"/>
            </w:tcMar>
          </w:tcPr>
          <w:p w14:paraId="227D26D4" w14:textId="77777777" w:rsidR="00B77EA3" w:rsidRPr="0082484A" w:rsidRDefault="00B77EA3" w:rsidP="00B77EA3">
            <w:pPr>
              <w:contextualSpacing/>
              <w:rPr>
                <w:sz w:val="22"/>
                <w:szCs w:val="22"/>
              </w:rPr>
            </w:pPr>
            <w:r w:rsidRPr="0082484A">
              <w:rPr>
                <w:sz w:val="22"/>
                <w:szCs w:val="22"/>
              </w:rPr>
              <w:t>2 (22.22%)</w:t>
            </w:r>
          </w:p>
        </w:tc>
        <w:tc>
          <w:tcPr>
            <w:tcW w:w="1418" w:type="dxa"/>
            <w:tcBorders>
              <w:top w:val="nil"/>
              <w:left w:val="nil"/>
              <w:bottom w:val="nil"/>
              <w:right w:val="nil"/>
            </w:tcBorders>
            <w:shd w:val="clear" w:color="auto" w:fill="FFFFFF"/>
            <w:tcMar>
              <w:left w:w="67" w:type="dxa"/>
              <w:right w:w="67" w:type="dxa"/>
            </w:tcMar>
          </w:tcPr>
          <w:p w14:paraId="36476942"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nil"/>
              <w:right w:val="nil"/>
            </w:tcBorders>
            <w:shd w:val="clear" w:color="auto" w:fill="FFFFFF"/>
            <w:tcMar>
              <w:left w:w="67" w:type="dxa"/>
              <w:right w:w="67" w:type="dxa"/>
            </w:tcMar>
          </w:tcPr>
          <w:p w14:paraId="6C9DE570" w14:textId="77777777" w:rsidR="00B77EA3" w:rsidRPr="0082484A" w:rsidRDefault="00B77EA3" w:rsidP="00B77EA3">
            <w:pPr>
              <w:contextualSpacing/>
              <w:rPr>
                <w:sz w:val="22"/>
                <w:szCs w:val="22"/>
              </w:rPr>
            </w:pPr>
            <w:r w:rsidRPr="0082484A">
              <w:rPr>
                <w:sz w:val="22"/>
                <w:szCs w:val="22"/>
              </w:rPr>
              <w:t>6 (66.67%)</w:t>
            </w:r>
          </w:p>
        </w:tc>
        <w:tc>
          <w:tcPr>
            <w:tcW w:w="1418" w:type="dxa"/>
            <w:tcBorders>
              <w:top w:val="nil"/>
              <w:left w:val="nil"/>
              <w:bottom w:val="nil"/>
              <w:right w:val="nil"/>
            </w:tcBorders>
            <w:shd w:val="clear" w:color="auto" w:fill="FFFFFF"/>
            <w:tcMar>
              <w:left w:w="67" w:type="dxa"/>
              <w:right w:w="67" w:type="dxa"/>
            </w:tcMar>
          </w:tcPr>
          <w:p w14:paraId="0077D913"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nil"/>
              <w:right w:val="single" w:sz="11" w:space="0" w:color="000000"/>
            </w:tcBorders>
            <w:shd w:val="clear" w:color="auto" w:fill="FFFFFF"/>
            <w:tcMar>
              <w:left w:w="67" w:type="dxa"/>
              <w:right w:w="67" w:type="dxa"/>
            </w:tcMar>
          </w:tcPr>
          <w:p w14:paraId="10CF6A39" w14:textId="77777777" w:rsidR="00B77EA3" w:rsidRPr="0082484A" w:rsidRDefault="00B77EA3" w:rsidP="00B77EA3">
            <w:pPr>
              <w:contextualSpacing/>
              <w:rPr>
                <w:sz w:val="22"/>
                <w:szCs w:val="22"/>
              </w:rPr>
            </w:pPr>
            <w:r w:rsidRPr="0082484A">
              <w:rPr>
                <w:sz w:val="22"/>
                <w:szCs w:val="22"/>
              </w:rPr>
              <w:t>9 (100%)</w:t>
            </w:r>
          </w:p>
        </w:tc>
      </w:tr>
      <w:tr w:rsidR="00D43244" w:rsidRPr="0082484A" w14:paraId="2711395E" w14:textId="77777777" w:rsidTr="0082484A">
        <w:trPr>
          <w:cantSplit/>
        </w:trPr>
        <w:tc>
          <w:tcPr>
            <w:tcW w:w="2348" w:type="dxa"/>
            <w:tcBorders>
              <w:top w:val="nil"/>
              <w:left w:val="single" w:sz="11" w:space="0" w:color="000000"/>
              <w:bottom w:val="single" w:sz="11" w:space="0" w:color="000000"/>
              <w:right w:val="nil"/>
            </w:tcBorders>
            <w:shd w:val="clear" w:color="auto" w:fill="FFFFFF"/>
            <w:tcMar>
              <w:left w:w="67" w:type="dxa"/>
              <w:right w:w="67" w:type="dxa"/>
            </w:tcMar>
          </w:tcPr>
          <w:p w14:paraId="046079A3" w14:textId="77777777" w:rsidR="00B77EA3" w:rsidRPr="0082484A" w:rsidRDefault="00B77EA3" w:rsidP="00B77EA3">
            <w:pPr>
              <w:contextualSpacing/>
              <w:rPr>
                <w:sz w:val="22"/>
                <w:szCs w:val="22"/>
              </w:rPr>
            </w:pPr>
            <w:r w:rsidRPr="0082484A">
              <w:rPr>
                <w:sz w:val="22"/>
                <w:szCs w:val="22"/>
              </w:rPr>
              <w:t>NHS Wakefield CCG</w:t>
            </w:r>
          </w:p>
        </w:tc>
        <w:tc>
          <w:tcPr>
            <w:tcW w:w="1418" w:type="dxa"/>
            <w:tcBorders>
              <w:top w:val="nil"/>
              <w:left w:val="nil"/>
              <w:bottom w:val="single" w:sz="11" w:space="0" w:color="000000"/>
              <w:right w:val="nil"/>
            </w:tcBorders>
            <w:shd w:val="clear" w:color="auto" w:fill="FFFFFF"/>
            <w:tcMar>
              <w:left w:w="67" w:type="dxa"/>
              <w:right w:w="67" w:type="dxa"/>
            </w:tcMar>
          </w:tcPr>
          <w:p w14:paraId="04271E93" w14:textId="77777777" w:rsidR="00B77EA3" w:rsidRPr="0082484A" w:rsidRDefault="00B77EA3" w:rsidP="00B77EA3">
            <w:pPr>
              <w:contextualSpacing/>
              <w:rPr>
                <w:sz w:val="22"/>
                <w:szCs w:val="22"/>
              </w:rPr>
            </w:pPr>
            <w:r w:rsidRPr="0082484A">
              <w:rPr>
                <w:sz w:val="22"/>
                <w:szCs w:val="22"/>
              </w:rPr>
              <w:t>2 (22.22%)</w:t>
            </w:r>
          </w:p>
        </w:tc>
        <w:tc>
          <w:tcPr>
            <w:tcW w:w="1417" w:type="dxa"/>
            <w:tcBorders>
              <w:top w:val="nil"/>
              <w:left w:val="nil"/>
              <w:bottom w:val="single" w:sz="11" w:space="0" w:color="000000"/>
              <w:right w:val="nil"/>
            </w:tcBorders>
            <w:shd w:val="clear" w:color="auto" w:fill="FFFFFF"/>
            <w:tcMar>
              <w:left w:w="67" w:type="dxa"/>
              <w:right w:w="67" w:type="dxa"/>
            </w:tcMar>
          </w:tcPr>
          <w:p w14:paraId="6BCCA804" w14:textId="77777777" w:rsidR="00B77EA3" w:rsidRPr="0082484A" w:rsidRDefault="00B77EA3" w:rsidP="00B77EA3">
            <w:pPr>
              <w:contextualSpacing/>
              <w:rPr>
                <w:sz w:val="22"/>
                <w:szCs w:val="22"/>
              </w:rPr>
            </w:pPr>
            <w:r w:rsidRPr="0082484A">
              <w:rPr>
                <w:sz w:val="22"/>
                <w:szCs w:val="22"/>
              </w:rPr>
              <w:t>0 (0.00%)</w:t>
            </w:r>
          </w:p>
        </w:tc>
        <w:tc>
          <w:tcPr>
            <w:tcW w:w="1418" w:type="dxa"/>
            <w:tcBorders>
              <w:top w:val="nil"/>
              <w:left w:val="nil"/>
              <w:bottom w:val="single" w:sz="11" w:space="0" w:color="000000"/>
              <w:right w:val="nil"/>
            </w:tcBorders>
            <w:shd w:val="clear" w:color="auto" w:fill="FFFFFF"/>
            <w:tcMar>
              <w:left w:w="67" w:type="dxa"/>
              <w:right w:w="67" w:type="dxa"/>
            </w:tcMar>
          </w:tcPr>
          <w:p w14:paraId="2556A316" w14:textId="77777777" w:rsidR="00B77EA3" w:rsidRPr="0082484A" w:rsidRDefault="00B77EA3" w:rsidP="00B77EA3">
            <w:pPr>
              <w:contextualSpacing/>
              <w:rPr>
                <w:sz w:val="22"/>
                <w:szCs w:val="22"/>
              </w:rPr>
            </w:pPr>
            <w:r w:rsidRPr="0082484A">
              <w:rPr>
                <w:sz w:val="22"/>
                <w:szCs w:val="22"/>
              </w:rPr>
              <w:t>0 (0.00%)</w:t>
            </w:r>
          </w:p>
        </w:tc>
        <w:tc>
          <w:tcPr>
            <w:tcW w:w="1417" w:type="dxa"/>
            <w:tcBorders>
              <w:top w:val="nil"/>
              <w:left w:val="nil"/>
              <w:bottom w:val="single" w:sz="11" w:space="0" w:color="000000"/>
              <w:right w:val="nil"/>
            </w:tcBorders>
            <w:shd w:val="clear" w:color="auto" w:fill="FFFFFF"/>
            <w:tcMar>
              <w:left w:w="67" w:type="dxa"/>
              <w:right w:w="67" w:type="dxa"/>
            </w:tcMar>
          </w:tcPr>
          <w:p w14:paraId="07BB4741" w14:textId="77777777" w:rsidR="00B77EA3" w:rsidRPr="0082484A" w:rsidRDefault="00B77EA3" w:rsidP="00B77EA3">
            <w:pPr>
              <w:contextualSpacing/>
              <w:rPr>
                <w:sz w:val="22"/>
                <w:szCs w:val="22"/>
              </w:rPr>
            </w:pPr>
            <w:r w:rsidRPr="0082484A">
              <w:rPr>
                <w:sz w:val="22"/>
                <w:szCs w:val="22"/>
              </w:rPr>
              <w:t>7 (77.78%)</w:t>
            </w:r>
          </w:p>
        </w:tc>
        <w:tc>
          <w:tcPr>
            <w:tcW w:w="1418" w:type="dxa"/>
            <w:tcBorders>
              <w:top w:val="nil"/>
              <w:left w:val="nil"/>
              <w:bottom w:val="single" w:sz="11" w:space="0" w:color="000000"/>
              <w:right w:val="nil"/>
            </w:tcBorders>
            <w:shd w:val="clear" w:color="auto" w:fill="FFFFFF"/>
            <w:tcMar>
              <w:left w:w="67" w:type="dxa"/>
              <w:right w:w="67" w:type="dxa"/>
            </w:tcMar>
          </w:tcPr>
          <w:p w14:paraId="36A94E4C" w14:textId="77777777" w:rsidR="00B77EA3" w:rsidRPr="0082484A" w:rsidRDefault="00B77EA3" w:rsidP="00B77EA3">
            <w:pPr>
              <w:contextualSpacing/>
              <w:rPr>
                <w:sz w:val="22"/>
                <w:szCs w:val="22"/>
              </w:rPr>
            </w:pPr>
            <w:r w:rsidRPr="0082484A">
              <w:rPr>
                <w:sz w:val="22"/>
                <w:szCs w:val="22"/>
              </w:rPr>
              <w:t>0 (0.00%)</w:t>
            </w:r>
          </w:p>
        </w:tc>
        <w:tc>
          <w:tcPr>
            <w:tcW w:w="1134" w:type="dxa"/>
            <w:tcBorders>
              <w:top w:val="nil"/>
              <w:left w:val="nil"/>
              <w:bottom w:val="single" w:sz="11" w:space="0" w:color="000000"/>
              <w:right w:val="single" w:sz="11" w:space="0" w:color="000000"/>
            </w:tcBorders>
            <w:shd w:val="clear" w:color="auto" w:fill="FFFFFF"/>
            <w:tcMar>
              <w:left w:w="67" w:type="dxa"/>
              <w:right w:w="67" w:type="dxa"/>
            </w:tcMar>
          </w:tcPr>
          <w:p w14:paraId="182D909B" w14:textId="77777777" w:rsidR="00B77EA3" w:rsidRPr="0082484A" w:rsidRDefault="00B77EA3" w:rsidP="00B77EA3">
            <w:pPr>
              <w:contextualSpacing/>
              <w:rPr>
                <w:sz w:val="22"/>
                <w:szCs w:val="22"/>
              </w:rPr>
            </w:pPr>
            <w:r w:rsidRPr="0082484A">
              <w:rPr>
                <w:sz w:val="22"/>
                <w:szCs w:val="22"/>
              </w:rPr>
              <w:t>9 (100%)</w:t>
            </w:r>
          </w:p>
        </w:tc>
      </w:tr>
    </w:tbl>
    <w:p w14:paraId="5AD28152" w14:textId="77777777" w:rsidR="00B77EA3" w:rsidRPr="0082484A" w:rsidRDefault="00B77EA3" w:rsidP="00B77EA3">
      <w:pPr>
        <w:contextualSpacing/>
        <w:rPr>
          <w:color w:val="FF0000"/>
          <w:sz w:val="22"/>
          <w:szCs w:val="22"/>
        </w:rPr>
      </w:pPr>
    </w:p>
    <w:p w14:paraId="58B80D24" w14:textId="77777777" w:rsidR="00B77EA3" w:rsidRPr="0082484A" w:rsidRDefault="00B77EA3" w:rsidP="00B77EA3">
      <w:pPr>
        <w:spacing w:after="200"/>
        <w:rPr>
          <w:color w:val="FF0000"/>
          <w:sz w:val="22"/>
          <w:szCs w:val="22"/>
        </w:rPr>
      </w:pPr>
      <w:r w:rsidRPr="0082484A">
        <w:rPr>
          <w:color w:val="FF0000"/>
          <w:sz w:val="22"/>
          <w:szCs w:val="22"/>
        </w:rPr>
        <w:br w:type="page"/>
      </w:r>
    </w:p>
    <w:p w14:paraId="63D1FC06" w14:textId="37C64425" w:rsidR="00B77EA3" w:rsidRPr="0082484A" w:rsidRDefault="00B77EA3" w:rsidP="00B77EA3">
      <w:pPr>
        <w:spacing w:before="0" w:line="240" w:lineRule="auto"/>
        <w:rPr>
          <w:sz w:val="22"/>
          <w:szCs w:val="22"/>
        </w:rPr>
      </w:pPr>
      <w:bookmarkStart w:id="20" w:name="_Ref501103352"/>
      <w:bookmarkStart w:id="21" w:name="_Toc483484169"/>
      <w:bookmarkStart w:id="22" w:name="_Toc8728074"/>
      <w:bookmarkStart w:id="23" w:name="_Toc19526735"/>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w:t>
      </w:r>
      <w:r w:rsidRPr="0082484A">
        <w:rPr>
          <w:bCs/>
          <w:noProof/>
          <w:sz w:val="22"/>
          <w:szCs w:val="22"/>
        </w:rPr>
        <w:fldChar w:fldCharType="end"/>
      </w:r>
      <w:bookmarkEnd w:id="20"/>
      <w:r w:rsidRPr="0082484A">
        <w:rPr>
          <w:bCs/>
          <w:noProof/>
          <w:sz w:val="22"/>
          <w:szCs w:val="22"/>
        </w:rPr>
        <w:t>:</w:t>
      </w:r>
      <w:r w:rsidRPr="0082484A">
        <w:rPr>
          <w:bCs/>
          <w:sz w:val="22"/>
          <w:szCs w:val="22"/>
        </w:rPr>
        <w:t xml:space="preserve"> Recruitment of practices to cluster-randomised evaluation (by clinical commissioning group) (WP4a)</w:t>
      </w:r>
      <w:bookmarkEnd w:id="21"/>
      <w:bookmarkEnd w:id="22"/>
      <w:bookmarkEnd w:id="23"/>
    </w:p>
    <w:tbl>
      <w:tblPr>
        <w:tblW w:w="9200" w:type="dxa"/>
        <w:tblLayout w:type="fixed"/>
        <w:tblCellMar>
          <w:left w:w="0" w:type="dxa"/>
          <w:right w:w="0" w:type="dxa"/>
        </w:tblCellMar>
        <w:tblLook w:val="0000" w:firstRow="0" w:lastRow="0" w:firstColumn="0" w:lastColumn="0" w:noHBand="0" w:noVBand="0"/>
      </w:tblPr>
      <w:tblGrid>
        <w:gridCol w:w="3231"/>
        <w:gridCol w:w="1575"/>
        <w:gridCol w:w="1559"/>
        <w:gridCol w:w="1418"/>
        <w:gridCol w:w="1417"/>
      </w:tblGrid>
      <w:tr w:rsidR="00B77EA3" w:rsidRPr="0082484A" w14:paraId="011D6D8A" w14:textId="77777777" w:rsidTr="0082484A">
        <w:trPr>
          <w:cantSplit/>
          <w:tblHeader/>
        </w:trPr>
        <w:tc>
          <w:tcPr>
            <w:tcW w:w="3231"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9BE589C" w14:textId="77777777" w:rsidR="00B77EA3" w:rsidRPr="0082484A" w:rsidRDefault="00B77EA3" w:rsidP="00B77EA3">
            <w:pPr>
              <w:spacing w:before="0" w:line="240" w:lineRule="auto"/>
              <w:contextualSpacing/>
              <w:rPr>
                <w:bCs/>
                <w:sz w:val="22"/>
                <w:szCs w:val="22"/>
              </w:rPr>
            </w:pPr>
            <w:r w:rsidRPr="0082484A">
              <w:rPr>
                <w:bCs/>
                <w:sz w:val="22"/>
                <w:szCs w:val="22"/>
              </w:rPr>
              <w:t>CCG</w:t>
            </w:r>
          </w:p>
        </w:tc>
        <w:tc>
          <w:tcPr>
            <w:tcW w:w="1575"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65A17C2" w14:textId="77777777" w:rsidR="00B77EA3" w:rsidRPr="0082484A" w:rsidRDefault="00B77EA3" w:rsidP="00B77EA3">
            <w:pPr>
              <w:spacing w:before="0" w:line="240" w:lineRule="auto"/>
              <w:contextualSpacing/>
              <w:rPr>
                <w:bCs/>
                <w:sz w:val="22"/>
                <w:szCs w:val="22"/>
              </w:rPr>
            </w:pPr>
            <w:r w:rsidRPr="0082484A">
              <w:rPr>
                <w:bCs/>
                <w:sz w:val="22"/>
                <w:szCs w:val="22"/>
              </w:rPr>
              <w:t xml:space="preserve">Trial 1 </w:t>
            </w:r>
          </w:p>
          <w:p w14:paraId="294E6B6F" w14:textId="77777777" w:rsidR="00B77EA3" w:rsidRPr="0082484A" w:rsidRDefault="00B77EA3" w:rsidP="00B77EA3">
            <w:pPr>
              <w:spacing w:before="0" w:line="240" w:lineRule="auto"/>
              <w:contextualSpacing/>
              <w:rPr>
                <w:bCs/>
                <w:sz w:val="22"/>
                <w:szCs w:val="22"/>
              </w:rPr>
            </w:pPr>
            <w:r w:rsidRPr="0082484A">
              <w:rPr>
                <w:bCs/>
                <w:sz w:val="22"/>
                <w:szCs w:val="22"/>
              </w:rPr>
              <w:t>(n=80)</w:t>
            </w:r>
          </w:p>
        </w:tc>
        <w:tc>
          <w:tcPr>
            <w:tcW w:w="155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7C41C3" w14:textId="77777777" w:rsidR="00B77EA3" w:rsidRPr="0082484A" w:rsidRDefault="00B77EA3" w:rsidP="00B77EA3">
            <w:pPr>
              <w:spacing w:before="0" w:line="240" w:lineRule="auto"/>
              <w:contextualSpacing/>
              <w:rPr>
                <w:bCs/>
                <w:sz w:val="22"/>
                <w:szCs w:val="22"/>
              </w:rPr>
            </w:pPr>
            <w:r w:rsidRPr="0082484A">
              <w:rPr>
                <w:bCs/>
                <w:sz w:val="22"/>
                <w:szCs w:val="22"/>
              </w:rPr>
              <w:t xml:space="preserve">Trial 2 </w:t>
            </w:r>
          </w:p>
          <w:p w14:paraId="79F3B7C5" w14:textId="77777777" w:rsidR="00B77EA3" w:rsidRPr="0082484A" w:rsidRDefault="00B77EA3" w:rsidP="00B77EA3">
            <w:pPr>
              <w:spacing w:before="0" w:line="240" w:lineRule="auto"/>
              <w:contextualSpacing/>
              <w:rPr>
                <w:bCs/>
                <w:sz w:val="22"/>
                <w:szCs w:val="22"/>
              </w:rPr>
            </w:pPr>
            <w:r w:rsidRPr="0082484A">
              <w:rPr>
                <w:bCs/>
                <w:sz w:val="22"/>
                <w:szCs w:val="22"/>
              </w:rPr>
              <w:t>(n=64)</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5DDE9EB" w14:textId="77777777" w:rsidR="00B77EA3" w:rsidRPr="0082484A" w:rsidRDefault="00B77EA3" w:rsidP="00B77EA3">
            <w:pPr>
              <w:spacing w:before="0" w:line="240" w:lineRule="auto"/>
              <w:contextualSpacing/>
              <w:rPr>
                <w:bCs/>
                <w:sz w:val="22"/>
                <w:szCs w:val="22"/>
              </w:rPr>
            </w:pPr>
            <w:r w:rsidRPr="0082484A">
              <w:rPr>
                <w:bCs/>
                <w:sz w:val="22"/>
                <w:szCs w:val="22"/>
              </w:rPr>
              <w:t>No  intervention  (n=34)</w:t>
            </w:r>
          </w:p>
        </w:tc>
        <w:tc>
          <w:tcPr>
            <w:tcW w:w="1417"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D639ED4" w14:textId="77777777" w:rsidR="00B77EA3" w:rsidRPr="0082484A" w:rsidRDefault="00B77EA3" w:rsidP="00B77EA3">
            <w:pPr>
              <w:spacing w:before="0" w:line="240" w:lineRule="auto"/>
              <w:contextualSpacing/>
              <w:rPr>
                <w:bCs/>
                <w:sz w:val="22"/>
                <w:szCs w:val="22"/>
              </w:rPr>
            </w:pPr>
            <w:r w:rsidRPr="0082484A">
              <w:rPr>
                <w:bCs/>
                <w:sz w:val="22"/>
                <w:szCs w:val="22"/>
              </w:rPr>
              <w:t xml:space="preserve">Total </w:t>
            </w:r>
          </w:p>
          <w:p w14:paraId="71D12FA3" w14:textId="77777777" w:rsidR="00B77EA3" w:rsidRPr="0082484A" w:rsidRDefault="00B77EA3" w:rsidP="00B77EA3">
            <w:pPr>
              <w:spacing w:before="0" w:line="240" w:lineRule="auto"/>
              <w:contextualSpacing/>
              <w:rPr>
                <w:bCs/>
                <w:sz w:val="22"/>
                <w:szCs w:val="22"/>
              </w:rPr>
            </w:pPr>
            <w:r w:rsidRPr="0082484A">
              <w:rPr>
                <w:bCs/>
                <w:sz w:val="22"/>
                <w:szCs w:val="22"/>
              </w:rPr>
              <w:t>(n=178)</w:t>
            </w:r>
          </w:p>
        </w:tc>
      </w:tr>
      <w:tr w:rsidR="00B77EA3" w:rsidRPr="0082484A" w14:paraId="543A6D92"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60FFFB35" w14:textId="77777777" w:rsidR="00B77EA3" w:rsidRPr="0082484A" w:rsidRDefault="00B77EA3" w:rsidP="00B77EA3">
            <w:pPr>
              <w:spacing w:before="0" w:line="240" w:lineRule="auto"/>
              <w:contextualSpacing/>
              <w:rPr>
                <w:sz w:val="22"/>
                <w:szCs w:val="22"/>
              </w:rPr>
            </w:pPr>
            <w:r w:rsidRPr="0082484A">
              <w:rPr>
                <w:sz w:val="22"/>
                <w:szCs w:val="22"/>
              </w:rPr>
              <w:t>NHS Airedale, Wharfedale and Craven</w:t>
            </w:r>
          </w:p>
        </w:tc>
        <w:tc>
          <w:tcPr>
            <w:tcW w:w="1575" w:type="dxa"/>
            <w:tcBorders>
              <w:top w:val="nil"/>
              <w:left w:val="nil"/>
              <w:bottom w:val="nil"/>
              <w:right w:val="nil"/>
            </w:tcBorders>
            <w:shd w:val="clear" w:color="auto" w:fill="FFFFFF"/>
            <w:tcMar>
              <w:left w:w="67" w:type="dxa"/>
              <w:right w:w="67" w:type="dxa"/>
            </w:tcMar>
          </w:tcPr>
          <w:p w14:paraId="5755034F" w14:textId="77777777" w:rsidR="00B77EA3" w:rsidRPr="0082484A" w:rsidRDefault="00B77EA3" w:rsidP="00B77EA3">
            <w:pPr>
              <w:spacing w:before="0" w:line="240" w:lineRule="auto"/>
              <w:contextualSpacing/>
              <w:rPr>
                <w:sz w:val="22"/>
                <w:szCs w:val="22"/>
              </w:rPr>
            </w:pPr>
            <w:r w:rsidRPr="0082484A">
              <w:rPr>
                <w:sz w:val="22"/>
                <w:szCs w:val="22"/>
              </w:rPr>
              <w:t>3 (37.50%)</w:t>
            </w:r>
          </w:p>
        </w:tc>
        <w:tc>
          <w:tcPr>
            <w:tcW w:w="1559" w:type="dxa"/>
            <w:tcBorders>
              <w:top w:val="nil"/>
              <w:left w:val="nil"/>
              <w:bottom w:val="nil"/>
              <w:right w:val="nil"/>
            </w:tcBorders>
            <w:shd w:val="clear" w:color="auto" w:fill="FFFFFF"/>
            <w:tcMar>
              <w:left w:w="67" w:type="dxa"/>
              <w:right w:w="67" w:type="dxa"/>
            </w:tcMar>
          </w:tcPr>
          <w:p w14:paraId="736CD7F2" w14:textId="77777777" w:rsidR="00B77EA3" w:rsidRPr="0082484A" w:rsidRDefault="00B77EA3" w:rsidP="00B77EA3">
            <w:pPr>
              <w:spacing w:before="0" w:line="240" w:lineRule="auto"/>
              <w:contextualSpacing/>
              <w:rPr>
                <w:sz w:val="22"/>
                <w:szCs w:val="22"/>
              </w:rPr>
            </w:pPr>
            <w:r w:rsidRPr="0082484A">
              <w:rPr>
                <w:sz w:val="22"/>
                <w:szCs w:val="22"/>
              </w:rPr>
              <w:t>4 (50.00%)</w:t>
            </w:r>
          </w:p>
        </w:tc>
        <w:tc>
          <w:tcPr>
            <w:tcW w:w="1418" w:type="dxa"/>
            <w:tcBorders>
              <w:top w:val="nil"/>
              <w:left w:val="nil"/>
              <w:bottom w:val="nil"/>
              <w:right w:val="nil"/>
            </w:tcBorders>
            <w:shd w:val="clear" w:color="auto" w:fill="FFFFFF"/>
            <w:tcMar>
              <w:left w:w="67" w:type="dxa"/>
              <w:right w:w="67" w:type="dxa"/>
            </w:tcMar>
          </w:tcPr>
          <w:p w14:paraId="31A54E7C" w14:textId="77777777" w:rsidR="00B77EA3" w:rsidRPr="0082484A" w:rsidRDefault="00B77EA3" w:rsidP="00B77EA3">
            <w:pPr>
              <w:spacing w:before="0" w:line="240" w:lineRule="auto"/>
              <w:contextualSpacing/>
              <w:rPr>
                <w:sz w:val="22"/>
                <w:szCs w:val="22"/>
              </w:rPr>
            </w:pPr>
            <w:r w:rsidRPr="0082484A">
              <w:rPr>
                <w:sz w:val="22"/>
                <w:szCs w:val="22"/>
              </w:rPr>
              <w:t>1 (12.50%)</w:t>
            </w:r>
          </w:p>
        </w:tc>
        <w:tc>
          <w:tcPr>
            <w:tcW w:w="1417" w:type="dxa"/>
            <w:tcBorders>
              <w:top w:val="nil"/>
              <w:left w:val="nil"/>
              <w:bottom w:val="nil"/>
              <w:right w:val="single" w:sz="11" w:space="0" w:color="000000"/>
            </w:tcBorders>
            <w:shd w:val="clear" w:color="auto" w:fill="FFFFFF"/>
            <w:tcMar>
              <w:left w:w="67" w:type="dxa"/>
              <w:right w:w="67" w:type="dxa"/>
            </w:tcMar>
          </w:tcPr>
          <w:p w14:paraId="2DC0B05B" w14:textId="77777777" w:rsidR="00B77EA3" w:rsidRPr="0082484A" w:rsidRDefault="00B77EA3" w:rsidP="00B77EA3">
            <w:pPr>
              <w:spacing w:before="0" w:line="240" w:lineRule="auto"/>
              <w:contextualSpacing/>
              <w:rPr>
                <w:sz w:val="22"/>
                <w:szCs w:val="22"/>
              </w:rPr>
            </w:pPr>
            <w:r w:rsidRPr="0082484A">
              <w:rPr>
                <w:sz w:val="22"/>
                <w:szCs w:val="22"/>
              </w:rPr>
              <w:t>8 (100%)</w:t>
            </w:r>
          </w:p>
        </w:tc>
      </w:tr>
      <w:tr w:rsidR="00B77EA3" w:rsidRPr="0082484A" w14:paraId="0D3B4C1A"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608A6410" w14:textId="77777777" w:rsidR="00B77EA3" w:rsidRPr="0082484A" w:rsidRDefault="00B77EA3" w:rsidP="00B77EA3">
            <w:pPr>
              <w:spacing w:before="0" w:line="240" w:lineRule="auto"/>
              <w:contextualSpacing/>
              <w:rPr>
                <w:sz w:val="22"/>
                <w:szCs w:val="22"/>
              </w:rPr>
            </w:pPr>
            <w:r w:rsidRPr="0082484A">
              <w:rPr>
                <w:sz w:val="22"/>
                <w:szCs w:val="22"/>
              </w:rPr>
              <w:t>NHS Bradford City</w:t>
            </w:r>
          </w:p>
        </w:tc>
        <w:tc>
          <w:tcPr>
            <w:tcW w:w="1575" w:type="dxa"/>
            <w:tcBorders>
              <w:top w:val="nil"/>
              <w:left w:val="nil"/>
              <w:bottom w:val="nil"/>
              <w:right w:val="nil"/>
            </w:tcBorders>
            <w:shd w:val="clear" w:color="auto" w:fill="FFFFFF"/>
            <w:tcMar>
              <w:left w:w="67" w:type="dxa"/>
              <w:right w:w="67" w:type="dxa"/>
            </w:tcMar>
          </w:tcPr>
          <w:p w14:paraId="382D947A" w14:textId="77777777" w:rsidR="00B77EA3" w:rsidRPr="0082484A" w:rsidRDefault="00B77EA3" w:rsidP="00B77EA3">
            <w:pPr>
              <w:spacing w:before="0" w:line="240" w:lineRule="auto"/>
              <w:contextualSpacing/>
              <w:rPr>
                <w:sz w:val="22"/>
                <w:szCs w:val="22"/>
              </w:rPr>
            </w:pPr>
            <w:r w:rsidRPr="0082484A">
              <w:rPr>
                <w:sz w:val="22"/>
                <w:szCs w:val="22"/>
              </w:rPr>
              <w:t>7 (38.89%)</w:t>
            </w:r>
          </w:p>
        </w:tc>
        <w:tc>
          <w:tcPr>
            <w:tcW w:w="1559" w:type="dxa"/>
            <w:tcBorders>
              <w:top w:val="nil"/>
              <w:left w:val="nil"/>
              <w:bottom w:val="nil"/>
              <w:right w:val="nil"/>
            </w:tcBorders>
            <w:shd w:val="clear" w:color="auto" w:fill="FFFFFF"/>
            <w:tcMar>
              <w:left w:w="67" w:type="dxa"/>
              <w:right w:w="67" w:type="dxa"/>
            </w:tcMar>
          </w:tcPr>
          <w:p w14:paraId="47A5DDEB" w14:textId="77777777" w:rsidR="00B77EA3" w:rsidRPr="0082484A" w:rsidRDefault="00B77EA3" w:rsidP="00B77EA3">
            <w:pPr>
              <w:spacing w:before="0" w:line="240" w:lineRule="auto"/>
              <w:contextualSpacing/>
              <w:rPr>
                <w:sz w:val="22"/>
                <w:szCs w:val="22"/>
              </w:rPr>
            </w:pPr>
            <w:r w:rsidRPr="0082484A">
              <w:rPr>
                <w:sz w:val="22"/>
                <w:szCs w:val="22"/>
              </w:rPr>
              <w:t>8 (44.44%)</w:t>
            </w:r>
          </w:p>
        </w:tc>
        <w:tc>
          <w:tcPr>
            <w:tcW w:w="1418" w:type="dxa"/>
            <w:tcBorders>
              <w:top w:val="nil"/>
              <w:left w:val="nil"/>
              <w:bottom w:val="nil"/>
              <w:right w:val="nil"/>
            </w:tcBorders>
            <w:shd w:val="clear" w:color="auto" w:fill="FFFFFF"/>
            <w:tcMar>
              <w:left w:w="67" w:type="dxa"/>
              <w:right w:w="67" w:type="dxa"/>
            </w:tcMar>
          </w:tcPr>
          <w:p w14:paraId="413F52CB"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17" w:type="dxa"/>
            <w:tcBorders>
              <w:top w:val="nil"/>
              <w:left w:val="nil"/>
              <w:bottom w:val="nil"/>
              <w:right w:val="single" w:sz="11" w:space="0" w:color="000000"/>
            </w:tcBorders>
            <w:shd w:val="clear" w:color="auto" w:fill="FFFFFF"/>
            <w:tcMar>
              <w:left w:w="67" w:type="dxa"/>
              <w:right w:w="67" w:type="dxa"/>
            </w:tcMar>
          </w:tcPr>
          <w:p w14:paraId="35580818"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65D93266"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36E32A95" w14:textId="77777777" w:rsidR="00B77EA3" w:rsidRPr="0082484A" w:rsidRDefault="00B77EA3" w:rsidP="00B77EA3">
            <w:pPr>
              <w:spacing w:before="0" w:line="240" w:lineRule="auto"/>
              <w:contextualSpacing/>
              <w:rPr>
                <w:sz w:val="22"/>
                <w:szCs w:val="22"/>
              </w:rPr>
            </w:pPr>
            <w:r w:rsidRPr="0082484A">
              <w:rPr>
                <w:sz w:val="22"/>
                <w:szCs w:val="22"/>
              </w:rPr>
              <w:t>NHS Bradford Districts</w:t>
            </w:r>
          </w:p>
        </w:tc>
        <w:tc>
          <w:tcPr>
            <w:tcW w:w="1575" w:type="dxa"/>
            <w:tcBorders>
              <w:top w:val="nil"/>
              <w:left w:val="nil"/>
              <w:bottom w:val="nil"/>
              <w:right w:val="nil"/>
            </w:tcBorders>
            <w:shd w:val="clear" w:color="auto" w:fill="FFFFFF"/>
            <w:tcMar>
              <w:left w:w="67" w:type="dxa"/>
              <w:right w:w="67" w:type="dxa"/>
            </w:tcMar>
          </w:tcPr>
          <w:p w14:paraId="43E56541" w14:textId="77777777" w:rsidR="00B77EA3" w:rsidRPr="0082484A" w:rsidRDefault="00B77EA3" w:rsidP="00B77EA3">
            <w:pPr>
              <w:spacing w:before="0" w:line="240" w:lineRule="auto"/>
              <w:contextualSpacing/>
              <w:rPr>
                <w:sz w:val="22"/>
                <w:szCs w:val="22"/>
              </w:rPr>
            </w:pPr>
            <w:r w:rsidRPr="0082484A">
              <w:rPr>
                <w:sz w:val="22"/>
                <w:szCs w:val="22"/>
              </w:rPr>
              <w:t>20 (68.97%)</w:t>
            </w:r>
          </w:p>
        </w:tc>
        <w:tc>
          <w:tcPr>
            <w:tcW w:w="1559" w:type="dxa"/>
            <w:tcBorders>
              <w:top w:val="nil"/>
              <w:left w:val="nil"/>
              <w:bottom w:val="nil"/>
              <w:right w:val="nil"/>
            </w:tcBorders>
            <w:shd w:val="clear" w:color="auto" w:fill="FFFFFF"/>
            <w:tcMar>
              <w:left w:w="67" w:type="dxa"/>
              <w:right w:w="67" w:type="dxa"/>
            </w:tcMar>
          </w:tcPr>
          <w:p w14:paraId="526A4142" w14:textId="77777777" w:rsidR="00B77EA3" w:rsidRPr="0082484A" w:rsidRDefault="00B77EA3" w:rsidP="00B77EA3">
            <w:pPr>
              <w:spacing w:before="0" w:line="240" w:lineRule="auto"/>
              <w:contextualSpacing/>
              <w:rPr>
                <w:sz w:val="22"/>
                <w:szCs w:val="22"/>
                <w:vertAlign w:val="superscript"/>
              </w:rPr>
            </w:pPr>
            <w:r w:rsidRPr="0082484A">
              <w:rPr>
                <w:sz w:val="22"/>
                <w:szCs w:val="22"/>
              </w:rPr>
              <w:t>0 (0.00%)</w:t>
            </w:r>
            <w:r w:rsidRPr="0082484A">
              <w:rPr>
                <w:sz w:val="22"/>
                <w:szCs w:val="22"/>
                <w:vertAlign w:val="superscript"/>
              </w:rPr>
              <w:t>a</w:t>
            </w:r>
          </w:p>
        </w:tc>
        <w:tc>
          <w:tcPr>
            <w:tcW w:w="1418" w:type="dxa"/>
            <w:tcBorders>
              <w:top w:val="nil"/>
              <w:left w:val="nil"/>
              <w:bottom w:val="nil"/>
              <w:right w:val="nil"/>
            </w:tcBorders>
            <w:shd w:val="clear" w:color="auto" w:fill="FFFFFF"/>
            <w:tcMar>
              <w:left w:w="67" w:type="dxa"/>
              <w:right w:w="67" w:type="dxa"/>
            </w:tcMar>
          </w:tcPr>
          <w:p w14:paraId="5156683A" w14:textId="77777777" w:rsidR="00B77EA3" w:rsidRPr="0082484A" w:rsidRDefault="00B77EA3" w:rsidP="00B77EA3">
            <w:pPr>
              <w:spacing w:before="0" w:line="240" w:lineRule="auto"/>
              <w:contextualSpacing/>
              <w:rPr>
                <w:sz w:val="22"/>
                <w:szCs w:val="22"/>
              </w:rPr>
            </w:pPr>
            <w:r w:rsidRPr="0082484A">
              <w:rPr>
                <w:sz w:val="22"/>
                <w:szCs w:val="22"/>
              </w:rPr>
              <w:t>9 (31.03%)</w:t>
            </w:r>
          </w:p>
        </w:tc>
        <w:tc>
          <w:tcPr>
            <w:tcW w:w="1417" w:type="dxa"/>
            <w:tcBorders>
              <w:top w:val="nil"/>
              <w:left w:val="nil"/>
              <w:bottom w:val="nil"/>
              <w:right w:val="single" w:sz="11" w:space="0" w:color="000000"/>
            </w:tcBorders>
            <w:shd w:val="clear" w:color="auto" w:fill="FFFFFF"/>
            <w:tcMar>
              <w:left w:w="67" w:type="dxa"/>
              <w:right w:w="67" w:type="dxa"/>
            </w:tcMar>
          </w:tcPr>
          <w:p w14:paraId="7AE95E72" w14:textId="77777777" w:rsidR="00B77EA3" w:rsidRPr="0082484A" w:rsidRDefault="00B77EA3" w:rsidP="00B77EA3">
            <w:pPr>
              <w:spacing w:before="0" w:line="240" w:lineRule="auto"/>
              <w:contextualSpacing/>
              <w:rPr>
                <w:sz w:val="22"/>
                <w:szCs w:val="22"/>
              </w:rPr>
            </w:pPr>
            <w:r w:rsidRPr="0082484A">
              <w:rPr>
                <w:sz w:val="22"/>
                <w:szCs w:val="22"/>
              </w:rPr>
              <w:t>29 (100%)</w:t>
            </w:r>
          </w:p>
        </w:tc>
      </w:tr>
      <w:tr w:rsidR="00B77EA3" w:rsidRPr="0082484A" w14:paraId="5C97E7AD"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586F5DFA" w14:textId="77777777" w:rsidR="00B77EA3" w:rsidRPr="0082484A" w:rsidRDefault="00B77EA3" w:rsidP="00B77EA3">
            <w:pPr>
              <w:spacing w:before="0" w:line="240" w:lineRule="auto"/>
              <w:contextualSpacing/>
              <w:rPr>
                <w:sz w:val="22"/>
                <w:szCs w:val="22"/>
              </w:rPr>
            </w:pPr>
            <w:r w:rsidRPr="0082484A">
              <w:rPr>
                <w:sz w:val="22"/>
                <w:szCs w:val="22"/>
              </w:rPr>
              <w:t>NHS Calderdale</w:t>
            </w:r>
          </w:p>
        </w:tc>
        <w:tc>
          <w:tcPr>
            <w:tcW w:w="1575" w:type="dxa"/>
            <w:tcBorders>
              <w:top w:val="nil"/>
              <w:left w:val="nil"/>
              <w:bottom w:val="nil"/>
              <w:right w:val="nil"/>
            </w:tcBorders>
            <w:shd w:val="clear" w:color="auto" w:fill="FFFFFF"/>
            <w:tcMar>
              <w:left w:w="67" w:type="dxa"/>
              <w:right w:w="67" w:type="dxa"/>
            </w:tcMar>
          </w:tcPr>
          <w:p w14:paraId="43752161" w14:textId="77777777" w:rsidR="00B77EA3" w:rsidRPr="0082484A" w:rsidRDefault="00B77EA3" w:rsidP="00B77EA3">
            <w:pPr>
              <w:spacing w:before="0" w:line="240" w:lineRule="auto"/>
              <w:contextualSpacing/>
              <w:rPr>
                <w:sz w:val="22"/>
                <w:szCs w:val="22"/>
              </w:rPr>
            </w:pPr>
            <w:r w:rsidRPr="0082484A">
              <w:rPr>
                <w:sz w:val="22"/>
                <w:szCs w:val="22"/>
              </w:rPr>
              <w:t>5 (41.67%)</w:t>
            </w:r>
          </w:p>
        </w:tc>
        <w:tc>
          <w:tcPr>
            <w:tcW w:w="1559" w:type="dxa"/>
            <w:tcBorders>
              <w:top w:val="nil"/>
              <w:left w:val="nil"/>
              <w:bottom w:val="nil"/>
              <w:right w:val="nil"/>
            </w:tcBorders>
            <w:shd w:val="clear" w:color="auto" w:fill="FFFFFF"/>
            <w:tcMar>
              <w:left w:w="67" w:type="dxa"/>
              <w:right w:w="67" w:type="dxa"/>
            </w:tcMar>
          </w:tcPr>
          <w:p w14:paraId="7F8E4CBE" w14:textId="77777777" w:rsidR="00B77EA3" w:rsidRPr="0082484A" w:rsidRDefault="00B77EA3" w:rsidP="00B77EA3">
            <w:pPr>
              <w:spacing w:before="0" w:line="240" w:lineRule="auto"/>
              <w:contextualSpacing/>
              <w:rPr>
                <w:sz w:val="22"/>
                <w:szCs w:val="22"/>
              </w:rPr>
            </w:pPr>
            <w:r w:rsidRPr="0082484A">
              <w:rPr>
                <w:sz w:val="22"/>
                <w:szCs w:val="22"/>
              </w:rPr>
              <w:t>6 (50.00%)</w:t>
            </w:r>
          </w:p>
        </w:tc>
        <w:tc>
          <w:tcPr>
            <w:tcW w:w="1418" w:type="dxa"/>
            <w:tcBorders>
              <w:top w:val="nil"/>
              <w:left w:val="nil"/>
              <w:bottom w:val="nil"/>
              <w:right w:val="nil"/>
            </w:tcBorders>
            <w:shd w:val="clear" w:color="auto" w:fill="FFFFFF"/>
            <w:tcMar>
              <w:left w:w="67" w:type="dxa"/>
              <w:right w:w="67" w:type="dxa"/>
            </w:tcMar>
          </w:tcPr>
          <w:p w14:paraId="1123124F" w14:textId="77777777" w:rsidR="00B77EA3" w:rsidRPr="0082484A" w:rsidRDefault="00B77EA3" w:rsidP="00B77EA3">
            <w:pPr>
              <w:spacing w:before="0" w:line="240" w:lineRule="auto"/>
              <w:contextualSpacing/>
              <w:rPr>
                <w:sz w:val="22"/>
                <w:szCs w:val="22"/>
              </w:rPr>
            </w:pPr>
            <w:r w:rsidRPr="0082484A">
              <w:rPr>
                <w:sz w:val="22"/>
                <w:szCs w:val="22"/>
              </w:rPr>
              <w:t>1 (8.33%)</w:t>
            </w:r>
          </w:p>
        </w:tc>
        <w:tc>
          <w:tcPr>
            <w:tcW w:w="1417" w:type="dxa"/>
            <w:tcBorders>
              <w:top w:val="nil"/>
              <w:left w:val="nil"/>
              <w:bottom w:val="nil"/>
              <w:right w:val="single" w:sz="11" w:space="0" w:color="000000"/>
            </w:tcBorders>
            <w:shd w:val="clear" w:color="auto" w:fill="FFFFFF"/>
            <w:tcMar>
              <w:left w:w="67" w:type="dxa"/>
              <w:right w:w="67" w:type="dxa"/>
            </w:tcMar>
          </w:tcPr>
          <w:p w14:paraId="098208CA" w14:textId="77777777" w:rsidR="00B77EA3" w:rsidRPr="0082484A" w:rsidRDefault="00B77EA3" w:rsidP="00B77EA3">
            <w:pPr>
              <w:spacing w:before="0" w:line="240" w:lineRule="auto"/>
              <w:contextualSpacing/>
              <w:rPr>
                <w:sz w:val="22"/>
                <w:szCs w:val="22"/>
              </w:rPr>
            </w:pPr>
            <w:r w:rsidRPr="0082484A">
              <w:rPr>
                <w:sz w:val="22"/>
                <w:szCs w:val="22"/>
              </w:rPr>
              <w:t>12 (100%)</w:t>
            </w:r>
          </w:p>
        </w:tc>
      </w:tr>
      <w:tr w:rsidR="00B77EA3" w:rsidRPr="0082484A" w14:paraId="6E4D75AC"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4A9FBDD3" w14:textId="77777777" w:rsidR="00B77EA3" w:rsidRPr="0082484A" w:rsidRDefault="00B77EA3" w:rsidP="00B77EA3">
            <w:pPr>
              <w:spacing w:before="0" w:line="240" w:lineRule="auto"/>
              <w:contextualSpacing/>
              <w:rPr>
                <w:sz w:val="22"/>
                <w:szCs w:val="22"/>
              </w:rPr>
            </w:pPr>
            <w:r w:rsidRPr="0082484A">
              <w:rPr>
                <w:sz w:val="22"/>
                <w:szCs w:val="22"/>
              </w:rPr>
              <w:t>NHS Greater Huddersfield</w:t>
            </w:r>
          </w:p>
        </w:tc>
        <w:tc>
          <w:tcPr>
            <w:tcW w:w="1575" w:type="dxa"/>
            <w:tcBorders>
              <w:top w:val="nil"/>
              <w:left w:val="nil"/>
              <w:bottom w:val="nil"/>
              <w:right w:val="nil"/>
            </w:tcBorders>
            <w:shd w:val="clear" w:color="auto" w:fill="FFFFFF"/>
            <w:tcMar>
              <w:left w:w="67" w:type="dxa"/>
              <w:right w:w="67" w:type="dxa"/>
            </w:tcMar>
          </w:tcPr>
          <w:p w14:paraId="6D4229A8" w14:textId="77777777" w:rsidR="00B77EA3" w:rsidRPr="0082484A" w:rsidRDefault="00B77EA3" w:rsidP="00B77EA3">
            <w:pPr>
              <w:spacing w:before="0" w:line="240" w:lineRule="auto"/>
              <w:contextualSpacing/>
              <w:rPr>
                <w:sz w:val="22"/>
                <w:szCs w:val="22"/>
              </w:rPr>
            </w:pPr>
            <w:r w:rsidRPr="0082484A">
              <w:rPr>
                <w:sz w:val="22"/>
                <w:szCs w:val="22"/>
              </w:rPr>
              <w:t>8 (44.44%)</w:t>
            </w:r>
          </w:p>
        </w:tc>
        <w:tc>
          <w:tcPr>
            <w:tcW w:w="1559" w:type="dxa"/>
            <w:tcBorders>
              <w:top w:val="nil"/>
              <w:left w:val="nil"/>
              <w:bottom w:val="nil"/>
              <w:right w:val="nil"/>
            </w:tcBorders>
            <w:shd w:val="clear" w:color="auto" w:fill="FFFFFF"/>
            <w:tcMar>
              <w:left w:w="67" w:type="dxa"/>
              <w:right w:w="67" w:type="dxa"/>
            </w:tcMar>
          </w:tcPr>
          <w:p w14:paraId="1E45025A" w14:textId="77777777" w:rsidR="00B77EA3" w:rsidRPr="0082484A" w:rsidRDefault="00B77EA3" w:rsidP="00B77EA3">
            <w:pPr>
              <w:spacing w:before="0" w:line="240" w:lineRule="auto"/>
              <w:contextualSpacing/>
              <w:rPr>
                <w:sz w:val="22"/>
                <w:szCs w:val="22"/>
              </w:rPr>
            </w:pPr>
            <w:r w:rsidRPr="0082484A">
              <w:rPr>
                <w:sz w:val="22"/>
                <w:szCs w:val="22"/>
              </w:rPr>
              <w:t>7 (38.89%)</w:t>
            </w:r>
          </w:p>
        </w:tc>
        <w:tc>
          <w:tcPr>
            <w:tcW w:w="1418" w:type="dxa"/>
            <w:tcBorders>
              <w:top w:val="nil"/>
              <w:left w:val="nil"/>
              <w:bottom w:val="nil"/>
              <w:right w:val="nil"/>
            </w:tcBorders>
            <w:shd w:val="clear" w:color="auto" w:fill="FFFFFF"/>
            <w:tcMar>
              <w:left w:w="67" w:type="dxa"/>
              <w:right w:w="67" w:type="dxa"/>
            </w:tcMar>
          </w:tcPr>
          <w:p w14:paraId="5877F4F6"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17" w:type="dxa"/>
            <w:tcBorders>
              <w:top w:val="nil"/>
              <w:left w:val="nil"/>
              <w:bottom w:val="nil"/>
              <w:right w:val="single" w:sz="11" w:space="0" w:color="000000"/>
            </w:tcBorders>
            <w:shd w:val="clear" w:color="auto" w:fill="FFFFFF"/>
            <w:tcMar>
              <w:left w:w="67" w:type="dxa"/>
              <w:right w:w="67" w:type="dxa"/>
            </w:tcMar>
          </w:tcPr>
          <w:p w14:paraId="0CFD5909"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30976CFC"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2CA84BA9" w14:textId="77777777" w:rsidR="00B77EA3" w:rsidRPr="0082484A" w:rsidRDefault="00B77EA3" w:rsidP="00B77EA3">
            <w:pPr>
              <w:spacing w:before="0" w:line="240" w:lineRule="auto"/>
              <w:contextualSpacing/>
              <w:rPr>
                <w:sz w:val="22"/>
                <w:szCs w:val="22"/>
              </w:rPr>
            </w:pPr>
            <w:r w:rsidRPr="0082484A">
              <w:rPr>
                <w:sz w:val="22"/>
                <w:szCs w:val="22"/>
              </w:rPr>
              <w:t>NHS Leeds North</w:t>
            </w:r>
          </w:p>
        </w:tc>
        <w:tc>
          <w:tcPr>
            <w:tcW w:w="1575" w:type="dxa"/>
            <w:tcBorders>
              <w:top w:val="nil"/>
              <w:left w:val="nil"/>
              <w:bottom w:val="nil"/>
              <w:right w:val="nil"/>
            </w:tcBorders>
            <w:shd w:val="clear" w:color="auto" w:fill="FFFFFF"/>
            <w:tcMar>
              <w:left w:w="67" w:type="dxa"/>
              <w:right w:w="67" w:type="dxa"/>
            </w:tcMar>
          </w:tcPr>
          <w:p w14:paraId="4F6B55C1" w14:textId="77777777" w:rsidR="00B77EA3" w:rsidRPr="0082484A" w:rsidRDefault="00B77EA3" w:rsidP="00B77EA3">
            <w:pPr>
              <w:spacing w:before="0" w:line="240" w:lineRule="auto"/>
              <w:contextualSpacing/>
              <w:rPr>
                <w:sz w:val="22"/>
                <w:szCs w:val="22"/>
              </w:rPr>
            </w:pPr>
            <w:r w:rsidRPr="0082484A">
              <w:rPr>
                <w:sz w:val="22"/>
                <w:szCs w:val="22"/>
              </w:rPr>
              <w:t>5 (41.67%)</w:t>
            </w:r>
          </w:p>
        </w:tc>
        <w:tc>
          <w:tcPr>
            <w:tcW w:w="1559" w:type="dxa"/>
            <w:tcBorders>
              <w:top w:val="nil"/>
              <w:left w:val="nil"/>
              <w:bottom w:val="nil"/>
              <w:right w:val="nil"/>
            </w:tcBorders>
            <w:shd w:val="clear" w:color="auto" w:fill="FFFFFF"/>
            <w:tcMar>
              <w:left w:w="67" w:type="dxa"/>
              <w:right w:w="67" w:type="dxa"/>
            </w:tcMar>
          </w:tcPr>
          <w:p w14:paraId="63C5B244" w14:textId="77777777" w:rsidR="00B77EA3" w:rsidRPr="0082484A" w:rsidRDefault="00B77EA3" w:rsidP="00B77EA3">
            <w:pPr>
              <w:spacing w:before="0" w:line="240" w:lineRule="auto"/>
              <w:contextualSpacing/>
              <w:rPr>
                <w:sz w:val="22"/>
                <w:szCs w:val="22"/>
              </w:rPr>
            </w:pPr>
            <w:r w:rsidRPr="0082484A">
              <w:rPr>
                <w:sz w:val="22"/>
                <w:szCs w:val="22"/>
              </w:rPr>
              <w:t>4 (33.33%)</w:t>
            </w:r>
          </w:p>
        </w:tc>
        <w:tc>
          <w:tcPr>
            <w:tcW w:w="1418" w:type="dxa"/>
            <w:tcBorders>
              <w:top w:val="nil"/>
              <w:left w:val="nil"/>
              <w:bottom w:val="nil"/>
              <w:right w:val="nil"/>
            </w:tcBorders>
            <w:shd w:val="clear" w:color="auto" w:fill="FFFFFF"/>
            <w:tcMar>
              <w:left w:w="67" w:type="dxa"/>
              <w:right w:w="67" w:type="dxa"/>
            </w:tcMar>
          </w:tcPr>
          <w:p w14:paraId="3254BCC9"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417" w:type="dxa"/>
            <w:tcBorders>
              <w:top w:val="nil"/>
              <w:left w:val="nil"/>
              <w:bottom w:val="nil"/>
              <w:right w:val="single" w:sz="11" w:space="0" w:color="000000"/>
            </w:tcBorders>
            <w:shd w:val="clear" w:color="auto" w:fill="FFFFFF"/>
            <w:tcMar>
              <w:left w:w="67" w:type="dxa"/>
              <w:right w:w="67" w:type="dxa"/>
            </w:tcMar>
          </w:tcPr>
          <w:p w14:paraId="77DB3BF0" w14:textId="77777777" w:rsidR="00B77EA3" w:rsidRPr="0082484A" w:rsidRDefault="00B77EA3" w:rsidP="00B77EA3">
            <w:pPr>
              <w:spacing w:before="0" w:line="240" w:lineRule="auto"/>
              <w:contextualSpacing/>
              <w:rPr>
                <w:sz w:val="22"/>
                <w:szCs w:val="22"/>
              </w:rPr>
            </w:pPr>
            <w:r w:rsidRPr="0082484A">
              <w:rPr>
                <w:sz w:val="22"/>
                <w:szCs w:val="22"/>
              </w:rPr>
              <w:t>12 (100%)</w:t>
            </w:r>
          </w:p>
        </w:tc>
      </w:tr>
      <w:tr w:rsidR="00B77EA3" w:rsidRPr="0082484A" w14:paraId="67499882"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3C3CD0B2" w14:textId="77777777" w:rsidR="00B77EA3" w:rsidRPr="0082484A" w:rsidRDefault="00B77EA3" w:rsidP="00B77EA3">
            <w:pPr>
              <w:spacing w:before="0" w:line="240" w:lineRule="auto"/>
              <w:contextualSpacing/>
              <w:rPr>
                <w:sz w:val="22"/>
                <w:szCs w:val="22"/>
              </w:rPr>
            </w:pPr>
            <w:r w:rsidRPr="0082484A">
              <w:rPr>
                <w:sz w:val="22"/>
                <w:szCs w:val="22"/>
              </w:rPr>
              <w:t>NHS Leeds South and East</w:t>
            </w:r>
          </w:p>
        </w:tc>
        <w:tc>
          <w:tcPr>
            <w:tcW w:w="1575" w:type="dxa"/>
            <w:tcBorders>
              <w:top w:val="nil"/>
              <w:left w:val="nil"/>
              <w:bottom w:val="nil"/>
              <w:right w:val="nil"/>
            </w:tcBorders>
            <w:shd w:val="clear" w:color="auto" w:fill="FFFFFF"/>
            <w:tcMar>
              <w:left w:w="67" w:type="dxa"/>
              <w:right w:w="67" w:type="dxa"/>
            </w:tcMar>
          </w:tcPr>
          <w:p w14:paraId="041F0BA4" w14:textId="77777777" w:rsidR="00B77EA3" w:rsidRPr="0082484A" w:rsidRDefault="00B77EA3" w:rsidP="00B77EA3">
            <w:pPr>
              <w:spacing w:before="0" w:line="240" w:lineRule="auto"/>
              <w:contextualSpacing/>
              <w:rPr>
                <w:sz w:val="22"/>
                <w:szCs w:val="22"/>
              </w:rPr>
            </w:pPr>
            <w:r w:rsidRPr="0082484A">
              <w:rPr>
                <w:sz w:val="22"/>
                <w:szCs w:val="22"/>
              </w:rPr>
              <w:t>9 (40.91%)</w:t>
            </w:r>
          </w:p>
        </w:tc>
        <w:tc>
          <w:tcPr>
            <w:tcW w:w="1559" w:type="dxa"/>
            <w:tcBorders>
              <w:top w:val="nil"/>
              <w:left w:val="nil"/>
              <w:bottom w:val="nil"/>
              <w:right w:val="nil"/>
            </w:tcBorders>
            <w:shd w:val="clear" w:color="auto" w:fill="FFFFFF"/>
            <w:tcMar>
              <w:left w:w="67" w:type="dxa"/>
              <w:right w:w="67" w:type="dxa"/>
            </w:tcMar>
          </w:tcPr>
          <w:p w14:paraId="360E574A" w14:textId="77777777" w:rsidR="00B77EA3" w:rsidRPr="0082484A" w:rsidRDefault="00B77EA3" w:rsidP="00B77EA3">
            <w:pPr>
              <w:spacing w:before="0" w:line="240" w:lineRule="auto"/>
              <w:contextualSpacing/>
              <w:rPr>
                <w:sz w:val="22"/>
                <w:szCs w:val="22"/>
              </w:rPr>
            </w:pPr>
            <w:r w:rsidRPr="0082484A">
              <w:rPr>
                <w:sz w:val="22"/>
                <w:szCs w:val="22"/>
              </w:rPr>
              <w:t>10 (45.45%)</w:t>
            </w:r>
          </w:p>
        </w:tc>
        <w:tc>
          <w:tcPr>
            <w:tcW w:w="1418" w:type="dxa"/>
            <w:tcBorders>
              <w:top w:val="nil"/>
              <w:left w:val="nil"/>
              <w:bottom w:val="nil"/>
              <w:right w:val="nil"/>
            </w:tcBorders>
            <w:shd w:val="clear" w:color="auto" w:fill="FFFFFF"/>
            <w:tcMar>
              <w:left w:w="67" w:type="dxa"/>
              <w:right w:w="67" w:type="dxa"/>
            </w:tcMar>
          </w:tcPr>
          <w:p w14:paraId="5F377B03" w14:textId="77777777" w:rsidR="00B77EA3" w:rsidRPr="0082484A" w:rsidRDefault="00B77EA3" w:rsidP="00B77EA3">
            <w:pPr>
              <w:spacing w:before="0" w:line="240" w:lineRule="auto"/>
              <w:contextualSpacing/>
              <w:rPr>
                <w:sz w:val="22"/>
                <w:szCs w:val="22"/>
              </w:rPr>
            </w:pPr>
            <w:r w:rsidRPr="0082484A">
              <w:rPr>
                <w:sz w:val="22"/>
                <w:szCs w:val="22"/>
              </w:rPr>
              <w:t>3 (13.64%)</w:t>
            </w:r>
          </w:p>
        </w:tc>
        <w:tc>
          <w:tcPr>
            <w:tcW w:w="1417" w:type="dxa"/>
            <w:tcBorders>
              <w:top w:val="nil"/>
              <w:left w:val="nil"/>
              <w:bottom w:val="nil"/>
              <w:right w:val="single" w:sz="11" w:space="0" w:color="000000"/>
            </w:tcBorders>
            <w:shd w:val="clear" w:color="auto" w:fill="FFFFFF"/>
            <w:tcMar>
              <w:left w:w="67" w:type="dxa"/>
              <w:right w:w="67" w:type="dxa"/>
            </w:tcMar>
          </w:tcPr>
          <w:p w14:paraId="6E7706B7" w14:textId="77777777" w:rsidR="00B77EA3" w:rsidRPr="0082484A" w:rsidRDefault="00B77EA3" w:rsidP="00B77EA3">
            <w:pPr>
              <w:spacing w:before="0" w:line="240" w:lineRule="auto"/>
              <w:contextualSpacing/>
              <w:rPr>
                <w:sz w:val="22"/>
                <w:szCs w:val="22"/>
              </w:rPr>
            </w:pPr>
            <w:r w:rsidRPr="0082484A">
              <w:rPr>
                <w:sz w:val="22"/>
                <w:szCs w:val="22"/>
              </w:rPr>
              <w:t>22 (100%)</w:t>
            </w:r>
          </w:p>
        </w:tc>
      </w:tr>
      <w:tr w:rsidR="00B77EA3" w:rsidRPr="0082484A" w14:paraId="000F14C0"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0D6CA126" w14:textId="77777777" w:rsidR="00B77EA3" w:rsidRPr="0082484A" w:rsidRDefault="00B77EA3" w:rsidP="00B77EA3">
            <w:pPr>
              <w:spacing w:before="0" w:line="240" w:lineRule="auto"/>
              <w:contextualSpacing/>
              <w:rPr>
                <w:sz w:val="22"/>
                <w:szCs w:val="22"/>
              </w:rPr>
            </w:pPr>
            <w:r w:rsidRPr="0082484A">
              <w:rPr>
                <w:sz w:val="22"/>
                <w:szCs w:val="22"/>
              </w:rPr>
              <w:t>NHS Leeds West</w:t>
            </w:r>
          </w:p>
        </w:tc>
        <w:tc>
          <w:tcPr>
            <w:tcW w:w="1575" w:type="dxa"/>
            <w:tcBorders>
              <w:top w:val="nil"/>
              <w:left w:val="nil"/>
              <w:bottom w:val="nil"/>
              <w:right w:val="nil"/>
            </w:tcBorders>
            <w:shd w:val="clear" w:color="auto" w:fill="FFFFFF"/>
            <w:tcMar>
              <w:left w:w="67" w:type="dxa"/>
              <w:right w:w="67" w:type="dxa"/>
            </w:tcMar>
          </w:tcPr>
          <w:p w14:paraId="1B6EF431" w14:textId="77777777" w:rsidR="00B77EA3" w:rsidRPr="0082484A" w:rsidRDefault="00B77EA3" w:rsidP="00B77EA3">
            <w:pPr>
              <w:spacing w:before="0" w:line="240" w:lineRule="auto"/>
              <w:contextualSpacing/>
              <w:rPr>
                <w:sz w:val="22"/>
                <w:szCs w:val="22"/>
              </w:rPr>
            </w:pPr>
            <w:r w:rsidRPr="0082484A">
              <w:rPr>
                <w:sz w:val="22"/>
                <w:szCs w:val="22"/>
              </w:rPr>
              <w:t>8 (38.10%)</w:t>
            </w:r>
          </w:p>
        </w:tc>
        <w:tc>
          <w:tcPr>
            <w:tcW w:w="1559" w:type="dxa"/>
            <w:tcBorders>
              <w:top w:val="nil"/>
              <w:left w:val="nil"/>
              <w:bottom w:val="nil"/>
              <w:right w:val="nil"/>
            </w:tcBorders>
            <w:shd w:val="clear" w:color="auto" w:fill="FFFFFF"/>
            <w:tcMar>
              <w:left w:w="67" w:type="dxa"/>
              <w:right w:w="67" w:type="dxa"/>
            </w:tcMar>
          </w:tcPr>
          <w:p w14:paraId="0A9AB6EC" w14:textId="77777777" w:rsidR="00B77EA3" w:rsidRPr="0082484A" w:rsidRDefault="00B77EA3" w:rsidP="00B77EA3">
            <w:pPr>
              <w:spacing w:before="0" w:line="240" w:lineRule="auto"/>
              <w:contextualSpacing/>
              <w:rPr>
                <w:sz w:val="22"/>
                <w:szCs w:val="22"/>
              </w:rPr>
            </w:pPr>
            <w:r w:rsidRPr="0082484A">
              <w:rPr>
                <w:sz w:val="22"/>
                <w:szCs w:val="22"/>
              </w:rPr>
              <w:t>9 (42.86%)</w:t>
            </w:r>
          </w:p>
        </w:tc>
        <w:tc>
          <w:tcPr>
            <w:tcW w:w="1418" w:type="dxa"/>
            <w:tcBorders>
              <w:top w:val="nil"/>
              <w:left w:val="nil"/>
              <w:bottom w:val="nil"/>
              <w:right w:val="nil"/>
            </w:tcBorders>
            <w:shd w:val="clear" w:color="auto" w:fill="FFFFFF"/>
            <w:tcMar>
              <w:left w:w="67" w:type="dxa"/>
              <w:right w:w="67" w:type="dxa"/>
            </w:tcMar>
          </w:tcPr>
          <w:p w14:paraId="6C683B45" w14:textId="77777777" w:rsidR="00B77EA3" w:rsidRPr="0082484A" w:rsidRDefault="00B77EA3" w:rsidP="00B77EA3">
            <w:pPr>
              <w:spacing w:before="0" w:line="240" w:lineRule="auto"/>
              <w:contextualSpacing/>
              <w:rPr>
                <w:sz w:val="22"/>
                <w:szCs w:val="22"/>
              </w:rPr>
            </w:pPr>
            <w:r w:rsidRPr="0082484A">
              <w:rPr>
                <w:sz w:val="22"/>
                <w:szCs w:val="22"/>
              </w:rPr>
              <w:t>4 (19.05%)</w:t>
            </w:r>
          </w:p>
        </w:tc>
        <w:tc>
          <w:tcPr>
            <w:tcW w:w="1417" w:type="dxa"/>
            <w:tcBorders>
              <w:top w:val="nil"/>
              <w:left w:val="nil"/>
              <w:bottom w:val="nil"/>
              <w:right w:val="single" w:sz="11" w:space="0" w:color="000000"/>
            </w:tcBorders>
            <w:shd w:val="clear" w:color="auto" w:fill="FFFFFF"/>
            <w:tcMar>
              <w:left w:w="67" w:type="dxa"/>
              <w:right w:w="67" w:type="dxa"/>
            </w:tcMar>
          </w:tcPr>
          <w:p w14:paraId="75B6C777" w14:textId="77777777" w:rsidR="00B77EA3" w:rsidRPr="0082484A" w:rsidRDefault="00B77EA3" w:rsidP="00B77EA3">
            <w:pPr>
              <w:spacing w:before="0" w:line="240" w:lineRule="auto"/>
              <w:contextualSpacing/>
              <w:rPr>
                <w:sz w:val="22"/>
                <w:szCs w:val="22"/>
              </w:rPr>
            </w:pPr>
            <w:r w:rsidRPr="0082484A">
              <w:rPr>
                <w:sz w:val="22"/>
                <w:szCs w:val="22"/>
              </w:rPr>
              <w:t>21 (100%)</w:t>
            </w:r>
          </w:p>
        </w:tc>
      </w:tr>
      <w:tr w:rsidR="00B77EA3" w:rsidRPr="0082484A" w14:paraId="6554A9CD" w14:textId="77777777" w:rsidTr="0082484A">
        <w:trPr>
          <w:cantSplit/>
        </w:trPr>
        <w:tc>
          <w:tcPr>
            <w:tcW w:w="3231" w:type="dxa"/>
            <w:tcBorders>
              <w:top w:val="nil"/>
              <w:left w:val="single" w:sz="11" w:space="0" w:color="000000"/>
              <w:bottom w:val="nil"/>
              <w:right w:val="nil"/>
            </w:tcBorders>
            <w:shd w:val="clear" w:color="auto" w:fill="FFFFFF"/>
            <w:tcMar>
              <w:left w:w="67" w:type="dxa"/>
              <w:right w:w="67" w:type="dxa"/>
            </w:tcMar>
          </w:tcPr>
          <w:p w14:paraId="5D9BA83F" w14:textId="77777777" w:rsidR="00B77EA3" w:rsidRPr="0082484A" w:rsidRDefault="00B77EA3" w:rsidP="00B77EA3">
            <w:pPr>
              <w:spacing w:before="0" w:line="240" w:lineRule="auto"/>
              <w:contextualSpacing/>
              <w:rPr>
                <w:sz w:val="22"/>
                <w:szCs w:val="22"/>
              </w:rPr>
            </w:pPr>
            <w:r w:rsidRPr="0082484A">
              <w:rPr>
                <w:sz w:val="22"/>
                <w:szCs w:val="22"/>
              </w:rPr>
              <w:t>NHS North Kirklees</w:t>
            </w:r>
          </w:p>
        </w:tc>
        <w:tc>
          <w:tcPr>
            <w:tcW w:w="1575" w:type="dxa"/>
            <w:tcBorders>
              <w:top w:val="nil"/>
              <w:left w:val="nil"/>
              <w:bottom w:val="nil"/>
              <w:right w:val="nil"/>
            </w:tcBorders>
            <w:shd w:val="clear" w:color="auto" w:fill="FFFFFF"/>
            <w:tcMar>
              <w:left w:w="67" w:type="dxa"/>
              <w:right w:w="67" w:type="dxa"/>
            </w:tcMar>
          </w:tcPr>
          <w:p w14:paraId="37924FF5" w14:textId="77777777" w:rsidR="00B77EA3" w:rsidRPr="0082484A" w:rsidRDefault="00B77EA3" w:rsidP="00B77EA3">
            <w:pPr>
              <w:spacing w:before="0" w:line="240" w:lineRule="auto"/>
              <w:contextualSpacing/>
              <w:rPr>
                <w:sz w:val="22"/>
                <w:szCs w:val="22"/>
              </w:rPr>
            </w:pPr>
            <w:r w:rsidRPr="0082484A">
              <w:rPr>
                <w:sz w:val="22"/>
                <w:szCs w:val="22"/>
              </w:rPr>
              <w:t>7 (38.89%)</w:t>
            </w:r>
          </w:p>
        </w:tc>
        <w:tc>
          <w:tcPr>
            <w:tcW w:w="1559" w:type="dxa"/>
            <w:tcBorders>
              <w:top w:val="nil"/>
              <w:left w:val="nil"/>
              <w:bottom w:val="nil"/>
              <w:right w:val="nil"/>
            </w:tcBorders>
            <w:shd w:val="clear" w:color="auto" w:fill="FFFFFF"/>
            <w:tcMar>
              <w:left w:w="67" w:type="dxa"/>
              <w:right w:w="67" w:type="dxa"/>
            </w:tcMar>
          </w:tcPr>
          <w:p w14:paraId="03122DAB" w14:textId="77777777" w:rsidR="00B77EA3" w:rsidRPr="0082484A" w:rsidRDefault="00B77EA3" w:rsidP="00B77EA3">
            <w:pPr>
              <w:spacing w:before="0" w:line="240" w:lineRule="auto"/>
              <w:contextualSpacing/>
              <w:rPr>
                <w:sz w:val="22"/>
                <w:szCs w:val="22"/>
              </w:rPr>
            </w:pPr>
            <w:r w:rsidRPr="0082484A">
              <w:rPr>
                <w:sz w:val="22"/>
                <w:szCs w:val="22"/>
              </w:rPr>
              <w:t>8 (44.44%)</w:t>
            </w:r>
          </w:p>
        </w:tc>
        <w:tc>
          <w:tcPr>
            <w:tcW w:w="1418" w:type="dxa"/>
            <w:tcBorders>
              <w:top w:val="nil"/>
              <w:left w:val="nil"/>
              <w:bottom w:val="nil"/>
              <w:right w:val="nil"/>
            </w:tcBorders>
            <w:shd w:val="clear" w:color="auto" w:fill="FFFFFF"/>
            <w:tcMar>
              <w:left w:w="67" w:type="dxa"/>
              <w:right w:w="67" w:type="dxa"/>
            </w:tcMar>
          </w:tcPr>
          <w:p w14:paraId="6B6EAD6B"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17" w:type="dxa"/>
            <w:tcBorders>
              <w:top w:val="nil"/>
              <w:left w:val="nil"/>
              <w:bottom w:val="nil"/>
              <w:right w:val="single" w:sz="11" w:space="0" w:color="000000"/>
            </w:tcBorders>
            <w:shd w:val="clear" w:color="auto" w:fill="FFFFFF"/>
            <w:tcMar>
              <w:left w:w="67" w:type="dxa"/>
              <w:right w:w="67" w:type="dxa"/>
            </w:tcMar>
          </w:tcPr>
          <w:p w14:paraId="0FFFD9D6"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5CD5735F" w14:textId="77777777" w:rsidTr="0082484A">
        <w:trPr>
          <w:cantSplit/>
        </w:trPr>
        <w:tc>
          <w:tcPr>
            <w:tcW w:w="3231" w:type="dxa"/>
            <w:tcBorders>
              <w:top w:val="nil"/>
              <w:left w:val="single" w:sz="11" w:space="0" w:color="000000"/>
              <w:bottom w:val="single" w:sz="11" w:space="0" w:color="000000"/>
              <w:right w:val="nil"/>
            </w:tcBorders>
            <w:shd w:val="clear" w:color="auto" w:fill="FFFFFF"/>
            <w:tcMar>
              <w:left w:w="67" w:type="dxa"/>
              <w:right w:w="67" w:type="dxa"/>
            </w:tcMar>
          </w:tcPr>
          <w:p w14:paraId="7C030D1D" w14:textId="77777777" w:rsidR="00B77EA3" w:rsidRPr="0082484A" w:rsidRDefault="00B77EA3" w:rsidP="00B77EA3">
            <w:pPr>
              <w:spacing w:before="0" w:line="240" w:lineRule="auto"/>
              <w:contextualSpacing/>
              <w:rPr>
                <w:sz w:val="22"/>
                <w:szCs w:val="22"/>
              </w:rPr>
            </w:pPr>
            <w:r w:rsidRPr="0082484A">
              <w:rPr>
                <w:sz w:val="22"/>
                <w:szCs w:val="22"/>
              </w:rPr>
              <w:t>NHS Wakefield</w:t>
            </w:r>
          </w:p>
        </w:tc>
        <w:tc>
          <w:tcPr>
            <w:tcW w:w="1575" w:type="dxa"/>
            <w:tcBorders>
              <w:top w:val="nil"/>
              <w:left w:val="nil"/>
              <w:bottom w:val="single" w:sz="11" w:space="0" w:color="000000"/>
              <w:right w:val="nil"/>
            </w:tcBorders>
            <w:shd w:val="clear" w:color="auto" w:fill="FFFFFF"/>
            <w:tcMar>
              <w:left w:w="67" w:type="dxa"/>
              <w:right w:w="67" w:type="dxa"/>
            </w:tcMar>
          </w:tcPr>
          <w:p w14:paraId="1C1B041A" w14:textId="77777777" w:rsidR="00B77EA3" w:rsidRPr="0082484A" w:rsidRDefault="00B77EA3" w:rsidP="00B77EA3">
            <w:pPr>
              <w:spacing w:before="0" w:line="240" w:lineRule="auto"/>
              <w:contextualSpacing/>
              <w:rPr>
                <w:sz w:val="22"/>
                <w:szCs w:val="22"/>
              </w:rPr>
            </w:pPr>
            <w:r w:rsidRPr="0082484A">
              <w:rPr>
                <w:sz w:val="22"/>
                <w:szCs w:val="22"/>
              </w:rPr>
              <w:t>8 (40.00%)</w:t>
            </w:r>
          </w:p>
        </w:tc>
        <w:tc>
          <w:tcPr>
            <w:tcW w:w="1559" w:type="dxa"/>
            <w:tcBorders>
              <w:top w:val="nil"/>
              <w:left w:val="nil"/>
              <w:bottom w:val="single" w:sz="11" w:space="0" w:color="000000"/>
              <w:right w:val="nil"/>
            </w:tcBorders>
            <w:shd w:val="clear" w:color="auto" w:fill="FFFFFF"/>
            <w:tcMar>
              <w:left w:w="67" w:type="dxa"/>
              <w:right w:w="67" w:type="dxa"/>
            </w:tcMar>
          </w:tcPr>
          <w:p w14:paraId="537928F2" w14:textId="77777777" w:rsidR="00B77EA3" w:rsidRPr="0082484A" w:rsidRDefault="00B77EA3" w:rsidP="00B77EA3">
            <w:pPr>
              <w:spacing w:before="0" w:line="240" w:lineRule="auto"/>
              <w:contextualSpacing/>
              <w:rPr>
                <w:sz w:val="22"/>
                <w:szCs w:val="22"/>
              </w:rPr>
            </w:pPr>
            <w:r w:rsidRPr="0082484A">
              <w:rPr>
                <w:sz w:val="22"/>
                <w:szCs w:val="22"/>
              </w:rPr>
              <w:t>8 (40.00%)</w:t>
            </w:r>
          </w:p>
        </w:tc>
        <w:tc>
          <w:tcPr>
            <w:tcW w:w="1418" w:type="dxa"/>
            <w:tcBorders>
              <w:top w:val="nil"/>
              <w:left w:val="nil"/>
              <w:bottom w:val="single" w:sz="11" w:space="0" w:color="000000"/>
              <w:right w:val="nil"/>
            </w:tcBorders>
            <w:shd w:val="clear" w:color="auto" w:fill="FFFFFF"/>
            <w:tcMar>
              <w:left w:w="67" w:type="dxa"/>
              <w:right w:w="67" w:type="dxa"/>
            </w:tcMar>
          </w:tcPr>
          <w:p w14:paraId="6A249B09"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417" w:type="dxa"/>
            <w:tcBorders>
              <w:top w:val="nil"/>
              <w:left w:val="nil"/>
              <w:bottom w:val="single" w:sz="11" w:space="0" w:color="000000"/>
              <w:right w:val="single" w:sz="11" w:space="0" w:color="000000"/>
            </w:tcBorders>
            <w:shd w:val="clear" w:color="auto" w:fill="FFFFFF"/>
            <w:tcMar>
              <w:left w:w="67" w:type="dxa"/>
              <w:right w:w="67" w:type="dxa"/>
            </w:tcMar>
          </w:tcPr>
          <w:p w14:paraId="195CA148" w14:textId="77777777" w:rsidR="00B77EA3" w:rsidRPr="0082484A" w:rsidRDefault="00B77EA3" w:rsidP="00B77EA3">
            <w:pPr>
              <w:spacing w:before="0" w:line="240" w:lineRule="auto"/>
              <w:contextualSpacing/>
              <w:rPr>
                <w:sz w:val="22"/>
                <w:szCs w:val="22"/>
              </w:rPr>
            </w:pPr>
            <w:r w:rsidRPr="0082484A">
              <w:rPr>
                <w:sz w:val="22"/>
                <w:szCs w:val="22"/>
              </w:rPr>
              <w:t>20 (100%)</w:t>
            </w:r>
          </w:p>
          <w:p w14:paraId="11A4080C" w14:textId="77777777" w:rsidR="00B77EA3" w:rsidRPr="0082484A" w:rsidRDefault="00B77EA3" w:rsidP="00B77EA3">
            <w:pPr>
              <w:spacing w:before="0" w:line="240" w:lineRule="auto"/>
              <w:contextualSpacing/>
              <w:rPr>
                <w:sz w:val="22"/>
                <w:szCs w:val="22"/>
              </w:rPr>
            </w:pPr>
          </w:p>
        </w:tc>
      </w:tr>
    </w:tbl>
    <w:p w14:paraId="03B7FA80" w14:textId="77777777" w:rsidR="00B77EA3" w:rsidRPr="0082484A" w:rsidRDefault="00B77EA3" w:rsidP="00B77EA3">
      <w:pPr>
        <w:spacing w:before="0" w:line="240" w:lineRule="auto"/>
        <w:contextualSpacing/>
        <w:rPr>
          <w:sz w:val="22"/>
          <w:szCs w:val="22"/>
        </w:rPr>
      </w:pPr>
      <w:r w:rsidRPr="0082484A">
        <w:rPr>
          <w:sz w:val="22"/>
          <w:szCs w:val="22"/>
          <w:vertAlign w:val="superscript"/>
        </w:rPr>
        <w:t>a</w:t>
      </w:r>
      <w:r w:rsidRPr="0082484A">
        <w:rPr>
          <w:sz w:val="22"/>
          <w:szCs w:val="22"/>
        </w:rPr>
        <w:t xml:space="preserve"> A concurrent externally run trial aimed at improving achievement against Atrial Fibrillation guidelines was ongoing in the Bradford Districts CCG at the time of randomisation. Therefore these practices were prohibited from entry into Trial 2.</w:t>
      </w:r>
    </w:p>
    <w:p w14:paraId="4411C50F" w14:textId="77777777" w:rsidR="00B77EA3" w:rsidRPr="0082484A" w:rsidRDefault="00B77EA3" w:rsidP="00B77EA3">
      <w:pPr>
        <w:spacing w:before="0" w:after="200"/>
        <w:rPr>
          <w:color w:val="FF0000"/>
          <w:sz w:val="22"/>
          <w:szCs w:val="22"/>
        </w:rPr>
      </w:pPr>
      <w:r w:rsidRPr="0082484A">
        <w:rPr>
          <w:color w:val="FF0000"/>
          <w:sz w:val="22"/>
          <w:szCs w:val="22"/>
        </w:rPr>
        <w:br w:type="page"/>
      </w:r>
    </w:p>
    <w:p w14:paraId="39D6BD3C" w14:textId="10E67D37" w:rsidR="00B77EA3" w:rsidRPr="0082484A" w:rsidRDefault="00B77EA3" w:rsidP="00B77EA3">
      <w:pPr>
        <w:spacing w:before="0" w:line="240" w:lineRule="auto"/>
        <w:rPr>
          <w:sz w:val="22"/>
          <w:szCs w:val="22"/>
        </w:rPr>
      </w:pPr>
      <w:bookmarkStart w:id="24" w:name="_Ref503947508"/>
      <w:bookmarkStart w:id="25" w:name="_Toc483484170"/>
      <w:bookmarkStart w:id="26" w:name="_Toc8728075"/>
      <w:bookmarkStart w:id="27" w:name="_Toc19526736"/>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w:t>
      </w:r>
      <w:r w:rsidRPr="0082484A">
        <w:rPr>
          <w:bCs/>
          <w:noProof/>
          <w:sz w:val="22"/>
          <w:szCs w:val="22"/>
        </w:rPr>
        <w:fldChar w:fldCharType="end"/>
      </w:r>
      <w:bookmarkEnd w:id="24"/>
      <w:r w:rsidRPr="0082484A">
        <w:rPr>
          <w:bCs/>
          <w:noProof/>
          <w:sz w:val="22"/>
          <w:szCs w:val="22"/>
        </w:rPr>
        <w:t>:</w:t>
      </w:r>
      <w:r w:rsidRPr="0082484A">
        <w:rPr>
          <w:bCs/>
          <w:sz w:val="22"/>
          <w:szCs w:val="22"/>
        </w:rPr>
        <w:t xml:space="preserve"> Cluster-randomised evaluation: distribution of practices to trial arms (by clinical commissioning group) (WP4a)</w:t>
      </w:r>
      <w:bookmarkEnd w:id="25"/>
      <w:bookmarkEnd w:id="26"/>
      <w:bookmarkEnd w:id="27"/>
    </w:p>
    <w:tbl>
      <w:tblPr>
        <w:tblW w:w="10940" w:type="dxa"/>
        <w:jc w:val="center"/>
        <w:tblLayout w:type="fixed"/>
        <w:tblCellMar>
          <w:left w:w="0" w:type="dxa"/>
          <w:right w:w="0" w:type="dxa"/>
        </w:tblCellMar>
        <w:tblLook w:val="0000" w:firstRow="0" w:lastRow="0" w:firstColumn="0" w:lastColumn="0" w:noHBand="0" w:noVBand="0"/>
      </w:tblPr>
      <w:tblGrid>
        <w:gridCol w:w="2538"/>
        <w:gridCol w:w="1559"/>
        <w:gridCol w:w="1418"/>
        <w:gridCol w:w="1457"/>
        <w:gridCol w:w="1474"/>
        <w:gridCol w:w="1247"/>
        <w:gridCol w:w="1247"/>
      </w:tblGrid>
      <w:tr w:rsidR="00B77EA3" w:rsidRPr="0082484A" w14:paraId="0014D177" w14:textId="77777777" w:rsidTr="0082484A">
        <w:trPr>
          <w:cantSplit/>
          <w:tblHeader/>
          <w:jc w:val="center"/>
        </w:trPr>
        <w:tc>
          <w:tcPr>
            <w:tcW w:w="2538" w:type="dxa"/>
            <w:tcBorders>
              <w:top w:val="single" w:sz="11" w:space="0" w:color="000000"/>
              <w:left w:val="single" w:sz="11" w:space="0" w:color="000000"/>
              <w:bottom w:val="single" w:sz="4" w:space="0" w:color="FFFFFF" w:themeColor="background1"/>
              <w:right w:val="nil"/>
            </w:tcBorders>
            <w:shd w:val="clear" w:color="auto" w:fill="FFFFFF"/>
            <w:tcMar>
              <w:left w:w="67" w:type="dxa"/>
              <w:right w:w="67" w:type="dxa"/>
            </w:tcMar>
            <w:vAlign w:val="bottom"/>
          </w:tcPr>
          <w:p w14:paraId="7E267DC9" w14:textId="77777777" w:rsidR="00B77EA3" w:rsidRPr="0082484A" w:rsidRDefault="00B77EA3" w:rsidP="00B77EA3">
            <w:pPr>
              <w:spacing w:before="0" w:line="240" w:lineRule="auto"/>
              <w:contextualSpacing/>
              <w:rPr>
                <w:bCs/>
                <w:sz w:val="22"/>
                <w:szCs w:val="22"/>
              </w:rPr>
            </w:pPr>
          </w:p>
        </w:tc>
        <w:tc>
          <w:tcPr>
            <w:tcW w:w="2977"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25B483CE" w14:textId="77777777" w:rsidR="00B77EA3" w:rsidRPr="0082484A" w:rsidRDefault="00B77EA3" w:rsidP="00B77EA3">
            <w:pPr>
              <w:spacing w:before="0" w:line="240" w:lineRule="auto"/>
              <w:contextualSpacing/>
              <w:jc w:val="center"/>
              <w:rPr>
                <w:bCs/>
                <w:sz w:val="22"/>
                <w:szCs w:val="22"/>
              </w:rPr>
            </w:pPr>
            <w:r w:rsidRPr="0082484A">
              <w:rPr>
                <w:bCs/>
                <w:sz w:val="22"/>
                <w:szCs w:val="22"/>
              </w:rPr>
              <w:t>Trial 1</w:t>
            </w:r>
          </w:p>
        </w:tc>
        <w:tc>
          <w:tcPr>
            <w:tcW w:w="2931"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19312C03" w14:textId="77777777" w:rsidR="00B77EA3" w:rsidRPr="0082484A" w:rsidRDefault="00B77EA3" w:rsidP="00B77EA3">
            <w:pPr>
              <w:spacing w:before="0" w:line="240" w:lineRule="auto"/>
              <w:contextualSpacing/>
              <w:jc w:val="center"/>
              <w:rPr>
                <w:bCs/>
                <w:sz w:val="22"/>
                <w:szCs w:val="22"/>
              </w:rPr>
            </w:pPr>
            <w:r w:rsidRPr="0082484A">
              <w:rPr>
                <w:bCs/>
                <w:sz w:val="22"/>
                <w:szCs w:val="22"/>
              </w:rPr>
              <w:t>Trial 2</w:t>
            </w:r>
          </w:p>
        </w:tc>
        <w:tc>
          <w:tcPr>
            <w:tcW w:w="1247" w:type="dxa"/>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0E722F15" w14:textId="77777777" w:rsidR="00B77EA3" w:rsidRPr="0082484A" w:rsidRDefault="00B77EA3" w:rsidP="00B77EA3">
            <w:pPr>
              <w:spacing w:before="0" w:line="240" w:lineRule="auto"/>
              <w:contextualSpacing/>
              <w:rPr>
                <w:bCs/>
                <w:sz w:val="22"/>
                <w:szCs w:val="22"/>
              </w:rPr>
            </w:pPr>
          </w:p>
        </w:tc>
        <w:tc>
          <w:tcPr>
            <w:tcW w:w="1247" w:type="dxa"/>
            <w:tcBorders>
              <w:top w:val="single" w:sz="11" w:space="0" w:color="000000"/>
              <w:left w:val="nil"/>
              <w:bottom w:val="single" w:sz="4" w:space="0" w:color="FFFFFF" w:themeColor="background1"/>
              <w:right w:val="single" w:sz="11" w:space="0" w:color="000000"/>
            </w:tcBorders>
            <w:shd w:val="clear" w:color="auto" w:fill="FFFFFF"/>
            <w:tcMar>
              <w:left w:w="67" w:type="dxa"/>
              <w:right w:w="67" w:type="dxa"/>
            </w:tcMar>
            <w:vAlign w:val="bottom"/>
          </w:tcPr>
          <w:p w14:paraId="4D84F0C0" w14:textId="77777777" w:rsidR="00B77EA3" w:rsidRPr="0082484A" w:rsidRDefault="00B77EA3" w:rsidP="00B77EA3">
            <w:pPr>
              <w:spacing w:before="0" w:line="240" w:lineRule="auto"/>
              <w:contextualSpacing/>
              <w:rPr>
                <w:bCs/>
                <w:sz w:val="22"/>
                <w:szCs w:val="22"/>
              </w:rPr>
            </w:pPr>
          </w:p>
        </w:tc>
      </w:tr>
      <w:tr w:rsidR="00B77EA3" w:rsidRPr="0082484A" w14:paraId="507DED67" w14:textId="77777777" w:rsidTr="0082484A">
        <w:trPr>
          <w:cantSplit/>
          <w:tblHeader/>
          <w:jc w:val="center"/>
        </w:trPr>
        <w:tc>
          <w:tcPr>
            <w:tcW w:w="2538" w:type="dxa"/>
            <w:tcBorders>
              <w:top w:val="single" w:sz="4" w:space="0" w:color="FFFFFF" w:themeColor="background1"/>
              <w:left w:val="single" w:sz="11" w:space="0" w:color="000000"/>
              <w:bottom w:val="single" w:sz="4" w:space="0" w:color="000000"/>
              <w:right w:val="nil"/>
            </w:tcBorders>
            <w:shd w:val="clear" w:color="auto" w:fill="FFFFFF"/>
            <w:tcMar>
              <w:left w:w="67" w:type="dxa"/>
              <w:right w:w="67" w:type="dxa"/>
            </w:tcMar>
            <w:vAlign w:val="bottom"/>
          </w:tcPr>
          <w:p w14:paraId="39B4824B" w14:textId="77777777" w:rsidR="00B77EA3" w:rsidRPr="0082484A" w:rsidRDefault="00B77EA3" w:rsidP="00B77EA3">
            <w:pPr>
              <w:spacing w:before="0" w:line="240" w:lineRule="auto"/>
              <w:contextualSpacing/>
              <w:rPr>
                <w:bCs/>
                <w:sz w:val="22"/>
                <w:szCs w:val="22"/>
              </w:rPr>
            </w:pPr>
            <w:r w:rsidRPr="0082484A">
              <w:rPr>
                <w:bCs/>
                <w:sz w:val="22"/>
                <w:szCs w:val="22"/>
              </w:rPr>
              <w:t>CCG</w:t>
            </w:r>
          </w:p>
        </w:tc>
        <w:tc>
          <w:tcPr>
            <w:tcW w:w="155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5CF75CB3" w14:textId="77777777" w:rsidR="00B77EA3" w:rsidRPr="0082484A" w:rsidRDefault="00B77EA3" w:rsidP="00B77EA3">
            <w:pPr>
              <w:spacing w:before="0" w:line="240" w:lineRule="auto"/>
              <w:contextualSpacing/>
              <w:rPr>
                <w:bCs/>
                <w:sz w:val="22"/>
                <w:szCs w:val="22"/>
              </w:rPr>
            </w:pPr>
            <w:r w:rsidRPr="0082484A">
              <w:rPr>
                <w:bCs/>
                <w:sz w:val="22"/>
                <w:szCs w:val="22"/>
              </w:rPr>
              <w:t>Diabetes Control (n=40)</w:t>
            </w:r>
          </w:p>
        </w:tc>
        <w:tc>
          <w:tcPr>
            <w:tcW w:w="1418"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18AC2442" w14:textId="77777777" w:rsidR="00B77EA3" w:rsidRPr="0082484A" w:rsidRDefault="00B77EA3" w:rsidP="00B77EA3">
            <w:pPr>
              <w:spacing w:before="0" w:line="240" w:lineRule="auto"/>
              <w:contextualSpacing/>
              <w:rPr>
                <w:bCs/>
                <w:sz w:val="22"/>
                <w:szCs w:val="22"/>
              </w:rPr>
            </w:pPr>
            <w:r w:rsidRPr="0082484A">
              <w:rPr>
                <w:bCs/>
                <w:sz w:val="22"/>
                <w:szCs w:val="22"/>
              </w:rPr>
              <w:t>Risky Prescribing (n=40)</w:t>
            </w:r>
          </w:p>
        </w:tc>
        <w:tc>
          <w:tcPr>
            <w:tcW w:w="1457"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1EF7BAAA" w14:textId="77777777" w:rsidR="00B77EA3" w:rsidRPr="0082484A" w:rsidRDefault="00B77EA3" w:rsidP="00B77EA3">
            <w:pPr>
              <w:spacing w:before="0" w:line="240" w:lineRule="auto"/>
              <w:contextualSpacing/>
              <w:rPr>
                <w:bCs/>
                <w:sz w:val="22"/>
                <w:szCs w:val="22"/>
              </w:rPr>
            </w:pPr>
            <w:r w:rsidRPr="0082484A">
              <w:rPr>
                <w:bCs/>
                <w:sz w:val="22"/>
                <w:szCs w:val="22"/>
              </w:rPr>
              <w:t xml:space="preserve">Blood Pressure Control </w:t>
            </w:r>
          </w:p>
          <w:p w14:paraId="20C0D890" w14:textId="77777777" w:rsidR="00B77EA3" w:rsidRPr="0082484A" w:rsidRDefault="00B77EA3" w:rsidP="00B77EA3">
            <w:pPr>
              <w:spacing w:before="0" w:line="240" w:lineRule="auto"/>
              <w:contextualSpacing/>
              <w:rPr>
                <w:bCs/>
                <w:sz w:val="22"/>
                <w:szCs w:val="22"/>
              </w:rPr>
            </w:pPr>
            <w:r w:rsidRPr="0082484A">
              <w:rPr>
                <w:bCs/>
                <w:sz w:val="22"/>
                <w:szCs w:val="22"/>
              </w:rPr>
              <w:t>(n=32)</w:t>
            </w:r>
          </w:p>
        </w:tc>
        <w:tc>
          <w:tcPr>
            <w:tcW w:w="147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2140C6C2" w14:textId="77777777" w:rsidR="00B77EA3" w:rsidRPr="0082484A" w:rsidRDefault="00B77EA3" w:rsidP="00B77EA3">
            <w:pPr>
              <w:spacing w:before="0" w:line="240" w:lineRule="auto"/>
              <w:contextualSpacing/>
              <w:rPr>
                <w:bCs/>
                <w:sz w:val="22"/>
                <w:szCs w:val="22"/>
              </w:rPr>
            </w:pPr>
            <w:r w:rsidRPr="0082484A">
              <w:rPr>
                <w:bCs/>
                <w:sz w:val="22"/>
                <w:szCs w:val="22"/>
              </w:rPr>
              <w:t>Anticoagulation in Atrial Fibrillation (n=32)</w:t>
            </w:r>
          </w:p>
        </w:tc>
        <w:tc>
          <w:tcPr>
            <w:tcW w:w="1247"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D15CE07" w14:textId="77777777" w:rsidR="00B77EA3" w:rsidRPr="0082484A" w:rsidRDefault="00B77EA3" w:rsidP="00B77EA3">
            <w:pPr>
              <w:spacing w:before="0" w:line="240" w:lineRule="auto"/>
              <w:contextualSpacing/>
              <w:rPr>
                <w:bCs/>
                <w:sz w:val="22"/>
                <w:szCs w:val="22"/>
              </w:rPr>
            </w:pPr>
            <w:r w:rsidRPr="0082484A">
              <w:rPr>
                <w:bCs/>
                <w:sz w:val="22"/>
                <w:szCs w:val="22"/>
              </w:rPr>
              <w:t>No intervention (n=34)</w:t>
            </w:r>
          </w:p>
        </w:tc>
        <w:tc>
          <w:tcPr>
            <w:tcW w:w="1247" w:type="dxa"/>
            <w:tcBorders>
              <w:top w:val="single" w:sz="4" w:space="0" w:color="FFFFFF" w:themeColor="background1"/>
              <w:left w:val="nil"/>
              <w:bottom w:val="single" w:sz="4" w:space="0" w:color="000000"/>
              <w:right w:val="single" w:sz="11" w:space="0" w:color="000000"/>
            </w:tcBorders>
            <w:shd w:val="clear" w:color="auto" w:fill="FFFFFF"/>
            <w:tcMar>
              <w:left w:w="67" w:type="dxa"/>
              <w:right w:w="67" w:type="dxa"/>
            </w:tcMar>
            <w:vAlign w:val="bottom"/>
          </w:tcPr>
          <w:p w14:paraId="588DBC4E" w14:textId="77777777" w:rsidR="00B77EA3" w:rsidRPr="0082484A" w:rsidRDefault="00B77EA3" w:rsidP="00B77EA3">
            <w:pPr>
              <w:spacing w:before="0" w:line="240" w:lineRule="auto"/>
              <w:contextualSpacing/>
              <w:rPr>
                <w:bCs/>
                <w:sz w:val="22"/>
                <w:szCs w:val="22"/>
              </w:rPr>
            </w:pPr>
            <w:r w:rsidRPr="0082484A">
              <w:rPr>
                <w:bCs/>
                <w:sz w:val="22"/>
                <w:szCs w:val="22"/>
              </w:rPr>
              <w:t>Total (n=178)</w:t>
            </w:r>
          </w:p>
        </w:tc>
      </w:tr>
      <w:tr w:rsidR="00B77EA3" w:rsidRPr="0082484A" w14:paraId="230A9400"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0A0965EF" w14:textId="77777777" w:rsidR="00B77EA3" w:rsidRPr="0082484A" w:rsidRDefault="00B77EA3" w:rsidP="00B77EA3">
            <w:pPr>
              <w:spacing w:before="0" w:line="240" w:lineRule="auto"/>
              <w:contextualSpacing/>
              <w:rPr>
                <w:sz w:val="22"/>
                <w:szCs w:val="22"/>
              </w:rPr>
            </w:pPr>
            <w:r w:rsidRPr="0082484A">
              <w:rPr>
                <w:sz w:val="22"/>
                <w:szCs w:val="22"/>
              </w:rPr>
              <w:t>NHS Airedale, Wharfedale and Craven</w:t>
            </w:r>
          </w:p>
        </w:tc>
        <w:tc>
          <w:tcPr>
            <w:tcW w:w="1559" w:type="dxa"/>
            <w:tcBorders>
              <w:top w:val="nil"/>
              <w:left w:val="nil"/>
              <w:bottom w:val="nil"/>
              <w:right w:val="nil"/>
            </w:tcBorders>
            <w:shd w:val="clear" w:color="auto" w:fill="FFFFFF"/>
            <w:tcMar>
              <w:left w:w="67" w:type="dxa"/>
              <w:right w:w="67" w:type="dxa"/>
            </w:tcMar>
          </w:tcPr>
          <w:p w14:paraId="25982950" w14:textId="77777777" w:rsidR="00B77EA3" w:rsidRPr="0082484A" w:rsidRDefault="00B77EA3" w:rsidP="00B77EA3">
            <w:pPr>
              <w:spacing w:before="0" w:line="240" w:lineRule="auto"/>
              <w:contextualSpacing/>
              <w:rPr>
                <w:sz w:val="22"/>
                <w:szCs w:val="22"/>
              </w:rPr>
            </w:pPr>
            <w:r w:rsidRPr="0082484A">
              <w:rPr>
                <w:sz w:val="22"/>
                <w:szCs w:val="22"/>
              </w:rPr>
              <w:t>1 (12.50%)</w:t>
            </w:r>
          </w:p>
        </w:tc>
        <w:tc>
          <w:tcPr>
            <w:tcW w:w="1418" w:type="dxa"/>
            <w:tcBorders>
              <w:top w:val="nil"/>
              <w:left w:val="nil"/>
              <w:bottom w:val="nil"/>
              <w:right w:val="nil"/>
            </w:tcBorders>
            <w:shd w:val="clear" w:color="auto" w:fill="FFFFFF"/>
            <w:tcMar>
              <w:left w:w="67" w:type="dxa"/>
              <w:right w:w="67" w:type="dxa"/>
            </w:tcMar>
          </w:tcPr>
          <w:p w14:paraId="5975B156" w14:textId="77777777" w:rsidR="00B77EA3" w:rsidRPr="0082484A" w:rsidRDefault="00B77EA3" w:rsidP="00B77EA3">
            <w:pPr>
              <w:spacing w:before="0" w:line="240" w:lineRule="auto"/>
              <w:contextualSpacing/>
              <w:rPr>
                <w:sz w:val="22"/>
                <w:szCs w:val="22"/>
              </w:rPr>
            </w:pPr>
            <w:r w:rsidRPr="0082484A">
              <w:rPr>
                <w:sz w:val="22"/>
                <w:szCs w:val="22"/>
              </w:rPr>
              <w:t>2 (25.00%)</w:t>
            </w:r>
          </w:p>
        </w:tc>
        <w:tc>
          <w:tcPr>
            <w:tcW w:w="1457" w:type="dxa"/>
            <w:tcBorders>
              <w:top w:val="nil"/>
              <w:left w:val="nil"/>
              <w:bottom w:val="nil"/>
              <w:right w:val="nil"/>
            </w:tcBorders>
            <w:shd w:val="clear" w:color="auto" w:fill="FFFFFF"/>
            <w:tcMar>
              <w:left w:w="67" w:type="dxa"/>
              <w:right w:w="67" w:type="dxa"/>
            </w:tcMar>
          </w:tcPr>
          <w:p w14:paraId="132110D4" w14:textId="77777777" w:rsidR="00B77EA3" w:rsidRPr="0082484A" w:rsidRDefault="00B77EA3" w:rsidP="00B77EA3">
            <w:pPr>
              <w:spacing w:before="0" w:line="240" w:lineRule="auto"/>
              <w:contextualSpacing/>
              <w:rPr>
                <w:sz w:val="22"/>
                <w:szCs w:val="22"/>
              </w:rPr>
            </w:pPr>
            <w:r w:rsidRPr="0082484A">
              <w:rPr>
                <w:sz w:val="22"/>
                <w:szCs w:val="22"/>
              </w:rPr>
              <w:t>2 (25.00%)</w:t>
            </w:r>
          </w:p>
        </w:tc>
        <w:tc>
          <w:tcPr>
            <w:tcW w:w="1474" w:type="dxa"/>
            <w:tcBorders>
              <w:top w:val="nil"/>
              <w:left w:val="nil"/>
              <w:bottom w:val="nil"/>
              <w:right w:val="nil"/>
            </w:tcBorders>
            <w:shd w:val="clear" w:color="auto" w:fill="FFFFFF"/>
            <w:tcMar>
              <w:left w:w="67" w:type="dxa"/>
              <w:right w:w="67" w:type="dxa"/>
            </w:tcMar>
          </w:tcPr>
          <w:p w14:paraId="768F4DA9" w14:textId="77777777" w:rsidR="00B77EA3" w:rsidRPr="0082484A" w:rsidRDefault="00B77EA3" w:rsidP="00B77EA3">
            <w:pPr>
              <w:spacing w:before="0" w:line="240" w:lineRule="auto"/>
              <w:contextualSpacing/>
              <w:rPr>
                <w:sz w:val="22"/>
                <w:szCs w:val="22"/>
              </w:rPr>
            </w:pPr>
            <w:r w:rsidRPr="0082484A">
              <w:rPr>
                <w:sz w:val="22"/>
                <w:szCs w:val="22"/>
              </w:rPr>
              <w:t>2 (25.00%)</w:t>
            </w:r>
          </w:p>
        </w:tc>
        <w:tc>
          <w:tcPr>
            <w:tcW w:w="1247" w:type="dxa"/>
            <w:tcBorders>
              <w:top w:val="nil"/>
              <w:left w:val="nil"/>
              <w:bottom w:val="nil"/>
              <w:right w:val="nil"/>
            </w:tcBorders>
            <w:shd w:val="clear" w:color="auto" w:fill="FFFFFF"/>
            <w:tcMar>
              <w:left w:w="67" w:type="dxa"/>
              <w:right w:w="67" w:type="dxa"/>
            </w:tcMar>
          </w:tcPr>
          <w:p w14:paraId="72A33285" w14:textId="77777777" w:rsidR="00B77EA3" w:rsidRPr="0082484A" w:rsidRDefault="00B77EA3" w:rsidP="00B77EA3">
            <w:pPr>
              <w:spacing w:before="0" w:line="240" w:lineRule="auto"/>
              <w:contextualSpacing/>
              <w:rPr>
                <w:sz w:val="22"/>
                <w:szCs w:val="22"/>
              </w:rPr>
            </w:pPr>
            <w:r w:rsidRPr="0082484A">
              <w:rPr>
                <w:sz w:val="22"/>
                <w:szCs w:val="22"/>
              </w:rPr>
              <w:t>1 (12.50%)</w:t>
            </w:r>
          </w:p>
        </w:tc>
        <w:tc>
          <w:tcPr>
            <w:tcW w:w="1247" w:type="dxa"/>
            <w:tcBorders>
              <w:top w:val="nil"/>
              <w:left w:val="nil"/>
              <w:bottom w:val="nil"/>
              <w:right w:val="single" w:sz="11" w:space="0" w:color="000000"/>
            </w:tcBorders>
            <w:shd w:val="clear" w:color="auto" w:fill="FFFFFF"/>
            <w:tcMar>
              <w:left w:w="67" w:type="dxa"/>
              <w:right w:w="67" w:type="dxa"/>
            </w:tcMar>
          </w:tcPr>
          <w:p w14:paraId="79D60855" w14:textId="77777777" w:rsidR="00B77EA3" w:rsidRPr="0082484A" w:rsidRDefault="00B77EA3" w:rsidP="00B77EA3">
            <w:pPr>
              <w:spacing w:before="0" w:line="240" w:lineRule="auto"/>
              <w:contextualSpacing/>
              <w:rPr>
                <w:sz w:val="22"/>
                <w:szCs w:val="22"/>
              </w:rPr>
            </w:pPr>
            <w:r w:rsidRPr="0082484A">
              <w:rPr>
                <w:sz w:val="22"/>
                <w:szCs w:val="22"/>
              </w:rPr>
              <w:t>8 (100%)</w:t>
            </w:r>
          </w:p>
        </w:tc>
      </w:tr>
      <w:tr w:rsidR="00B77EA3" w:rsidRPr="0082484A" w14:paraId="7AA651A5"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67DC85DC" w14:textId="77777777" w:rsidR="00B77EA3" w:rsidRPr="0082484A" w:rsidRDefault="00B77EA3" w:rsidP="00B77EA3">
            <w:pPr>
              <w:spacing w:before="0" w:line="240" w:lineRule="auto"/>
              <w:contextualSpacing/>
              <w:rPr>
                <w:sz w:val="22"/>
                <w:szCs w:val="22"/>
              </w:rPr>
            </w:pPr>
            <w:r w:rsidRPr="0082484A">
              <w:rPr>
                <w:sz w:val="22"/>
                <w:szCs w:val="22"/>
              </w:rPr>
              <w:t>NHS Bradford City</w:t>
            </w:r>
          </w:p>
        </w:tc>
        <w:tc>
          <w:tcPr>
            <w:tcW w:w="1559" w:type="dxa"/>
            <w:tcBorders>
              <w:top w:val="nil"/>
              <w:left w:val="nil"/>
              <w:bottom w:val="nil"/>
              <w:right w:val="nil"/>
            </w:tcBorders>
            <w:shd w:val="clear" w:color="auto" w:fill="FFFFFF"/>
            <w:tcMar>
              <w:left w:w="67" w:type="dxa"/>
              <w:right w:w="67" w:type="dxa"/>
            </w:tcMar>
          </w:tcPr>
          <w:p w14:paraId="12083C2A"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18" w:type="dxa"/>
            <w:tcBorders>
              <w:top w:val="nil"/>
              <w:left w:val="nil"/>
              <w:bottom w:val="nil"/>
              <w:right w:val="nil"/>
            </w:tcBorders>
            <w:shd w:val="clear" w:color="auto" w:fill="FFFFFF"/>
            <w:tcMar>
              <w:left w:w="67" w:type="dxa"/>
              <w:right w:w="67" w:type="dxa"/>
            </w:tcMar>
          </w:tcPr>
          <w:p w14:paraId="60F8D8AB" w14:textId="77777777" w:rsidR="00B77EA3" w:rsidRPr="0082484A" w:rsidRDefault="00B77EA3" w:rsidP="00B77EA3">
            <w:pPr>
              <w:spacing w:before="0" w:line="240" w:lineRule="auto"/>
              <w:contextualSpacing/>
              <w:rPr>
                <w:sz w:val="22"/>
                <w:szCs w:val="22"/>
              </w:rPr>
            </w:pPr>
            <w:r w:rsidRPr="0082484A">
              <w:rPr>
                <w:sz w:val="22"/>
                <w:szCs w:val="22"/>
              </w:rPr>
              <w:t>4 (22.22%)</w:t>
            </w:r>
          </w:p>
        </w:tc>
        <w:tc>
          <w:tcPr>
            <w:tcW w:w="1457" w:type="dxa"/>
            <w:tcBorders>
              <w:top w:val="nil"/>
              <w:left w:val="nil"/>
              <w:bottom w:val="nil"/>
              <w:right w:val="nil"/>
            </w:tcBorders>
            <w:shd w:val="clear" w:color="auto" w:fill="FFFFFF"/>
            <w:tcMar>
              <w:left w:w="67" w:type="dxa"/>
              <w:right w:w="67" w:type="dxa"/>
            </w:tcMar>
          </w:tcPr>
          <w:p w14:paraId="459D07EA"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74" w:type="dxa"/>
            <w:tcBorders>
              <w:top w:val="nil"/>
              <w:left w:val="nil"/>
              <w:bottom w:val="nil"/>
              <w:right w:val="nil"/>
            </w:tcBorders>
            <w:shd w:val="clear" w:color="auto" w:fill="FFFFFF"/>
            <w:tcMar>
              <w:left w:w="67" w:type="dxa"/>
              <w:right w:w="67" w:type="dxa"/>
            </w:tcMar>
          </w:tcPr>
          <w:p w14:paraId="34457626" w14:textId="77777777" w:rsidR="00B77EA3" w:rsidRPr="0082484A" w:rsidRDefault="00B77EA3" w:rsidP="00B77EA3">
            <w:pPr>
              <w:spacing w:before="0" w:line="240" w:lineRule="auto"/>
              <w:contextualSpacing/>
              <w:rPr>
                <w:sz w:val="22"/>
                <w:szCs w:val="22"/>
              </w:rPr>
            </w:pPr>
            <w:r w:rsidRPr="0082484A">
              <w:rPr>
                <w:sz w:val="22"/>
                <w:szCs w:val="22"/>
              </w:rPr>
              <w:t>5 (27.78%)</w:t>
            </w:r>
          </w:p>
        </w:tc>
        <w:tc>
          <w:tcPr>
            <w:tcW w:w="1247" w:type="dxa"/>
            <w:tcBorders>
              <w:top w:val="nil"/>
              <w:left w:val="nil"/>
              <w:bottom w:val="nil"/>
              <w:right w:val="nil"/>
            </w:tcBorders>
            <w:shd w:val="clear" w:color="auto" w:fill="FFFFFF"/>
            <w:tcMar>
              <w:left w:w="67" w:type="dxa"/>
              <w:right w:w="67" w:type="dxa"/>
            </w:tcMar>
          </w:tcPr>
          <w:p w14:paraId="67D256FC"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247" w:type="dxa"/>
            <w:tcBorders>
              <w:top w:val="nil"/>
              <w:left w:val="nil"/>
              <w:bottom w:val="nil"/>
              <w:right w:val="single" w:sz="11" w:space="0" w:color="000000"/>
            </w:tcBorders>
            <w:shd w:val="clear" w:color="auto" w:fill="FFFFFF"/>
            <w:tcMar>
              <w:left w:w="67" w:type="dxa"/>
              <w:right w:w="67" w:type="dxa"/>
            </w:tcMar>
          </w:tcPr>
          <w:p w14:paraId="0B5FF0D2"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33536C23"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59973155" w14:textId="77777777" w:rsidR="00B77EA3" w:rsidRPr="0082484A" w:rsidRDefault="00B77EA3" w:rsidP="00B77EA3">
            <w:pPr>
              <w:spacing w:before="0" w:line="240" w:lineRule="auto"/>
              <w:contextualSpacing/>
              <w:rPr>
                <w:sz w:val="22"/>
                <w:szCs w:val="22"/>
              </w:rPr>
            </w:pPr>
            <w:r w:rsidRPr="0082484A">
              <w:rPr>
                <w:sz w:val="22"/>
                <w:szCs w:val="22"/>
              </w:rPr>
              <w:t>NHS Bradford Districts</w:t>
            </w:r>
          </w:p>
        </w:tc>
        <w:tc>
          <w:tcPr>
            <w:tcW w:w="1559" w:type="dxa"/>
            <w:tcBorders>
              <w:top w:val="nil"/>
              <w:left w:val="nil"/>
              <w:bottom w:val="nil"/>
              <w:right w:val="nil"/>
            </w:tcBorders>
            <w:shd w:val="clear" w:color="auto" w:fill="FFFFFF"/>
            <w:tcMar>
              <w:left w:w="67" w:type="dxa"/>
              <w:right w:w="67" w:type="dxa"/>
            </w:tcMar>
          </w:tcPr>
          <w:p w14:paraId="184C769A" w14:textId="77777777" w:rsidR="00B77EA3" w:rsidRPr="0082484A" w:rsidRDefault="00B77EA3" w:rsidP="00B77EA3">
            <w:pPr>
              <w:spacing w:before="0" w:line="240" w:lineRule="auto"/>
              <w:contextualSpacing/>
              <w:rPr>
                <w:sz w:val="22"/>
                <w:szCs w:val="22"/>
              </w:rPr>
            </w:pPr>
            <w:r w:rsidRPr="0082484A">
              <w:rPr>
                <w:sz w:val="22"/>
                <w:szCs w:val="22"/>
              </w:rPr>
              <w:t>10 (34.48%)</w:t>
            </w:r>
          </w:p>
        </w:tc>
        <w:tc>
          <w:tcPr>
            <w:tcW w:w="1418" w:type="dxa"/>
            <w:tcBorders>
              <w:top w:val="nil"/>
              <w:left w:val="nil"/>
              <w:bottom w:val="nil"/>
              <w:right w:val="nil"/>
            </w:tcBorders>
            <w:shd w:val="clear" w:color="auto" w:fill="FFFFFF"/>
            <w:tcMar>
              <w:left w:w="67" w:type="dxa"/>
              <w:right w:w="67" w:type="dxa"/>
            </w:tcMar>
          </w:tcPr>
          <w:p w14:paraId="486EBAED" w14:textId="77777777" w:rsidR="00B77EA3" w:rsidRPr="0082484A" w:rsidRDefault="00B77EA3" w:rsidP="00B77EA3">
            <w:pPr>
              <w:spacing w:before="0" w:line="240" w:lineRule="auto"/>
              <w:contextualSpacing/>
              <w:rPr>
                <w:sz w:val="22"/>
                <w:szCs w:val="22"/>
              </w:rPr>
            </w:pPr>
            <w:r w:rsidRPr="0082484A">
              <w:rPr>
                <w:sz w:val="22"/>
                <w:szCs w:val="22"/>
              </w:rPr>
              <w:t>10 (34.48%)</w:t>
            </w:r>
          </w:p>
        </w:tc>
        <w:tc>
          <w:tcPr>
            <w:tcW w:w="1457" w:type="dxa"/>
            <w:tcBorders>
              <w:top w:val="nil"/>
              <w:left w:val="nil"/>
              <w:bottom w:val="nil"/>
              <w:right w:val="nil"/>
            </w:tcBorders>
            <w:shd w:val="clear" w:color="auto" w:fill="FFFFFF"/>
            <w:tcMar>
              <w:left w:w="67" w:type="dxa"/>
              <w:right w:w="67" w:type="dxa"/>
            </w:tcMar>
          </w:tcPr>
          <w:p w14:paraId="5B05ECCA" w14:textId="77777777" w:rsidR="00B77EA3" w:rsidRPr="0082484A" w:rsidRDefault="00B77EA3" w:rsidP="00B77EA3">
            <w:pPr>
              <w:spacing w:before="0" w:line="240" w:lineRule="auto"/>
              <w:contextualSpacing/>
              <w:rPr>
                <w:sz w:val="22"/>
                <w:szCs w:val="22"/>
                <w:vertAlign w:val="superscript"/>
              </w:rPr>
            </w:pPr>
            <w:r w:rsidRPr="0082484A">
              <w:rPr>
                <w:sz w:val="22"/>
                <w:szCs w:val="22"/>
              </w:rPr>
              <w:t>0 (0.00%)</w:t>
            </w:r>
            <w:r w:rsidRPr="0082484A">
              <w:rPr>
                <w:sz w:val="22"/>
                <w:szCs w:val="22"/>
                <w:vertAlign w:val="superscript"/>
              </w:rPr>
              <w:t>a</w:t>
            </w:r>
          </w:p>
        </w:tc>
        <w:tc>
          <w:tcPr>
            <w:tcW w:w="1474" w:type="dxa"/>
            <w:tcBorders>
              <w:top w:val="nil"/>
              <w:left w:val="nil"/>
              <w:bottom w:val="nil"/>
              <w:right w:val="nil"/>
            </w:tcBorders>
            <w:shd w:val="clear" w:color="auto" w:fill="FFFFFF"/>
            <w:tcMar>
              <w:left w:w="67" w:type="dxa"/>
              <w:right w:w="67" w:type="dxa"/>
            </w:tcMar>
          </w:tcPr>
          <w:p w14:paraId="0D59E14B" w14:textId="77777777" w:rsidR="00B77EA3" w:rsidRPr="0082484A" w:rsidRDefault="00B77EA3" w:rsidP="00B77EA3">
            <w:pPr>
              <w:spacing w:before="0" w:line="240" w:lineRule="auto"/>
              <w:contextualSpacing/>
              <w:rPr>
                <w:sz w:val="22"/>
                <w:szCs w:val="22"/>
                <w:vertAlign w:val="superscript"/>
              </w:rPr>
            </w:pPr>
            <w:r w:rsidRPr="0082484A">
              <w:rPr>
                <w:sz w:val="22"/>
                <w:szCs w:val="22"/>
              </w:rPr>
              <w:t>0 (0.00%)</w:t>
            </w:r>
            <w:r w:rsidRPr="0082484A">
              <w:rPr>
                <w:sz w:val="22"/>
                <w:szCs w:val="22"/>
                <w:vertAlign w:val="superscript"/>
              </w:rPr>
              <w:t>a</w:t>
            </w:r>
          </w:p>
        </w:tc>
        <w:tc>
          <w:tcPr>
            <w:tcW w:w="1247" w:type="dxa"/>
            <w:tcBorders>
              <w:top w:val="nil"/>
              <w:left w:val="nil"/>
              <w:bottom w:val="nil"/>
              <w:right w:val="nil"/>
            </w:tcBorders>
            <w:shd w:val="clear" w:color="auto" w:fill="FFFFFF"/>
            <w:tcMar>
              <w:left w:w="67" w:type="dxa"/>
              <w:right w:w="67" w:type="dxa"/>
            </w:tcMar>
          </w:tcPr>
          <w:p w14:paraId="4C24C0E7" w14:textId="77777777" w:rsidR="00B77EA3" w:rsidRPr="0082484A" w:rsidRDefault="00B77EA3" w:rsidP="00B77EA3">
            <w:pPr>
              <w:spacing w:before="0" w:line="240" w:lineRule="auto"/>
              <w:contextualSpacing/>
              <w:rPr>
                <w:sz w:val="22"/>
                <w:szCs w:val="22"/>
              </w:rPr>
            </w:pPr>
            <w:r w:rsidRPr="0082484A">
              <w:rPr>
                <w:sz w:val="22"/>
                <w:szCs w:val="22"/>
              </w:rPr>
              <w:t>9 (31.03%)</w:t>
            </w:r>
          </w:p>
        </w:tc>
        <w:tc>
          <w:tcPr>
            <w:tcW w:w="1247" w:type="dxa"/>
            <w:tcBorders>
              <w:top w:val="nil"/>
              <w:left w:val="nil"/>
              <w:bottom w:val="nil"/>
              <w:right w:val="single" w:sz="11" w:space="0" w:color="000000"/>
            </w:tcBorders>
            <w:shd w:val="clear" w:color="auto" w:fill="FFFFFF"/>
            <w:tcMar>
              <w:left w:w="67" w:type="dxa"/>
              <w:right w:w="67" w:type="dxa"/>
            </w:tcMar>
          </w:tcPr>
          <w:p w14:paraId="390942C6" w14:textId="77777777" w:rsidR="00B77EA3" w:rsidRPr="0082484A" w:rsidRDefault="00B77EA3" w:rsidP="00B77EA3">
            <w:pPr>
              <w:spacing w:before="0" w:line="240" w:lineRule="auto"/>
              <w:contextualSpacing/>
              <w:rPr>
                <w:sz w:val="22"/>
                <w:szCs w:val="22"/>
              </w:rPr>
            </w:pPr>
            <w:r w:rsidRPr="0082484A">
              <w:rPr>
                <w:sz w:val="22"/>
                <w:szCs w:val="22"/>
              </w:rPr>
              <w:t>29 (100%)</w:t>
            </w:r>
          </w:p>
        </w:tc>
      </w:tr>
      <w:tr w:rsidR="00B77EA3" w:rsidRPr="0082484A" w14:paraId="00C9083D"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22685C20" w14:textId="77777777" w:rsidR="00B77EA3" w:rsidRPr="0082484A" w:rsidRDefault="00B77EA3" w:rsidP="00B77EA3">
            <w:pPr>
              <w:spacing w:before="0" w:line="240" w:lineRule="auto"/>
              <w:contextualSpacing/>
              <w:rPr>
                <w:sz w:val="22"/>
                <w:szCs w:val="22"/>
              </w:rPr>
            </w:pPr>
            <w:r w:rsidRPr="0082484A">
              <w:rPr>
                <w:sz w:val="22"/>
                <w:szCs w:val="22"/>
              </w:rPr>
              <w:t>NHS Calderdale</w:t>
            </w:r>
          </w:p>
        </w:tc>
        <w:tc>
          <w:tcPr>
            <w:tcW w:w="1559" w:type="dxa"/>
            <w:tcBorders>
              <w:top w:val="nil"/>
              <w:left w:val="nil"/>
              <w:bottom w:val="nil"/>
              <w:right w:val="nil"/>
            </w:tcBorders>
            <w:shd w:val="clear" w:color="auto" w:fill="FFFFFF"/>
            <w:tcMar>
              <w:left w:w="67" w:type="dxa"/>
              <w:right w:w="67" w:type="dxa"/>
            </w:tcMar>
          </w:tcPr>
          <w:p w14:paraId="18A2F033" w14:textId="77777777" w:rsidR="00B77EA3" w:rsidRPr="0082484A" w:rsidRDefault="00B77EA3" w:rsidP="00B77EA3">
            <w:pPr>
              <w:spacing w:before="0" w:line="240" w:lineRule="auto"/>
              <w:contextualSpacing/>
              <w:rPr>
                <w:sz w:val="22"/>
                <w:szCs w:val="22"/>
              </w:rPr>
            </w:pPr>
            <w:r w:rsidRPr="0082484A">
              <w:rPr>
                <w:sz w:val="22"/>
                <w:szCs w:val="22"/>
              </w:rPr>
              <w:t>2 (16.67%)</w:t>
            </w:r>
          </w:p>
        </w:tc>
        <w:tc>
          <w:tcPr>
            <w:tcW w:w="1418" w:type="dxa"/>
            <w:tcBorders>
              <w:top w:val="nil"/>
              <w:left w:val="nil"/>
              <w:bottom w:val="nil"/>
              <w:right w:val="nil"/>
            </w:tcBorders>
            <w:shd w:val="clear" w:color="auto" w:fill="FFFFFF"/>
            <w:tcMar>
              <w:left w:w="67" w:type="dxa"/>
              <w:right w:w="67" w:type="dxa"/>
            </w:tcMar>
          </w:tcPr>
          <w:p w14:paraId="3DE58D53"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457" w:type="dxa"/>
            <w:tcBorders>
              <w:top w:val="nil"/>
              <w:left w:val="nil"/>
              <w:bottom w:val="nil"/>
              <w:right w:val="nil"/>
            </w:tcBorders>
            <w:shd w:val="clear" w:color="auto" w:fill="FFFFFF"/>
            <w:tcMar>
              <w:left w:w="67" w:type="dxa"/>
              <w:right w:w="67" w:type="dxa"/>
            </w:tcMar>
          </w:tcPr>
          <w:p w14:paraId="2A6B76DB"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474" w:type="dxa"/>
            <w:tcBorders>
              <w:top w:val="nil"/>
              <w:left w:val="nil"/>
              <w:bottom w:val="nil"/>
              <w:right w:val="nil"/>
            </w:tcBorders>
            <w:shd w:val="clear" w:color="auto" w:fill="FFFFFF"/>
            <w:tcMar>
              <w:left w:w="67" w:type="dxa"/>
              <w:right w:w="67" w:type="dxa"/>
            </w:tcMar>
          </w:tcPr>
          <w:p w14:paraId="77BB70E5"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247" w:type="dxa"/>
            <w:tcBorders>
              <w:top w:val="nil"/>
              <w:left w:val="nil"/>
              <w:bottom w:val="nil"/>
              <w:right w:val="nil"/>
            </w:tcBorders>
            <w:shd w:val="clear" w:color="auto" w:fill="FFFFFF"/>
            <w:tcMar>
              <w:left w:w="67" w:type="dxa"/>
              <w:right w:w="67" w:type="dxa"/>
            </w:tcMar>
          </w:tcPr>
          <w:p w14:paraId="6CE6EA04" w14:textId="77777777" w:rsidR="00B77EA3" w:rsidRPr="0082484A" w:rsidRDefault="00B77EA3" w:rsidP="00B77EA3">
            <w:pPr>
              <w:spacing w:before="0" w:line="240" w:lineRule="auto"/>
              <w:contextualSpacing/>
              <w:rPr>
                <w:sz w:val="22"/>
                <w:szCs w:val="22"/>
              </w:rPr>
            </w:pPr>
            <w:r w:rsidRPr="0082484A">
              <w:rPr>
                <w:sz w:val="22"/>
                <w:szCs w:val="22"/>
              </w:rPr>
              <w:t>1 (8.33%)</w:t>
            </w:r>
          </w:p>
        </w:tc>
        <w:tc>
          <w:tcPr>
            <w:tcW w:w="1247" w:type="dxa"/>
            <w:tcBorders>
              <w:top w:val="nil"/>
              <w:left w:val="nil"/>
              <w:bottom w:val="nil"/>
              <w:right w:val="single" w:sz="11" w:space="0" w:color="000000"/>
            </w:tcBorders>
            <w:shd w:val="clear" w:color="auto" w:fill="FFFFFF"/>
            <w:tcMar>
              <w:left w:w="67" w:type="dxa"/>
              <w:right w:w="67" w:type="dxa"/>
            </w:tcMar>
          </w:tcPr>
          <w:p w14:paraId="71AC79C9" w14:textId="77777777" w:rsidR="00B77EA3" w:rsidRPr="0082484A" w:rsidRDefault="00B77EA3" w:rsidP="00B77EA3">
            <w:pPr>
              <w:spacing w:before="0" w:line="240" w:lineRule="auto"/>
              <w:contextualSpacing/>
              <w:rPr>
                <w:sz w:val="22"/>
                <w:szCs w:val="22"/>
              </w:rPr>
            </w:pPr>
            <w:r w:rsidRPr="0082484A">
              <w:rPr>
                <w:sz w:val="22"/>
                <w:szCs w:val="22"/>
              </w:rPr>
              <w:t>12 (100%)</w:t>
            </w:r>
          </w:p>
        </w:tc>
      </w:tr>
      <w:tr w:rsidR="00B77EA3" w:rsidRPr="0082484A" w14:paraId="5A7F9E3A"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3B4DB526" w14:textId="77777777" w:rsidR="00B77EA3" w:rsidRPr="0082484A" w:rsidRDefault="00B77EA3" w:rsidP="00B77EA3">
            <w:pPr>
              <w:spacing w:before="0" w:line="240" w:lineRule="auto"/>
              <w:contextualSpacing/>
              <w:rPr>
                <w:sz w:val="22"/>
                <w:szCs w:val="22"/>
              </w:rPr>
            </w:pPr>
            <w:r w:rsidRPr="0082484A">
              <w:rPr>
                <w:sz w:val="22"/>
                <w:szCs w:val="22"/>
              </w:rPr>
              <w:t>NHS Greater Huddersfield</w:t>
            </w:r>
          </w:p>
        </w:tc>
        <w:tc>
          <w:tcPr>
            <w:tcW w:w="1559" w:type="dxa"/>
            <w:tcBorders>
              <w:top w:val="nil"/>
              <w:left w:val="nil"/>
              <w:bottom w:val="nil"/>
              <w:right w:val="nil"/>
            </w:tcBorders>
            <w:shd w:val="clear" w:color="auto" w:fill="FFFFFF"/>
            <w:tcMar>
              <w:left w:w="67" w:type="dxa"/>
              <w:right w:w="67" w:type="dxa"/>
            </w:tcMar>
          </w:tcPr>
          <w:p w14:paraId="2F2B33FF" w14:textId="77777777" w:rsidR="00B77EA3" w:rsidRPr="0082484A" w:rsidRDefault="00B77EA3" w:rsidP="00B77EA3">
            <w:pPr>
              <w:spacing w:before="0" w:line="240" w:lineRule="auto"/>
              <w:contextualSpacing/>
              <w:rPr>
                <w:sz w:val="22"/>
                <w:szCs w:val="22"/>
              </w:rPr>
            </w:pPr>
            <w:r w:rsidRPr="0082484A">
              <w:rPr>
                <w:sz w:val="22"/>
                <w:szCs w:val="22"/>
              </w:rPr>
              <w:t>4 (22.22%)</w:t>
            </w:r>
          </w:p>
        </w:tc>
        <w:tc>
          <w:tcPr>
            <w:tcW w:w="1418" w:type="dxa"/>
            <w:tcBorders>
              <w:top w:val="nil"/>
              <w:left w:val="nil"/>
              <w:bottom w:val="nil"/>
              <w:right w:val="nil"/>
            </w:tcBorders>
            <w:shd w:val="clear" w:color="auto" w:fill="FFFFFF"/>
            <w:tcMar>
              <w:left w:w="67" w:type="dxa"/>
              <w:right w:w="67" w:type="dxa"/>
            </w:tcMar>
          </w:tcPr>
          <w:p w14:paraId="27767DA1" w14:textId="77777777" w:rsidR="00B77EA3" w:rsidRPr="0082484A" w:rsidRDefault="00B77EA3" w:rsidP="00B77EA3">
            <w:pPr>
              <w:spacing w:before="0" w:line="240" w:lineRule="auto"/>
              <w:contextualSpacing/>
              <w:rPr>
                <w:sz w:val="22"/>
                <w:szCs w:val="22"/>
              </w:rPr>
            </w:pPr>
            <w:r w:rsidRPr="0082484A">
              <w:rPr>
                <w:sz w:val="22"/>
                <w:szCs w:val="22"/>
              </w:rPr>
              <w:t>4 (22.22%)</w:t>
            </w:r>
          </w:p>
        </w:tc>
        <w:tc>
          <w:tcPr>
            <w:tcW w:w="1457" w:type="dxa"/>
            <w:tcBorders>
              <w:top w:val="nil"/>
              <w:left w:val="nil"/>
              <w:bottom w:val="nil"/>
              <w:right w:val="nil"/>
            </w:tcBorders>
            <w:shd w:val="clear" w:color="auto" w:fill="FFFFFF"/>
            <w:tcMar>
              <w:left w:w="67" w:type="dxa"/>
              <w:right w:w="67" w:type="dxa"/>
            </w:tcMar>
          </w:tcPr>
          <w:p w14:paraId="07BE419D"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74" w:type="dxa"/>
            <w:tcBorders>
              <w:top w:val="nil"/>
              <w:left w:val="nil"/>
              <w:bottom w:val="nil"/>
              <w:right w:val="nil"/>
            </w:tcBorders>
            <w:shd w:val="clear" w:color="auto" w:fill="FFFFFF"/>
            <w:tcMar>
              <w:left w:w="67" w:type="dxa"/>
              <w:right w:w="67" w:type="dxa"/>
            </w:tcMar>
          </w:tcPr>
          <w:p w14:paraId="28E7D963" w14:textId="77777777" w:rsidR="00B77EA3" w:rsidRPr="0082484A" w:rsidRDefault="00B77EA3" w:rsidP="00B77EA3">
            <w:pPr>
              <w:spacing w:before="0" w:line="240" w:lineRule="auto"/>
              <w:contextualSpacing/>
              <w:rPr>
                <w:sz w:val="22"/>
                <w:szCs w:val="22"/>
              </w:rPr>
            </w:pPr>
            <w:r w:rsidRPr="0082484A">
              <w:rPr>
                <w:sz w:val="22"/>
                <w:szCs w:val="22"/>
              </w:rPr>
              <w:t>4 (22.22%)</w:t>
            </w:r>
          </w:p>
        </w:tc>
        <w:tc>
          <w:tcPr>
            <w:tcW w:w="1247" w:type="dxa"/>
            <w:tcBorders>
              <w:top w:val="nil"/>
              <w:left w:val="nil"/>
              <w:bottom w:val="nil"/>
              <w:right w:val="nil"/>
            </w:tcBorders>
            <w:shd w:val="clear" w:color="auto" w:fill="FFFFFF"/>
            <w:tcMar>
              <w:left w:w="67" w:type="dxa"/>
              <w:right w:w="67" w:type="dxa"/>
            </w:tcMar>
          </w:tcPr>
          <w:p w14:paraId="618B6B07"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247" w:type="dxa"/>
            <w:tcBorders>
              <w:top w:val="nil"/>
              <w:left w:val="nil"/>
              <w:bottom w:val="nil"/>
              <w:right w:val="single" w:sz="11" w:space="0" w:color="000000"/>
            </w:tcBorders>
            <w:shd w:val="clear" w:color="auto" w:fill="FFFFFF"/>
            <w:tcMar>
              <w:left w:w="67" w:type="dxa"/>
              <w:right w:w="67" w:type="dxa"/>
            </w:tcMar>
          </w:tcPr>
          <w:p w14:paraId="3C95D0FF"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05A2F620"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6CE5FDDF" w14:textId="77777777" w:rsidR="00B77EA3" w:rsidRPr="0082484A" w:rsidRDefault="00B77EA3" w:rsidP="00B77EA3">
            <w:pPr>
              <w:spacing w:before="0" w:line="240" w:lineRule="auto"/>
              <w:contextualSpacing/>
              <w:rPr>
                <w:sz w:val="22"/>
                <w:szCs w:val="22"/>
              </w:rPr>
            </w:pPr>
            <w:r w:rsidRPr="0082484A">
              <w:rPr>
                <w:sz w:val="22"/>
                <w:szCs w:val="22"/>
              </w:rPr>
              <w:t>NHS Leeds North</w:t>
            </w:r>
          </w:p>
        </w:tc>
        <w:tc>
          <w:tcPr>
            <w:tcW w:w="1559" w:type="dxa"/>
            <w:tcBorders>
              <w:top w:val="nil"/>
              <w:left w:val="nil"/>
              <w:bottom w:val="nil"/>
              <w:right w:val="nil"/>
            </w:tcBorders>
            <w:shd w:val="clear" w:color="auto" w:fill="FFFFFF"/>
            <w:tcMar>
              <w:left w:w="67" w:type="dxa"/>
              <w:right w:w="67" w:type="dxa"/>
            </w:tcMar>
          </w:tcPr>
          <w:p w14:paraId="4E4935F1" w14:textId="77777777" w:rsidR="00B77EA3" w:rsidRPr="0082484A" w:rsidRDefault="00B77EA3" w:rsidP="00B77EA3">
            <w:pPr>
              <w:spacing w:before="0" w:line="240" w:lineRule="auto"/>
              <w:contextualSpacing/>
              <w:rPr>
                <w:sz w:val="22"/>
                <w:szCs w:val="22"/>
              </w:rPr>
            </w:pPr>
            <w:r w:rsidRPr="0082484A">
              <w:rPr>
                <w:sz w:val="22"/>
                <w:szCs w:val="22"/>
              </w:rPr>
              <w:t>4 (33.33%)</w:t>
            </w:r>
          </w:p>
        </w:tc>
        <w:tc>
          <w:tcPr>
            <w:tcW w:w="1418" w:type="dxa"/>
            <w:tcBorders>
              <w:top w:val="nil"/>
              <w:left w:val="nil"/>
              <w:bottom w:val="nil"/>
              <w:right w:val="nil"/>
            </w:tcBorders>
            <w:shd w:val="clear" w:color="auto" w:fill="FFFFFF"/>
            <w:tcMar>
              <w:left w:w="67" w:type="dxa"/>
              <w:right w:w="67" w:type="dxa"/>
            </w:tcMar>
          </w:tcPr>
          <w:p w14:paraId="69A747F9" w14:textId="77777777" w:rsidR="00B77EA3" w:rsidRPr="0082484A" w:rsidRDefault="00B77EA3" w:rsidP="00B77EA3">
            <w:pPr>
              <w:spacing w:before="0" w:line="240" w:lineRule="auto"/>
              <w:contextualSpacing/>
              <w:rPr>
                <w:sz w:val="22"/>
                <w:szCs w:val="22"/>
              </w:rPr>
            </w:pPr>
            <w:r w:rsidRPr="0082484A">
              <w:rPr>
                <w:sz w:val="22"/>
                <w:szCs w:val="22"/>
              </w:rPr>
              <w:t>1 (8.33%)</w:t>
            </w:r>
          </w:p>
        </w:tc>
        <w:tc>
          <w:tcPr>
            <w:tcW w:w="1457" w:type="dxa"/>
            <w:tcBorders>
              <w:top w:val="nil"/>
              <w:left w:val="nil"/>
              <w:bottom w:val="nil"/>
              <w:right w:val="nil"/>
            </w:tcBorders>
            <w:shd w:val="clear" w:color="auto" w:fill="FFFFFF"/>
            <w:tcMar>
              <w:left w:w="67" w:type="dxa"/>
              <w:right w:w="67" w:type="dxa"/>
            </w:tcMar>
          </w:tcPr>
          <w:p w14:paraId="51810B19" w14:textId="77777777" w:rsidR="00B77EA3" w:rsidRPr="0082484A" w:rsidRDefault="00B77EA3" w:rsidP="00B77EA3">
            <w:pPr>
              <w:spacing w:before="0" w:line="240" w:lineRule="auto"/>
              <w:contextualSpacing/>
              <w:rPr>
                <w:sz w:val="22"/>
                <w:szCs w:val="22"/>
              </w:rPr>
            </w:pPr>
            <w:r w:rsidRPr="0082484A">
              <w:rPr>
                <w:sz w:val="22"/>
                <w:szCs w:val="22"/>
              </w:rPr>
              <w:t>1 (8.33%)</w:t>
            </w:r>
          </w:p>
        </w:tc>
        <w:tc>
          <w:tcPr>
            <w:tcW w:w="1474" w:type="dxa"/>
            <w:tcBorders>
              <w:top w:val="nil"/>
              <w:left w:val="nil"/>
              <w:bottom w:val="nil"/>
              <w:right w:val="nil"/>
            </w:tcBorders>
            <w:shd w:val="clear" w:color="auto" w:fill="FFFFFF"/>
            <w:tcMar>
              <w:left w:w="67" w:type="dxa"/>
              <w:right w:w="67" w:type="dxa"/>
            </w:tcMar>
          </w:tcPr>
          <w:p w14:paraId="5E93B0A5"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247" w:type="dxa"/>
            <w:tcBorders>
              <w:top w:val="nil"/>
              <w:left w:val="nil"/>
              <w:bottom w:val="nil"/>
              <w:right w:val="nil"/>
            </w:tcBorders>
            <w:shd w:val="clear" w:color="auto" w:fill="FFFFFF"/>
            <w:tcMar>
              <w:left w:w="67" w:type="dxa"/>
              <w:right w:w="67" w:type="dxa"/>
            </w:tcMar>
          </w:tcPr>
          <w:p w14:paraId="62EC9FBA" w14:textId="77777777" w:rsidR="00B77EA3" w:rsidRPr="0082484A" w:rsidRDefault="00B77EA3" w:rsidP="00B77EA3">
            <w:pPr>
              <w:spacing w:before="0" w:line="240" w:lineRule="auto"/>
              <w:contextualSpacing/>
              <w:rPr>
                <w:sz w:val="22"/>
                <w:szCs w:val="22"/>
              </w:rPr>
            </w:pPr>
            <w:r w:rsidRPr="0082484A">
              <w:rPr>
                <w:sz w:val="22"/>
                <w:szCs w:val="22"/>
              </w:rPr>
              <w:t>3 (25.00%)</w:t>
            </w:r>
          </w:p>
        </w:tc>
        <w:tc>
          <w:tcPr>
            <w:tcW w:w="1247" w:type="dxa"/>
            <w:tcBorders>
              <w:top w:val="nil"/>
              <w:left w:val="nil"/>
              <w:bottom w:val="nil"/>
              <w:right w:val="single" w:sz="11" w:space="0" w:color="000000"/>
            </w:tcBorders>
            <w:shd w:val="clear" w:color="auto" w:fill="FFFFFF"/>
            <w:tcMar>
              <w:left w:w="67" w:type="dxa"/>
              <w:right w:w="67" w:type="dxa"/>
            </w:tcMar>
          </w:tcPr>
          <w:p w14:paraId="2AB89117" w14:textId="77777777" w:rsidR="00B77EA3" w:rsidRPr="0082484A" w:rsidRDefault="00B77EA3" w:rsidP="00B77EA3">
            <w:pPr>
              <w:spacing w:before="0" w:line="240" w:lineRule="auto"/>
              <w:contextualSpacing/>
              <w:rPr>
                <w:sz w:val="22"/>
                <w:szCs w:val="22"/>
              </w:rPr>
            </w:pPr>
            <w:r w:rsidRPr="0082484A">
              <w:rPr>
                <w:sz w:val="22"/>
                <w:szCs w:val="22"/>
              </w:rPr>
              <w:t>12 (100%)</w:t>
            </w:r>
          </w:p>
        </w:tc>
      </w:tr>
      <w:tr w:rsidR="00B77EA3" w:rsidRPr="0082484A" w14:paraId="4BE57F90"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57C8EA23" w14:textId="77777777" w:rsidR="00B77EA3" w:rsidRPr="0082484A" w:rsidRDefault="00B77EA3" w:rsidP="00B77EA3">
            <w:pPr>
              <w:spacing w:before="0" w:line="240" w:lineRule="auto"/>
              <w:contextualSpacing/>
              <w:rPr>
                <w:sz w:val="22"/>
                <w:szCs w:val="22"/>
              </w:rPr>
            </w:pPr>
            <w:r w:rsidRPr="0082484A">
              <w:rPr>
                <w:sz w:val="22"/>
                <w:szCs w:val="22"/>
              </w:rPr>
              <w:t>NHS Leeds South and East</w:t>
            </w:r>
          </w:p>
        </w:tc>
        <w:tc>
          <w:tcPr>
            <w:tcW w:w="1559" w:type="dxa"/>
            <w:tcBorders>
              <w:top w:val="nil"/>
              <w:left w:val="nil"/>
              <w:bottom w:val="nil"/>
              <w:right w:val="nil"/>
            </w:tcBorders>
            <w:shd w:val="clear" w:color="auto" w:fill="FFFFFF"/>
            <w:tcMar>
              <w:left w:w="67" w:type="dxa"/>
              <w:right w:w="67" w:type="dxa"/>
            </w:tcMar>
          </w:tcPr>
          <w:p w14:paraId="51CB299D" w14:textId="77777777" w:rsidR="00B77EA3" w:rsidRPr="0082484A" w:rsidRDefault="00B77EA3" w:rsidP="00B77EA3">
            <w:pPr>
              <w:spacing w:before="0" w:line="240" w:lineRule="auto"/>
              <w:contextualSpacing/>
              <w:rPr>
                <w:sz w:val="22"/>
                <w:szCs w:val="22"/>
              </w:rPr>
            </w:pPr>
            <w:r w:rsidRPr="0082484A">
              <w:rPr>
                <w:sz w:val="22"/>
                <w:szCs w:val="22"/>
              </w:rPr>
              <w:t>4 (18.18%)</w:t>
            </w:r>
          </w:p>
        </w:tc>
        <w:tc>
          <w:tcPr>
            <w:tcW w:w="1418" w:type="dxa"/>
            <w:tcBorders>
              <w:top w:val="nil"/>
              <w:left w:val="nil"/>
              <w:bottom w:val="nil"/>
              <w:right w:val="nil"/>
            </w:tcBorders>
            <w:shd w:val="clear" w:color="auto" w:fill="FFFFFF"/>
            <w:tcMar>
              <w:left w:w="67" w:type="dxa"/>
              <w:right w:w="67" w:type="dxa"/>
            </w:tcMar>
          </w:tcPr>
          <w:p w14:paraId="7A085143" w14:textId="77777777" w:rsidR="00B77EA3" w:rsidRPr="0082484A" w:rsidRDefault="00B77EA3" w:rsidP="00B77EA3">
            <w:pPr>
              <w:spacing w:before="0" w:line="240" w:lineRule="auto"/>
              <w:contextualSpacing/>
              <w:rPr>
                <w:sz w:val="22"/>
                <w:szCs w:val="22"/>
              </w:rPr>
            </w:pPr>
            <w:r w:rsidRPr="0082484A">
              <w:rPr>
                <w:sz w:val="22"/>
                <w:szCs w:val="22"/>
              </w:rPr>
              <w:t>5 (22.73%)</w:t>
            </w:r>
          </w:p>
        </w:tc>
        <w:tc>
          <w:tcPr>
            <w:tcW w:w="1457" w:type="dxa"/>
            <w:tcBorders>
              <w:top w:val="nil"/>
              <w:left w:val="nil"/>
              <w:bottom w:val="nil"/>
              <w:right w:val="nil"/>
            </w:tcBorders>
            <w:shd w:val="clear" w:color="auto" w:fill="FFFFFF"/>
            <w:tcMar>
              <w:left w:w="67" w:type="dxa"/>
              <w:right w:w="67" w:type="dxa"/>
            </w:tcMar>
          </w:tcPr>
          <w:p w14:paraId="2C226064" w14:textId="77777777" w:rsidR="00B77EA3" w:rsidRPr="0082484A" w:rsidRDefault="00B77EA3" w:rsidP="00B77EA3">
            <w:pPr>
              <w:spacing w:before="0" w:line="240" w:lineRule="auto"/>
              <w:contextualSpacing/>
              <w:rPr>
                <w:sz w:val="22"/>
                <w:szCs w:val="22"/>
              </w:rPr>
            </w:pPr>
            <w:r w:rsidRPr="0082484A">
              <w:rPr>
                <w:sz w:val="22"/>
                <w:szCs w:val="22"/>
              </w:rPr>
              <w:t>6 (27.27%)</w:t>
            </w:r>
          </w:p>
        </w:tc>
        <w:tc>
          <w:tcPr>
            <w:tcW w:w="1474" w:type="dxa"/>
            <w:tcBorders>
              <w:top w:val="nil"/>
              <w:left w:val="nil"/>
              <w:bottom w:val="nil"/>
              <w:right w:val="nil"/>
            </w:tcBorders>
            <w:shd w:val="clear" w:color="auto" w:fill="FFFFFF"/>
            <w:tcMar>
              <w:left w:w="67" w:type="dxa"/>
              <w:right w:w="67" w:type="dxa"/>
            </w:tcMar>
          </w:tcPr>
          <w:p w14:paraId="3DD8A948" w14:textId="77777777" w:rsidR="00B77EA3" w:rsidRPr="0082484A" w:rsidRDefault="00B77EA3" w:rsidP="00B77EA3">
            <w:pPr>
              <w:spacing w:before="0" w:line="240" w:lineRule="auto"/>
              <w:contextualSpacing/>
              <w:rPr>
                <w:sz w:val="22"/>
                <w:szCs w:val="22"/>
              </w:rPr>
            </w:pPr>
            <w:r w:rsidRPr="0082484A">
              <w:rPr>
                <w:sz w:val="22"/>
                <w:szCs w:val="22"/>
              </w:rPr>
              <w:t>4 (18.18%)</w:t>
            </w:r>
          </w:p>
        </w:tc>
        <w:tc>
          <w:tcPr>
            <w:tcW w:w="1247" w:type="dxa"/>
            <w:tcBorders>
              <w:top w:val="nil"/>
              <w:left w:val="nil"/>
              <w:bottom w:val="nil"/>
              <w:right w:val="nil"/>
            </w:tcBorders>
            <w:shd w:val="clear" w:color="auto" w:fill="FFFFFF"/>
            <w:tcMar>
              <w:left w:w="67" w:type="dxa"/>
              <w:right w:w="67" w:type="dxa"/>
            </w:tcMar>
          </w:tcPr>
          <w:p w14:paraId="3BE2F78A" w14:textId="77777777" w:rsidR="00B77EA3" w:rsidRPr="0082484A" w:rsidRDefault="00B77EA3" w:rsidP="00B77EA3">
            <w:pPr>
              <w:spacing w:before="0" w:line="240" w:lineRule="auto"/>
              <w:contextualSpacing/>
              <w:rPr>
                <w:sz w:val="22"/>
                <w:szCs w:val="22"/>
              </w:rPr>
            </w:pPr>
            <w:r w:rsidRPr="0082484A">
              <w:rPr>
                <w:sz w:val="22"/>
                <w:szCs w:val="22"/>
              </w:rPr>
              <w:t>3 (13.64%)</w:t>
            </w:r>
          </w:p>
        </w:tc>
        <w:tc>
          <w:tcPr>
            <w:tcW w:w="1247" w:type="dxa"/>
            <w:tcBorders>
              <w:top w:val="nil"/>
              <w:left w:val="nil"/>
              <w:bottom w:val="nil"/>
              <w:right w:val="single" w:sz="11" w:space="0" w:color="000000"/>
            </w:tcBorders>
            <w:shd w:val="clear" w:color="auto" w:fill="FFFFFF"/>
            <w:tcMar>
              <w:left w:w="67" w:type="dxa"/>
              <w:right w:w="67" w:type="dxa"/>
            </w:tcMar>
          </w:tcPr>
          <w:p w14:paraId="0D3F2E72" w14:textId="77777777" w:rsidR="00B77EA3" w:rsidRPr="0082484A" w:rsidRDefault="00B77EA3" w:rsidP="00B77EA3">
            <w:pPr>
              <w:spacing w:before="0" w:line="240" w:lineRule="auto"/>
              <w:contextualSpacing/>
              <w:rPr>
                <w:sz w:val="22"/>
                <w:szCs w:val="22"/>
              </w:rPr>
            </w:pPr>
            <w:r w:rsidRPr="0082484A">
              <w:rPr>
                <w:sz w:val="22"/>
                <w:szCs w:val="22"/>
              </w:rPr>
              <w:t>22 (100%)</w:t>
            </w:r>
          </w:p>
        </w:tc>
      </w:tr>
      <w:tr w:rsidR="00B77EA3" w:rsidRPr="0082484A" w14:paraId="15C77115"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3E5BA156" w14:textId="77777777" w:rsidR="00B77EA3" w:rsidRPr="0082484A" w:rsidRDefault="00B77EA3" w:rsidP="00B77EA3">
            <w:pPr>
              <w:spacing w:before="0" w:line="240" w:lineRule="auto"/>
              <w:contextualSpacing/>
              <w:rPr>
                <w:sz w:val="22"/>
                <w:szCs w:val="22"/>
              </w:rPr>
            </w:pPr>
            <w:r w:rsidRPr="0082484A">
              <w:rPr>
                <w:sz w:val="22"/>
                <w:szCs w:val="22"/>
              </w:rPr>
              <w:t>NHS Leeds West</w:t>
            </w:r>
          </w:p>
        </w:tc>
        <w:tc>
          <w:tcPr>
            <w:tcW w:w="1559" w:type="dxa"/>
            <w:tcBorders>
              <w:top w:val="nil"/>
              <w:left w:val="nil"/>
              <w:bottom w:val="nil"/>
              <w:right w:val="nil"/>
            </w:tcBorders>
            <w:shd w:val="clear" w:color="auto" w:fill="FFFFFF"/>
            <w:tcMar>
              <w:left w:w="67" w:type="dxa"/>
              <w:right w:w="67" w:type="dxa"/>
            </w:tcMar>
          </w:tcPr>
          <w:p w14:paraId="5C493AE7" w14:textId="77777777" w:rsidR="00B77EA3" w:rsidRPr="0082484A" w:rsidRDefault="00B77EA3" w:rsidP="00B77EA3">
            <w:pPr>
              <w:spacing w:before="0" w:line="240" w:lineRule="auto"/>
              <w:contextualSpacing/>
              <w:rPr>
                <w:sz w:val="22"/>
                <w:szCs w:val="22"/>
              </w:rPr>
            </w:pPr>
            <w:r w:rsidRPr="0082484A">
              <w:rPr>
                <w:sz w:val="22"/>
                <w:szCs w:val="22"/>
              </w:rPr>
              <w:t>4 (19.05%)</w:t>
            </w:r>
          </w:p>
        </w:tc>
        <w:tc>
          <w:tcPr>
            <w:tcW w:w="1418" w:type="dxa"/>
            <w:tcBorders>
              <w:top w:val="nil"/>
              <w:left w:val="nil"/>
              <w:bottom w:val="nil"/>
              <w:right w:val="nil"/>
            </w:tcBorders>
            <w:shd w:val="clear" w:color="auto" w:fill="FFFFFF"/>
            <w:tcMar>
              <w:left w:w="67" w:type="dxa"/>
              <w:right w:w="67" w:type="dxa"/>
            </w:tcMar>
          </w:tcPr>
          <w:p w14:paraId="0065A7E2" w14:textId="77777777" w:rsidR="00B77EA3" w:rsidRPr="0082484A" w:rsidRDefault="00B77EA3" w:rsidP="00B77EA3">
            <w:pPr>
              <w:spacing w:before="0" w:line="240" w:lineRule="auto"/>
              <w:contextualSpacing/>
              <w:rPr>
                <w:sz w:val="22"/>
                <w:szCs w:val="22"/>
              </w:rPr>
            </w:pPr>
            <w:r w:rsidRPr="0082484A">
              <w:rPr>
                <w:sz w:val="22"/>
                <w:szCs w:val="22"/>
              </w:rPr>
              <w:t>4 (19.05%)</w:t>
            </w:r>
          </w:p>
        </w:tc>
        <w:tc>
          <w:tcPr>
            <w:tcW w:w="1457" w:type="dxa"/>
            <w:tcBorders>
              <w:top w:val="nil"/>
              <w:left w:val="nil"/>
              <w:bottom w:val="nil"/>
              <w:right w:val="nil"/>
            </w:tcBorders>
            <w:shd w:val="clear" w:color="auto" w:fill="FFFFFF"/>
            <w:tcMar>
              <w:left w:w="67" w:type="dxa"/>
              <w:right w:w="67" w:type="dxa"/>
            </w:tcMar>
          </w:tcPr>
          <w:p w14:paraId="56E63529" w14:textId="77777777" w:rsidR="00B77EA3" w:rsidRPr="0082484A" w:rsidRDefault="00B77EA3" w:rsidP="00B77EA3">
            <w:pPr>
              <w:spacing w:before="0" w:line="240" w:lineRule="auto"/>
              <w:contextualSpacing/>
              <w:rPr>
                <w:sz w:val="22"/>
                <w:szCs w:val="22"/>
              </w:rPr>
            </w:pPr>
            <w:r w:rsidRPr="0082484A">
              <w:rPr>
                <w:sz w:val="22"/>
                <w:szCs w:val="22"/>
              </w:rPr>
              <w:t>5 (23.81%)</w:t>
            </w:r>
          </w:p>
        </w:tc>
        <w:tc>
          <w:tcPr>
            <w:tcW w:w="1474" w:type="dxa"/>
            <w:tcBorders>
              <w:top w:val="nil"/>
              <w:left w:val="nil"/>
              <w:bottom w:val="nil"/>
              <w:right w:val="nil"/>
            </w:tcBorders>
            <w:shd w:val="clear" w:color="auto" w:fill="FFFFFF"/>
            <w:tcMar>
              <w:left w:w="67" w:type="dxa"/>
              <w:right w:w="67" w:type="dxa"/>
            </w:tcMar>
          </w:tcPr>
          <w:p w14:paraId="5892383E" w14:textId="77777777" w:rsidR="00B77EA3" w:rsidRPr="0082484A" w:rsidRDefault="00B77EA3" w:rsidP="00B77EA3">
            <w:pPr>
              <w:spacing w:before="0" w:line="240" w:lineRule="auto"/>
              <w:contextualSpacing/>
              <w:rPr>
                <w:sz w:val="22"/>
                <w:szCs w:val="22"/>
              </w:rPr>
            </w:pPr>
            <w:r w:rsidRPr="0082484A">
              <w:rPr>
                <w:sz w:val="22"/>
                <w:szCs w:val="22"/>
              </w:rPr>
              <w:t>4 (19.05%)</w:t>
            </w:r>
          </w:p>
        </w:tc>
        <w:tc>
          <w:tcPr>
            <w:tcW w:w="1247" w:type="dxa"/>
            <w:tcBorders>
              <w:top w:val="nil"/>
              <w:left w:val="nil"/>
              <w:bottom w:val="nil"/>
              <w:right w:val="nil"/>
            </w:tcBorders>
            <w:shd w:val="clear" w:color="auto" w:fill="FFFFFF"/>
            <w:tcMar>
              <w:left w:w="67" w:type="dxa"/>
              <w:right w:w="67" w:type="dxa"/>
            </w:tcMar>
          </w:tcPr>
          <w:p w14:paraId="7C847C49" w14:textId="77777777" w:rsidR="00B77EA3" w:rsidRPr="0082484A" w:rsidRDefault="00B77EA3" w:rsidP="00B77EA3">
            <w:pPr>
              <w:spacing w:before="0" w:line="240" w:lineRule="auto"/>
              <w:contextualSpacing/>
              <w:rPr>
                <w:sz w:val="22"/>
                <w:szCs w:val="22"/>
              </w:rPr>
            </w:pPr>
            <w:r w:rsidRPr="0082484A">
              <w:rPr>
                <w:sz w:val="22"/>
                <w:szCs w:val="22"/>
              </w:rPr>
              <w:t>4 (19.05%)</w:t>
            </w:r>
          </w:p>
        </w:tc>
        <w:tc>
          <w:tcPr>
            <w:tcW w:w="1247" w:type="dxa"/>
            <w:tcBorders>
              <w:top w:val="nil"/>
              <w:left w:val="nil"/>
              <w:bottom w:val="nil"/>
              <w:right w:val="single" w:sz="11" w:space="0" w:color="000000"/>
            </w:tcBorders>
            <w:shd w:val="clear" w:color="auto" w:fill="FFFFFF"/>
            <w:tcMar>
              <w:left w:w="67" w:type="dxa"/>
              <w:right w:w="67" w:type="dxa"/>
            </w:tcMar>
          </w:tcPr>
          <w:p w14:paraId="01A0ED97" w14:textId="77777777" w:rsidR="00B77EA3" w:rsidRPr="0082484A" w:rsidRDefault="00B77EA3" w:rsidP="00B77EA3">
            <w:pPr>
              <w:spacing w:before="0" w:line="240" w:lineRule="auto"/>
              <w:contextualSpacing/>
              <w:rPr>
                <w:sz w:val="22"/>
                <w:szCs w:val="22"/>
              </w:rPr>
            </w:pPr>
            <w:r w:rsidRPr="0082484A">
              <w:rPr>
                <w:sz w:val="22"/>
                <w:szCs w:val="22"/>
              </w:rPr>
              <w:t>21 (100%)</w:t>
            </w:r>
          </w:p>
        </w:tc>
      </w:tr>
      <w:tr w:rsidR="00B77EA3" w:rsidRPr="0082484A" w14:paraId="44A9C42B" w14:textId="77777777" w:rsidTr="0082484A">
        <w:trPr>
          <w:cantSplit/>
          <w:jc w:val="center"/>
        </w:trPr>
        <w:tc>
          <w:tcPr>
            <w:tcW w:w="2538" w:type="dxa"/>
            <w:tcBorders>
              <w:top w:val="nil"/>
              <w:left w:val="single" w:sz="11" w:space="0" w:color="000000"/>
              <w:bottom w:val="nil"/>
              <w:right w:val="nil"/>
            </w:tcBorders>
            <w:shd w:val="clear" w:color="auto" w:fill="FFFFFF"/>
            <w:tcMar>
              <w:left w:w="67" w:type="dxa"/>
              <w:right w:w="67" w:type="dxa"/>
            </w:tcMar>
          </w:tcPr>
          <w:p w14:paraId="1F49E117" w14:textId="77777777" w:rsidR="00B77EA3" w:rsidRPr="0082484A" w:rsidRDefault="00B77EA3" w:rsidP="00B77EA3">
            <w:pPr>
              <w:spacing w:before="0" w:line="240" w:lineRule="auto"/>
              <w:contextualSpacing/>
              <w:rPr>
                <w:sz w:val="22"/>
                <w:szCs w:val="22"/>
              </w:rPr>
            </w:pPr>
            <w:r w:rsidRPr="0082484A">
              <w:rPr>
                <w:sz w:val="22"/>
                <w:szCs w:val="22"/>
              </w:rPr>
              <w:t>NHS North Kirklees</w:t>
            </w:r>
          </w:p>
        </w:tc>
        <w:tc>
          <w:tcPr>
            <w:tcW w:w="1559" w:type="dxa"/>
            <w:tcBorders>
              <w:top w:val="nil"/>
              <w:left w:val="nil"/>
              <w:bottom w:val="nil"/>
              <w:right w:val="nil"/>
            </w:tcBorders>
            <w:shd w:val="clear" w:color="auto" w:fill="FFFFFF"/>
            <w:tcMar>
              <w:left w:w="67" w:type="dxa"/>
              <w:right w:w="67" w:type="dxa"/>
            </w:tcMar>
          </w:tcPr>
          <w:p w14:paraId="704CDFA5" w14:textId="77777777" w:rsidR="00B77EA3" w:rsidRPr="0082484A" w:rsidRDefault="00B77EA3" w:rsidP="00B77EA3">
            <w:pPr>
              <w:spacing w:before="0" w:line="240" w:lineRule="auto"/>
              <w:contextualSpacing/>
              <w:rPr>
                <w:sz w:val="22"/>
                <w:szCs w:val="22"/>
              </w:rPr>
            </w:pPr>
            <w:r w:rsidRPr="0082484A">
              <w:rPr>
                <w:sz w:val="22"/>
                <w:szCs w:val="22"/>
              </w:rPr>
              <w:t>4 (22.22%)</w:t>
            </w:r>
          </w:p>
        </w:tc>
        <w:tc>
          <w:tcPr>
            <w:tcW w:w="1418" w:type="dxa"/>
            <w:tcBorders>
              <w:top w:val="nil"/>
              <w:left w:val="nil"/>
              <w:bottom w:val="nil"/>
              <w:right w:val="nil"/>
            </w:tcBorders>
            <w:shd w:val="clear" w:color="auto" w:fill="FFFFFF"/>
            <w:tcMar>
              <w:left w:w="67" w:type="dxa"/>
              <w:right w:w="67" w:type="dxa"/>
            </w:tcMar>
          </w:tcPr>
          <w:p w14:paraId="502CAC8C"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457" w:type="dxa"/>
            <w:tcBorders>
              <w:top w:val="nil"/>
              <w:left w:val="nil"/>
              <w:bottom w:val="nil"/>
              <w:right w:val="nil"/>
            </w:tcBorders>
            <w:shd w:val="clear" w:color="auto" w:fill="FFFFFF"/>
            <w:tcMar>
              <w:left w:w="67" w:type="dxa"/>
              <w:right w:w="67" w:type="dxa"/>
            </w:tcMar>
          </w:tcPr>
          <w:p w14:paraId="5CE452CC" w14:textId="77777777" w:rsidR="00B77EA3" w:rsidRPr="0082484A" w:rsidRDefault="00B77EA3" w:rsidP="00B77EA3">
            <w:pPr>
              <w:spacing w:before="0" w:line="240" w:lineRule="auto"/>
              <w:contextualSpacing/>
              <w:rPr>
                <w:sz w:val="22"/>
                <w:szCs w:val="22"/>
              </w:rPr>
            </w:pPr>
            <w:r w:rsidRPr="0082484A">
              <w:rPr>
                <w:sz w:val="22"/>
                <w:szCs w:val="22"/>
              </w:rPr>
              <w:t>5 (27.78%)</w:t>
            </w:r>
          </w:p>
        </w:tc>
        <w:tc>
          <w:tcPr>
            <w:tcW w:w="1474" w:type="dxa"/>
            <w:tcBorders>
              <w:top w:val="nil"/>
              <w:left w:val="nil"/>
              <w:bottom w:val="nil"/>
              <w:right w:val="nil"/>
            </w:tcBorders>
            <w:shd w:val="clear" w:color="auto" w:fill="FFFFFF"/>
            <w:tcMar>
              <w:left w:w="67" w:type="dxa"/>
              <w:right w:w="67" w:type="dxa"/>
            </w:tcMar>
          </w:tcPr>
          <w:p w14:paraId="3E493114"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247" w:type="dxa"/>
            <w:tcBorders>
              <w:top w:val="nil"/>
              <w:left w:val="nil"/>
              <w:bottom w:val="nil"/>
              <w:right w:val="nil"/>
            </w:tcBorders>
            <w:shd w:val="clear" w:color="auto" w:fill="FFFFFF"/>
            <w:tcMar>
              <w:left w:w="67" w:type="dxa"/>
              <w:right w:w="67" w:type="dxa"/>
            </w:tcMar>
          </w:tcPr>
          <w:p w14:paraId="18ECA55C" w14:textId="77777777" w:rsidR="00B77EA3" w:rsidRPr="0082484A" w:rsidRDefault="00B77EA3" w:rsidP="00B77EA3">
            <w:pPr>
              <w:spacing w:before="0" w:line="240" w:lineRule="auto"/>
              <w:contextualSpacing/>
              <w:rPr>
                <w:sz w:val="22"/>
                <w:szCs w:val="22"/>
              </w:rPr>
            </w:pPr>
            <w:r w:rsidRPr="0082484A">
              <w:rPr>
                <w:sz w:val="22"/>
                <w:szCs w:val="22"/>
              </w:rPr>
              <w:t>3 (16.67%)</w:t>
            </w:r>
          </w:p>
        </w:tc>
        <w:tc>
          <w:tcPr>
            <w:tcW w:w="1247" w:type="dxa"/>
            <w:tcBorders>
              <w:top w:val="nil"/>
              <w:left w:val="nil"/>
              <w:bottom w:val="nil"/>
              <w:right w:val="single" w:sz="11" w:space="0" w:color="000000"/>
            </w:tcBorders>
            <w:shd w:val="clear" w:color="auto" w:fill="FFFFFF"/>
            <w:tcMar>
              <w:left w:w="67" w:type="dxa"/>
              <w:right w:w="67" w:type="dxa"/>
            </w:tcMar>
          </w:tcPr>
          <w:p w14:paraId="49906CC6" w14:textId="77777777" w:rsidR="00B77EA3" w:rsidRPr="0082484A" w:rsidRDefault="00B77EA3" w:rsidP="00B77EA3">
            <w:pPr>
              <w:spacing w:before="0" w:line="240" w:lineRule="auto"/>
              <w:contextualSpacing/>
              <w:rPr>
                <w:sz w:val="22"/>
                <w:szCs w:val="22"/>
              </w:rPr>
            </w:pPr>
            <w:r w:rsidRPr="0082484A">
              <w:rPr>
                <w:sz w:val="22"/>
                <w:szCs w:val="22"/>
              </w:rPr>
              <w:t>18 (100%)</w:t>
            </w:r>
          </w:p>
        </w:tc>
      </w:tr>
      <w:tr w:rsidR="00B77EA3" w:rsidRPr="0082484A" w14:paraId="7FBF7914" w14:textId="77777777" w:rsidTr="0082484A">
        <w:trPr>
          <w:cantSplit/>
          <w:jc w:val="center"/>
        </w:trPr>
        <w:tc>
          <w:tcPr>
            <w:tcW w:w="2538" w:type="dxa"/>
            <w:tcBorders>
              <w:top w:val="nil"/>
              <w:left w:val="single" w:sz="11" w:space="0" w:color="000000"/>
              <w:bottom w:val="single" w:sz="11" w:space="0" w:color="000000"/>
              <w:right w:val="nil"/>
            </w:tcBorders>
            <w:shd w:val="clear" w:color="auto" w:fill="FFFFFF"/>
            <w:tcMar>
              <w:left w:w="67" w:type="dxa"/>
              <w:right w:w="67" w:type="dxa"/>
            </w:tcMar>
          </w:tcPr>
          <w:p w14:paraId="3FD7701A" w14:textId="77777777" w:rsidR="00B77EA3" w:rsidRPr="0082484A" w:rsidRDefault="00B77EA3" w:rsidP="00B77EA3">
            <w:pPr>
              <w:spacing w:before="0" w:line="240" w:lineRule="auto"/>
              <w:contextualSpacing/>
              <w:rPr>
                <w:sz w:val="22"/>
                <w:szCs w:val="22"/>
              </w:rPr>
            </w:pPr>
            <w:r w:rsidRPr="0082484A">
              <w:rPr>
                <w:sz w:val="22"/>
                <w:szCs w:val="22"/>
              </w:rPr>
              <w:t>NHS Wakefield</w:t>
            </w:r>
          </w:p>
        </w:tc>
        <w:tc>
          <w:tcPr>
            <w:tcW w:w="1559" w:type="dxa"/>
            <w:tcBorders>
              <w:top w:val="nil"/>
              <w:left w:val="nil"/>
              <w:bottom w:val="single" w:sz="11" w:space="0" w:color="000000"/>
              <w:right w:val="nil"/>
            </w:tcBorders>
            <w:shd w:val="clear" w:color="auto" w:fill="FFFFFF"/>
            <w:tcMar>
              <w:left w:w="67" w:type="dxa"/>
              <w:right w:w="67" w:type="dxa"/>
            </w:tcMar>
          </w:tcPr>
          <w:p w14:paraId="46F45E0D"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418" w:type="dxa"/>
            <w:tcBorders>
              <w:top w:val="nil"/>
              <w:left w:val="nil"/>
              <w:bottom w:val="single" w:sz="11" w:space="0" w:color="000000"/>
              <w:right w:val="nil"/>
            </w:tcBorders>
            <w:shd w:val="clear" w:color="auto" w:fill="FFFFFF"/>
            <w:tcMar>
              <w:left w:w="67" w:type="dxa"/>
              <w:right w:w="67" w:type="dxa"/>
            </w:tcMar>
          </w:tcPr>
          <w:p w14:paraId="27C8F2F0"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457" w:type="dxa"/>
            <w:tcBorders>
              <w:top w:val="nil"/>
              <w:left w:val="nil"/>
              <w:bottom w:val="single" w:sz="11" w:space="0" w:color="000000"/>
              <w:right w:val="nil"/>
            </w:tcBorders>
            <w:shd w:val="clear" w:color="auto" w:fill="FFFFFF"/>
            <w:tcMar>
              <w:left w:w="67" w:type="dxa"/>
              <w:right w:w="67" w:type="dxa"/>
            </w:tcMar>
          </w:tcPr>
          <w:p w14:paraId="631CAF56"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474" w:type="dxa"/>
            <w:tcBorders>
              <w:top w:val="nil"/>
              <w:left w:val="nil"/>
              <w:bottom w:val="single" w:sz="11" w:space="0" w:color="000000"/>
              <w:right w:val="nil"/>
            </w:tcBorders>
            <w:shd w:val="clear" w:color="auto" w:fill="FFFFFF"/>
            <w:tcMar>
              <w:left w:w="67" w:type="dxa"/>
              <w:right w:w="67" w:type="dxa"/>
            </w:tcMar>
          </w:tcPr>
          <w:p w14:paraId="5E7F6163"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247" w:type="dxa"/>
            <w:tcBorders>
              <w:top w:val="nil"/>
              <w:left w:val="nil"/>
              <w:bottom w:val="single" w:sz="11" w:space="0" w:color="000000"/>
              <w:right w:val="nil"/>
            </w:tcBorders>
            <w:shd w:val="clear" w:color="auto" w:fill="FFFFFF"/>
            <w:tcMar>
              <w:left w:w="67" w:type="dxa"/>
              <w:right w:w="67" w:type="dxa"/>
            </w:tcMar>
          </w:tcPr>
          <w:p w14:paraId="57C8096D" w14:textId="77777777" w:rsidR="00B77EA3" w:rsidRPr="0082484A" w:rsidRDefault="00B77EA3" w:rsidP="00B77EA3">
            <w:pPr>
              <w:spacing w:before="0" w:line="240" w:lineRule="auto"/>
              <w:contextualSpacing/>
              <w:rPr>
                <w:sz w:val="22"/>
                <w:szCs w:val="22"/>
              </w:rPr>
            </w:pPr>
            <w:r w:rsidRPr="0082484A">
              <w:rPr>
                <w:sz w:val="22"/>
                <w:szCs w:val="22"/>
              </w:rPr>
              <w:t>4 (20.00%)</w:t>
            </w:r>
          </w:p>
        </w:tc>
        <w:tc>
          <w:tcPr>
            <w:tcW w:w="1247" w:type="dxa"/>
            <w:tcBorders>
              <w:top w:val="nil"/>
              <w:left w:val="nil"/>
              <w:bottom w:val="single" w:sz="11" w:space="0" w:color="000000"/>
              <w:right w:val="single" w:sz="11" w:space="0" w:color="000000"/>
            </w:tcBorders>
            <w:shd w:val="clear" w:color="auto" w:fill="FFFFFF"/>
            <w:tcMar>
              <w:left w:w="67" w:type="dxa"/>
              <w:right w:w="67" w:type="dxa"/>
            </w:tcMar>
          </w:tcPr>
          <w:p w14:paraId="301E7B1B" w14:textId="77777777" w:rsidR="00B77EA3" w:rsidRPr="0082484A" w:rsidRDefault="00B77EA3" w:rsidP="00B77EA3">
            <w:pPr>
              <w:spacing w:before="0" w:line="240" w:lineRule="auto"/>
              <w:contextualSpacing/>
              <w:rPr>
                <w:sz w:val="22"/>
                <w:szCs w:val="22"/>
              </w:rPr>
            </w:pPr>
            <w:r w:rsidRPr="0082484A">
              <w:rPr>
                <w:sz w:val="22"/>
                <w:szCs w:val="22"/>
              </w:rPr>
              <w:t>20 (100%)</w:t>
            </w:r>
          </w:p>
          <w:p w14:paraId="1C6592DA" w14:textId="77777777" w:rsidR="00B77EA3" w:rsidRPr="0082484A" w:rsidRDefault="00B77EA3" w:rsidP="00B77EA3">
            <w:pPr>
              <w:spacing w:before="0" w:line="240" w:lineRule="auto"/>
              <w:contextualSpacing/>
              <w:rPr>
                <w:sz w:val="22"/>
                <w:szCs w:val="22"/>
              </w:rPr>
            </w:pPr>
          </w:p>
        </w:tc>
      </w:tr>
    </w:tbl>
    <w:p w14:paraId="6F94E3D5" w14:textId="77777777" w:rsidR="00B77EA3" w:rsidRPr="0082484A" w:rsidRDefault="00B77EA3" w:rsidP="00B77EA3">
      <w:pPr>
        <w:spacing w:before="0" w:line="240" w:lineRule="auto"/>
        <w:contextualSpacing/>
        <w:rPr>
          <w:sz w:val="22"/>
          <w:szCs w:val="22"/>
        </w:rPr>
      </w:pPr>
      <w:r w:rsidRPr="0082484A">
        <w:rPr>
          <w:sz w:val="22"/>
          <w:szCs w:val="22"/>
          <w:vertAlign w:val="superscript"/>
        </w:rPr>
        <w:t>a</w:t>
      </w:r>
      <w:r w:rsidRPr="0082484A">
        <w:rPr>
          <w:sz w:val="22"/>
          <w:szCs w:val="22"/>
        </w:rPr>
        <w:t xml:space="preserve"> A concurrent externally run trial aimed at improving achievement against Atrial Fibrillation guidelines was ongoing in the Bradford Districts CCG at the time of randomisation. Therefore these practices were prohibited from entry into Trial 2.</w:t>
      </w:r>
    </w:p>
    <w:p w14:paraId="39472710" w14:textId="77777777" w:rsidR="006309F7" w:rsidRPr="0082484A" w:rsidRDefault="006309F7" w:rsidP="00B77EA3">
      <w:pPr>
        <w:spacing w:before="0" w:line="240" w:lineRule="auto"/>
        <w:rPr>
          <w:color w:val="FF0000"/>
          <w:sz w:val="22"/>
          <w:szCs w:val="22"/>
        </w:rPr>
        <w:sectPr w:rsidR="006309F7" w:rsidRPr="0082484A" w:rsidSect="009A3C2D">
          <w:pgSz w:w="11906" w:h="16838"/>
          <w:pgMar w:top="1440" w:right="1440" w:bottom="1440" w:left="1440" w:header="708" w:footer="708" w:gutter="0"/>
          <w:cols w:space="708"/>
          <w:docGrid w:linePitch="360"/>
        </w:sectPr>
      </w:pPr>
    </w:p>
    <w:p w14:paraId="06C02351" w14:textId="0886698A" w:rsidR="00B77EA3" w:rsidRPr="0082484A" w:rsidRDefault="00B77EA3" w:rsidP="00B77EA3">
      <w:pPr>
        <w:spacing w:before="0" w:line="240" w:lineRule="auto"/>
        <w:rPr>
          <w:sz w:val="22"/>
          <w:szCs w:val="22"/>
        </w:rPr>
      </w:pPr>
      <w:bookmarkStart w:id="28" w:name="_Ref501103489"/>
      <w:bookmarkStart w:id="29" w:name="_Toc483484175"/>
      <w:bookmarkStart w:id="30" w:name="_Toc8728076"/>
      <w:bookmarkStart w:id="31" w:name="_Toc19526737"/>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8</w:t>
      </w:r>
      <w:r w:rsidRPr="0082484A">
        <w:rPr>
          <w:bCs/>
          <w:noProof/>
          <w:sz w:val="22"/>
          <w:szCs w:val="22"/>
        </w:rPr>
        <w:fldChar w:fldCharType="end"/>
      </w:r>
      <w:bookmarkEnd w:id="28"/>
      <w:r w:rsidRPr="0082484A">
        <w:rPr>
          <w:bCs/>
          <w:noProof/>
          <w:sz w:val="22"/>
          <w:szCs w:val="22"/>
        </w:rPr>
        <w:t>:</w:t>
      </w:r>
      <w:r w:rsidRPr="0082484A">
        <w:rPr>
          <w:bCs/>
          <w:sz w:val="22"/>
          <w:szCs w:val="22"/>
        </w:rPr>
        <w:t xml:space="preserve"> Cluster-randomised evaluation: general practice characteristics </w:t>
      </w:r>
      <w:r w:rsidR="00DB0F0B" w:rsidRPr="0082484A">
        <w:rPr>
          <w:bCs/>
          <w:sz w:val="22"/>
          <w:szCs w:val="22"/>
        </w:rPr>
        <w:t xml:space="preserve">at baseline </w:t>
      </w:r>
      <w:r w:rsidRPr="0082484A">
        <w:rPr>
          <w:bCs/>
          <w:sz w:val="22"/>
          <w:szCs w:val="22"/>
        </w:rPr>
        <w:t>by trial (WP4a)</w:t>
      </w:r>
      <w:bookmarkEnd w:id="29"/>
      <w:bookmarkEnd w:id="30"/>
      <w:bookmarkEnd w:id="31"/>
    </w:p>
    <w:tbl>
      <w:tblPr>
        <w:tblpPr w:leftFromText="180" w:rightFromText="180" w:horzAnchor="margin" w:tblpXSpec="center" w:tblpY="405"/>
        <w:tblW w:w="10205" w:type="dxa"/>
        <w:tblLayout w:type="fixed"/>
        <w:tblCellMar>
          <w:left w:w="0" w:type="dxa"/>
          <w:right w:w="0" w:type="dxa"/>
        </w:tblCellMar>
        <w:tblLook w:val="0000" w:firstRow="0" w:lastRow="0" w:firstColumn="0" w:lastColumn="0" w:noHBand="0" w:noVBand="0"/>
      </w:tblPr>
      <w:tblGrid>
        <w:gridCol w:w="1701"/>
        <w:gridCol w:w="2126"/>
        <w:gridCol w:w="2264"/>
        <w:gridCol w:w="1988"/>
        <w:gridCol w:w="2126"/>
      </w:tblGrid>
      <w:tr w:rsidR="00B77EA3" w:rsidRPr="0082484A" w14:paraId="744DC9B8" w14:textId="77777777" w:rsidTr="0082484A">
        <w:trPr>
          <w:cantSplit/>
          <w:tblHeader/>
        </w:trPr>
        <w:tc>
          <w:tcPr>
            <w:tcW w:w="1701" w:type="dxa"/>
            <w:tcBorders>
              <w:top w:val="single" w:sz="4" w:space="0" w:color="auto"/>
              <w:left w:val="single" w:sz="4" w:space="0" w:color="auto"/>
              <w:bottom w:val="single" w:sz="4" w:space="0" w:color="000000"/>
              <w:right w:val="nil"/>
            </w:tcBorders>
            <w:shd w:val="clear" w:color="auto" w:fill="FFFFFF"/>
            <w:tcMar>
              <w:left w:w="67" w:type="dxa"/>
              <w:right w:w="67" w:type="dxa"/>
            </w:tcMar>
            <w:vAlign w:val="bottom"/>
          </w:tcPr>
          <w:p w14:paraId="14177EB2" w14:textId="77777777" w:rsidR="00B77EA3" w:rsidRPr="0082484A" w:rsidRDefault="00B77EA3" w:rsidP="006309F7">
            <w:pPr>
              <w:spacing w:before="0" w:line="240" w:lineRule="auto"/>
              <w:contextualSpacing/>
              <w:rPr>
                <w:bCs/>
                <w:sz w:val="22"/>
                <w:szCs w:val="22"/>
              </w:rPr>
            </w:pPr>
          </w:p>
        </w:tc>
        <w:tc>
          <w:tcPr>
            <w:tcW w:w="2126" w:type="dxa"/>
            <w:tcBorders>
              <w:top w:val="single" w:sz="4" w:space="0" w:color="auto"/>
              <w:left w:val="nil"/>
              <w:bottom w:val="single" w:sz="4" w:space="0" w:color="000000"/>
              <w:right w:val="nil"/>
            </w:tcBorders>
            <w:shd w:val="clear" w:color="auto" w:fill="FFFFFF"/>
            <w:tcMar>
              <w:left w:w="67" w:type="dxa"/>
              <w:right w:w="67" w:type="dxa"/>
            </w:tcMar>
            <w:vAlign w:val="bottom"/>
          </w:tcPr>
          <w:p w14:paraId="646422D7" w14:textId="77777777" w:rsidR="00B77EA3" w:rsidRPr="0082484A" w:rsidRDefault="00B77EA3" w:rsidP="006309F7">
            <w:pPr>
              <w:spacing w:before="0" w:line="240" w:lineRule="auto"/>
              <w:contextualSpacing/>
              <w:rPr>
                <w:bCs/>
                <w:sz w:val="22"/>
                <w:szCs w:val="22"/>
              </w:rPr>
            </w:pPr>
            <w:r w:rsidRPr="0082484A">
              <w:rPr>
                <w:bCs/>
                <w:sz w:val="22"/>
                <w:szCs w:val="22"/>
              </w:rPr>
              <w:t>Trial 1 (n=80)</w:t>
            </w:r>
          </w:p>
        </w:tc>
        <w:tc>
          <w:tcPr>
            <w:tcW w:w="2264" w:type="dxa"/>
            <w:tcBorders>
              <w:top w:val="single" w:sz="4" w:space="0" w:color="auto"/>
              <w:left w:val="nil"/>
              <w:bottom w:val="single" w:sz="4" w:space="0" w:color="000000"/>
              <w:right w:val="nil"/>
            </w:tcBorders>
            <w:shd w:val="clear" w:color="auto" w:fill="FFFFFF"/>
            <w:tcMar>
              <w:left w:w="67" w:type="dxa"/>
              <w:right w:w="67" w:type="dxa"/>
            </w:tcMar>
            <w:vAlign w:val="bottom"/>
          </w:tcPr>
          <w:p w14:paraId="70998A70" w14:textId="77777777" w:rsidR="00B77EA3" w:rsidRPr="0082484A" w:rsidRDefault="00B77EA3" w:rsidP="006309F7">
            <w:pPr>
              <w:spacing w:before="0" w:line="240" w:lineRule="auto"/>
              <w:contextualSpacing/>
              <w:rPr>
                <w:bCs/>
                <w:sz w:val="22"/>
                <w:szCs w:val="22"/>
              </w:rPr>
            </w:pPr>
            <w:r w:rsidRPr="0082484A">
              <w:rPr>
                <w:bCs/>
                <w:sz w:val="22"/>
                <w:szCs w:val="22"/>
              </w:rPr>
              <w:t>Trial 2 (n=64)</w:t>
            </w:r>
          </w:p>
        </w:tc>
        <w:tc>
          <w:tcPr>
            <w:tcW w:w="1988" w:type="dxa"/>
            <w:tcBorders>
              <w:top w:val="single" w:sz="4" w:space="0" w:color="auto"/>
              <w:left w:val="nil"/>
              <w:bottom w:val="single" w:sz="4" w:space="0" w:color="000000"/>
              <w:right w:val="nil"/>
            </w:tcBorders>
            <w:shd w:val="clear" w:color="auto" w:fill="FFFFFF"/>
            <w:tcMar>
              <w:left w:w="67" w:type="dxa"/>
              <w:right w:w="67" w:type="dxa"/>
            </w:tcMar>
            <w:vAlign w:val="bottom"/>
          </w:tcPr>
          <w:p w14:paraId="4D60DFF3" w14:textId="77777777" w:rsidR="00B77EA3" w:rsidRPr="0082484A" w:rsidRDefault="00B77EA3" w:rsidP="006309F7">
            <w:pPr>
              <w:spacing w:before="0" w:line="240" w:lineRule="auto"/>
              <w:contextualSpacing/>
              <w:rPr>
                <w:bCs/>
                <w:sz w:val="22"/>
                <w:szCs w:val="22"/>
              </w:rPr>
            </w:pPr>
            <w:r w:rsidRPr="0082484A">
              <w:rPr>
                <w:bCs/>
                <w:sz w:val="22"/>
                <w:szCs w:val="22"/>
              </w:rPr>
              <w:t>No Intervention (n=34)</w:t>
            </w:r>
          </w:p>
        </w:tc>
        <w:tc>
          <w:tcPr>
            <w:tcW w:w="2126" w:type="dxa"/>
            <w:tcBorders>
              <w:top w:val="single" w:sz="4" w:space="0" w:color="auto"/>
              <w:left w:val="nil"/>
              <w:bottom w:val="single" w:sz="4" w:space="0" w:color="000000"/>
              <w:right w:val="single" w:sz="4" w:space="0" w:color="auto"/>
            </w:tcBorders>
            <w:shd w:val="clear" w:color="auto" w:fill="FFFFFF"/>
            <w:tcMar>
              <w:left w:w="67" w:type="dxa"/>
              <w:right w:w="67" w:type="dxa"/>
            </w:tcMar>
            <w:vAlign w:val="bottom"/>
          </w:tcPr>
          <w:p w14:paraId="187C5176" w14:textId="77777777" w:rsidR="00B77EA3" w:rsidRPr="0082484A" w:rsidRDefault="00B77EA3" w:rsidP="006309F7">
            <w:pPr>
              <w:spacing w:before="0" w:line="240" w:lineRule="auto"/>
              <w:contextualSpacing/>
              <w:rPr>
                <w:bCs/>
                <w:sz w:val="22"/>
                <w:szCs w:val="22"/>
              </w:rPr>
            </w:pPr>
            <w:r w:rsidRPr="0082484A">
              <w:rPr>
                <w:bCs/>
                <w:sz w:val="22"/>
                <w:szCs w:val="22"/>
              </w:rPr>
              <w:t>Total (n=178)</w:t>
            </w:r>
          </w:p>
        </w:tc>
      </w:tr>
      <w:tr w:rsidR="00B77EA3" w:rsidRPr="0082484A" w14:paraId="102B337F"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67409E57" w14:textId="77777777" w:rsidR="00B77EA3" w:rsidRPr="0082484A" w:rsidRDefault="00B77EA3" w:rsidP="006309F7">
            <w:pPr>
              <w:spacing w:before="0" w:line="240" w:lineRule="auto"/>
              <w:contextualSpacing/>
              <w:rPr>
                <w:bCs/>
                <w:sz w:val="22"/>
                <w:szCs w:val="22"/>
              </w:rPr>
            </w:pPr>
            <w:r w:rsidRPr="0082484A">
              <w:rPr>
                <w:bCs/>
                <w:sz w:val="22"/>
                <w:szCs w:val="22"/>
              </w:rPr>
              <w:t>List Size</w:t>
            </w:r>
          </w:p>
        </w:tc>
        <w:tc>
          <w:tcPr>
            <w:tcW w:w="2126" w:type="dxa"/>
            <w:tcBorders>
              <w:top w:val="nil"/>
              <w:left w:val="nil"/>
              <w:bottom w:val="nil"/>
              <w:right w:val="nil"/>
            </w:tcBorders>
            <w:shd w:val="clear" w:color="auto" w:fill="FFFFFF"/>
            <w:tcMar>
              <w:left w:w="67" w:type="dxa"/>
              <w:right w:w="67" w:type="dxa"/>
            </w:tcMar>
          </w:tcPr>
          <w:p w14:paraId="35074B3E"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73DE68FB"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366E4EC2"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40D03FC5" w14:textId="77777777" w:rsidR="00B77EA3" w:rsidRPr="0082484A" w:rsidRDefault="00B77EA3" w:rsidP="006309F7">
            <w:pPr>
              <w:spacing w:before="0" w:line="240" w:lineRule="auto"/>
              <w:contextualSpacing/>
              <w:rPr>
                <w:sz w:val="22"/>
                <w:szCs w:val="22"/>
              </w:rPr>
            </w:pPr>
          </w:p>
        </w:tc>
      </w:tr>
      <w:tr w:rsidR="00B77EA3" w:rsidRPr="0082484A" w14:paraId="18E7A5AB"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64635B30"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52AE284A" w14:textId="77777777" w:rsidR="00B77EA3" w:rsidRPr="0082484A" w:rsidRDefault="00B77EA3" w:rsidP="006309F7">
            <w:pPr>
              <w:spacing w:before="0" w:line="240" w:lineRule="auto"/>
              <w:contextualSpacing/>
              <w:rPr>
                <w:sz w:val="22"/>
                <w:szCs w:val="22"/>
              </w:rPr>
            </w:pPr>
            <w:r w:rsidRPr="0082484A">
              <w:rPr>
                <w:sz w:val="22"/>
                <w:szCs w:val="22"/>
              </w:rPr>
              <w:t>7130.05 (3797.91)</w:t>
            </w:r>
          </w:p>
        </w:tc>
        <w:tc>
          <w:tcPr>
            <w:tcW w:w="2264" w:type="dxa"/>
            <w:tcBorders>
              <w:top w:val="nil"/>
              <w:left w:val="nil"/>
              <w:bottom w:val="nil"/>
              <w:right w:val="nil"/>
            </w:tcBorders>
            <w:shd w:val="clear" w:color="auto" w:fill="FFFFFF"/>
            <w:tcMar>
              <w:left w:w="67" w:type="dxa"/>
              <w:right w:w="67" w:type="dxa"/>
            </w:tcMar>
          </w:tcPr>
          <w:p w14:paraId="7E4C6F47" w14:textId="77777777" w:rsidR="00B77EA3" w:rsidRPr="0082484A" w:rsidRDefault="00B77EA3" w:rsidP="006309F7">
            <w:pPr>
              <w:spacing w:before="0" w:line="240" w:lineRule="auto"/>
              <w:contextualSpacing/>
              <w:rPr>
                <w:sz w:val="22"/>
                <w:szCs w:val="22"/>
              </w:rPr>
            </w:pPr>
            <w:r w:rsidRPr="0082484A">
              <w:rPr>
                <w:sz w:val="22"/>
                <w:szCs w:val="22"/>
              </w:rPr>
              <w:t>7480.11 (4531.96)</w:t>
            </w:r>
          </w:p>
        </w:tc>
        <w:tc>
          <w:tcPr>
            <w:tcW w:w="1988" w:type="dxa"/>
            <w:tcBorders>
              <w:top w:val="nil"/>
              <w:left w:val="nil"/>
              <w:bottom w:val="nil"/>
              <w:right w:val="nil"/>
            </w:tcBorders>
            <w:shd w:val="clear" w:color="auto" w:fill="FFFFFF"/>
            <w:tcMar>
              <w:left w:w="67" w:type="dxa"/>
              <w:right w:w="67" w:type="dxa"/>
            </w:tcMar>
          </w:tcPr>
          <w:p w14:paraId="5555F32C" w14:textId="77777777" w:rsidR="00B77EA3" w:rsidRPr="0082484A" w:rsidRDefault="00B77EA3" w:rsidP="006309F7">
            <w:pPr>
              <w:spacing w:before="0" w:line="240" w:lineRule="auto"/>
              <w:contextualSpacing/>
              <w:rPr>
                <w:sz w:val="22"/>
                <w:szCs w:val="22"/>
              </w:rPr>
            </w:pPr>
            <w:r w:rsidRPr="0082484A">
              <w:rPr>
                <w:sz w:val="22"/>
                <w:szCs w:val="22"/>
              </w:rPr>
              <w:t>7097.82 (5057.86)</w:t>
            </w:r>
          </w:p>
        </w:tc>
        <w:tc>
          <w:tcPr>
            <w:tcW w:w="2126" w:type="dxa"/>
            <w:tcBorders>
              <w:top w:val="nil"/>
              <w:left w:val="nil"/>
              <w:bottom w:val="nil"/>
              <w:right w:val="single" w:sz="4" w:space="0" w:color="auto"/>
            </w:tcBorders>
            <w:shd w:val="clear" w:color="auto" w:fill="FFFFFF"/>
            <w:tcMar>
              <w:left w:w="67" w:type="dxa"/>
              <w:right w:w="67" w:type="dxa"/>
            </w:tcMar>
          </w:tcPr>
          <w:p w14:paraId="5D5ECCE7" w14:textId="77777777" w:rsidR="00B77EA3" w:rsidRPr="0082484A" w:rsidRDefault="00B77EA3" w:rsidP="006309F7">
            <w:pPr>
              <w:spacing w:before="0" w:line="240" w:lineRule="auto"/>
              <w:contextualSpacing/>
              <w:rPr>
                <w:sz w:val="22"/>
                <w:szCs w:val="22"/>
              </w:rPr>
            </w:pPr>
            <w:r w:rsidRPr="0082484A">
              <w:rPr>
                <w:sz w:val="22"/>
                <w:szCs w:val="22"/>
              </w:rPr>
              <w:t>7249.76 (4306.72)</w:t>
            </w:r>
          </w:p>
        </w:tc>
      </w:tr>
      <w:tr w:rsidR="00B77EA3" w:rsidRPr="0082484A" w14:paraId="06A77B1C"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09CB4C3E" w14:textId="77777777" w:rsidR="00B77EA3" w:rsidRPr="0082484A" w:rsidRDefault="00B77EA3" w:rsidP="006309F7">
            <w:pPr>
              <w:spacing w:before="0" w:line="240" w:lineRule="auto"/>
              <w:contextualSpacing/>
              <w:rPr>
                <w:sz w:val="22"/>
                <w:szCs w:val="22"/>
              </w:rPr>
            </w:pPr>
            <w:r w:rsidRPr="0082484A">
              <w:rPr>
                <w:sz w:val="22"/>
                <w:szCs w:val="22"/>
              </w:rPr>
              <w:t>Median (Range)</w:t>
            </w:r>
          </w:p>
        </w:tc>
        <w:tc>
          <w:tcPr>
            <w:tcW w:w="2126" w:type="dxa"/>
            <w:tcBorders>
              <w:top w:val="nil"/>
              <w:left w:val="nil"/>
              <w:bottom w:val="nil"/>
              <w:right w:val="nil"/>
            </w:tcBorders>
            <w:shd w:val="clear" w:color="auto" w:fill="FFFFFF"/>
            <w:tcMar>
              <w:left w:w="67" w:type="dxa"/>
              <w:right w:w="67" w:type="dxa"/>
            </w:tcMar>
          </w:tcPr>
          <w:p w14:paraId="5738A610" w14:textId="77777777" w:rsidR="00B77EA3" w:rsidRPr="0082484A" w:rsidRDefault="00B77EA3" w:rsidP="006309F7">
            <w:pPr>
              <w:spacing w:before="0" w:line="240" w:lineRule="auto"/>
              <w:contextualSpacing/>
              <w:rPr>
                <w:sz w:val="22"/>
                <w:szCs w:val="22"/>
              </w:rPr>
            </w:pPr>
            <w:r w:rsidRPr="0082484A">
              <w:rPr>
                <w:sz w:val="22"/>
                <w:szCs w:val="22"/>
              </w:rPr>
              <w:t>6764.50 (1433.00, 14822.00)</w:t>
            </w:r>
          </w:p>
        </w:tc>
        <w:tc>
          <w:tcPr>
            <w:tcW w:w="2264" w:type="dxa"/>
            <w:tcBorders>
              <w:top w:val="nil"/>
              <w:left w:val="nil"/>
              <w:bottom w:val="nil"/>
              <w:right w:val="nil"/>
            </w:tcBorders>
            <w:shd w:val="clear" w:color="auto" w:fill="FFFFFF"/>
            <w:tcMar>
              <w:left w:w="67" w:type="dxa"/>
              <w:right w:w="67" w:type="dxa"/>
            </w:tcMar>
          </w:tcPr>
          <w:p w14:paraId="33478EDA" w14:textId="77777777" w:rsidR="00B77EA3" w:rsidRPr="0082484A" w:rsidRDefault="00B77EA3" w:rsidP="006309F7">
            <w:pPr>
              <w:spacing w:before="0" w:line="240" w:lineRule="auto"/>
              <w:contextualSpacing/>
              <w:rPr>
                <w:sz w:val="22"/>
                <w:szCs w:val="22"/>
              </w:rPr>
            </w:pPr>
            <w:r w:rsidRPr="0082484A">
              <w:rPr>
                <w:sz w:val="22"/>
                <w:szCs w:val="22"/>
              </w:rPr>
              <w:t>6500.50 (1268.00, 18891.00)</w:t>
            </w:r>
          </w:p>
        </w:tc>
        <w:tc>
          <w:tcPr>
            <w:tcW w:w="1988" w:type="dxa"/>
            <w:tcBorders>
              <w:top w:val="nil"/>
              <w:left w:val="nil"/>
              <w:bottom w:val="nil"/>
              <w:right w:val="nil"/>
            </w:tcBorders>
            <w:shd w:val="clear" w:color="auto" w:fill="FFFFFF"/>
            <w:tcMar>
              <w:left w:w="67" w:type="dxa"/>
              <w:right w:w="67" w:type="dxa"/>
            </w:tcMar>
          </w:tcPr>
          <w:p w14:paraId="5B400F45" w14:textId="77777777" w:rsidR="00B77EA3" w:rsidRPr="0082484A" w:rsidRDefault="00B77EA3" w:rsidP="006309F7">
            <w:pPr>
              <w:spacing w:before="0" w:line="240" w:lineRule="auto"/>
              <w:contextualSpacing/>
              <w:rPr>
                <w:sz w:val="22"/>
                <w:szCs w:val="22"/>
              </w:rPr>
            </w:pPr>
            <w:r w:rsidRPr="0082484A">
              <w:rPr>
                <w:sz w:val="22"/>
                <w:szCs w:val="22"/>
              </w:rPr>
              <w:t>6074.50 (1723.00, 25495.00)</w:t>
            </w:r>
          </w:p>
        </w:tc>
        <w:tc>
          <w:tcPr>
            <w:tcW w:w="2126" w:type="dxa"/>
            <w:tcBorders>
              <w:top w:val="nil"/>
              <w:left w:val="nil"/>
              <w:bottom w:val="nil"/>
              <w:right w:val="single" w:sz="4" w:space="0" w:color="auto"/>
            </w:tcBorders>
            <w:shd w:val="clear" w:color="auto" w:fill="FFFFFF"/>
            <w:tcMar>
              <w:left w:w="67" w:type="dxa"/>
              <w:right w:w="67" w:type="dxa"/>
            </w:tcMar>
          </w:tcPr>
          <w:p w14:paraId="4396AE3F" w14:textId="77777777" w:rsidR="00B77EA3" w:rsidRPr="0082484A" w:rsidRDefault="00B77EA3" w:rsidP="006309F7">
            <w:pPr>
              <w:spacing w:before="0" w:line="240" w:lineRule="auto"/>
              <w:contextualSpacing/>
              <w:rPr>
                <w:sz w:val="22"/>
                <w:szCs w:val="22"/>
              </w:rPr>
            </w:pPr>
            <w:r w:rsidRPr="0082484A">
              <w:rPr>
                <w:sz w:val="22"/>
                <w:szCs w:val="22"/>
              </w:rPr>
              <w:t>6565.50 (1268.00, 25495.00)</w:t>
            </w:r>
          </w:p>
        </w:tc>
      </w:tr>
      <w:tr w:rsidR="00B77EA3" w:rsidRPr="0082484A" w14:paraId="74536ED3"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622A9AF1"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nil"/>
            </w:tcBorders>
            <w:shd w:val="clear" w:color="auto" w:fill="FFFFFF"/>
            <w:tcMar>
              <w:left w:w="67" w:type="dxa"/>
              <w:right w:w="67" w:type="dxa"/>
            </w:tcMar>
          </w:tcPr>
          <w:p w14:paraId="1786EB1E" w14:textId="77777777" w:rsidR="00B77EA3" w:rsidRPr="0082484A" w:rsidRDefault="00B77EA3" w:rsidP="006309F7">
            <w:pPr>
              <w:spacing w:before="0" w:line="240" w:lineRule="auto"/>
              <w:contextualSpacing/>
              <w:rPr>
                <w:color w:val="FF0000"/>
                <w:sz w:val="22"/>
                <w:szCs w:val="22"/>
              </w:rPr>
            </w:pPr>
          </w:p>
        </w:tc>
        <w:tc>
          <w:tcPr>
            <w:tcW w:w="2264" w:type="dxa"/>
            <w:tcBorders>
              <w:top w:val="nil"/>
              <w:left w:val="nil"/>
              <w:bottom w:val="nil"/>
              <w:right w:val="nil"/>
            </w:tcBorders>
            <w:shd w:val="clear" w:color="auto" w:fill="FFFFFF"/>
            <w:tcMar>
              <w:left w:w="67" w:type="dxa"/>
              <w:right w:w="67" w:type="dxa"/>
            </w:tcMar>
          </w:tcPr>
          <w:p w14:paraId="2DF69007" w14:textId="77777777" w:rsidR="00B77EA3" w:rsidRPr="0082484A" w:rsidRDefault="00B77EA3" w:rsidP="006309F7">
            <w:pPr>
              <w:spacing w:before="0" w:line="240" w:lineRule="auto"/>
              <w:contextualSpacing/>
              <w:rPr>
                <w:color w:val="FF0000"/>
                <w:sz w:val="22"/>
                <w:szCs w:val="22"/>
              </w:rPr>
            </w:pPr>
          </w:p>
        </w:tc>
        <w:tc>
          <w:tcPr>
            <w:tcW w:w="1988" w:type="dxa"/>
            <w:tcBorders>
              <w:top w:val="nil"/>
              <w:left w:val="nil"/>
              <w:bottom w:val="nil"/>
              <w:right w:val="nil"/>
            </w:tcBorders>
            <w:shd w:val="clear" w:color="auto" w:fill="FFFFFF"/>
            <w:tcMar>
              <w:left w:w="67" w:type="dxa"/>
              <w:right w:w="67" w:type="dxa"/>
            </w:tcMar>
          </w:tcPr>
          <w:p w14:paraId="670023DF"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0B6D1F38" w14:textId="77777777" w:rsidR="00B77EA3" w:rsidRPr="0082484A" w:rsidRDefault="00B77EA3" w:rsidP="006309F7">
            <w:pPr>
              <w:spacing w:before="0" w:line="240" w:lineRule="auto"/>
              <w:contextualSpacing/>
              <w:rPr>
                <w:color w:val="FF0000"/>
                <w:sz w:val="22"/>
                <w:szCs w:val="22"/>
              </w:rPr>
            </w:pPr>
          </w:p>
        </w:tc>
      </w:tr>
      <w:tr w:rsidR="00B77EA3" w:rsidRPr="0082484A" w14:paraId="2E20C784"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3FCF796E" w14:textId="77777777" w:rsidR="00B77EA3" w:rsidRPr="0082484A" w:rsidRDefault="00B77EA3" w:rsidP="006309F7">
            <w:pPr>
              <w:spacing w:before="0" w:line="240" w:lineRule="auto"/>
              <w:contextualSpacing/>
              <w:rPr>
                <w:sz w:val="22"/>
                <w:szCs w:val="22"/>
              </w:rPr>
            </w:pPr>
            <w:r w:rsidRPr="0082484A">
              <w:rPr>
                <w:bCs/>
                <w:sz w:val="22"/>
                <w:szCs w:val="22"/>
              </w:rPr>
              <w:t>Overall QOF score</w:t>
            </w:r>
            <w:r w:rsidRPr="0082484A">
              <w:rPr>
                <w:bCs/>
                <w:sz w:val="22"/>
                <w:szCs w:val="22"/>
                <w:vertAlign w:val="superscript"/>
              </w:rPr>
              <w:t>a</w:t>
            </w:r>
          </w:p>
        </w:tc>
        <w:tc>
          <w:tcPr>
            <w:tcW w:w="2126" w:type="dxa"/>
            <w:tcBorders>
              <w:top w:val="nil"/>
              <w:left w:val="nil"/>
              <w:bottom w:val="nil"/>
              <w:right w:val="nil"/>
            </w:tcBorders>
            <w:shd w:val="clear" w:color="auto" w:fill="FFFFFF"/>
            <w:tcMar>
              <w:left w:w="67" w:type="dxa"/>
              <w:right w:w="67" w:type="dxa"/>
            </w:tcMar>
          </w:tcPr>
          <w:p w14:paraId="157256A4"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5E7297B6"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6D32FB8E"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57E959A4" w14:textId="77777777" w:rsidR="00B77EA3" w:rsidRPr="0082484A" w:rsidRDefault="00B77EA3" w:rsidP="006309F7">
            <w:pPr>
              <w:spacing w:before="0" w:line="240" w:lineRule="auto"/>
              <w:contextualSpacing/>
              <w:rPr>
                <w:sz w:val="22"/>
                <w:szCs w:val="22"/>
              </w:rPr>
            </w:pPr>
          </w:p>
        </w:tc>
      </w:tr>
      <w:tr w:rsidR="00B77EA3" w:rsidRPr="0082484A" w14:paraId="4219DF12"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3A92CBC0"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2C9F5274" w14:textId="77777777" w:rsidR="00B77EA3" w:rsidRPr="0082484A" w:rsidRDefault="00B77EA3" w:rsidP="006309F7">
            <w:pPr>
              <w:spacing w:before="0" w:line="240" w:lineRule="auto"/>
              <w:contextualSpacing/>
              <w:rPr>
                <w:sz w:val="22"/>
                <w:szCs w:val="22"/>
              </w:rPr>
            </w:pPr>
            <w:r w:rsidRPr="0082484A">
              <w:rPr>
                <w:sz w:val="22"/>
                <w:szCs w:val="22"/>
              </w:rPr>
              <w:t>533.23 (32.85)</w:t>
            </w:r>
          </w:p>
        </w:tc>
        <w:tc>
          <w:tcPr>
            <w:tcW w:w="2264" w:type="dxa"/>
            <w:tcBorders>
              <w:top w:val="nil"/>
              <w:left w:val="nil"/>
              <w:bottom w:val="nil"/>
              <w:right w:val="nil"/>
            </w:tcBorders>
            <w:shd w:val="clear" w:color="auto" w:fill="FFFFFF"/>
            <w:tcMar>
              <w:left w:w="67" w:type="dxa"/>
              <w:right w:w="67" w:type="dxa"/>
            </w:tcMar>
          </w:tcPr>
          <w:p w14:paraId="772AED7A" w14:textId="77777777" w:rsidR="00B77EA3" w:rsidRPr="0082484A" w:rsidRDefault="00B77EA3" w:rsidP="006309F7">
            <w:pPr>
              <w:spacing w:before="0" w:line="240" w:lineRule="auto"/>
              <w:contextualSpacing/>
              <w:rPr>
                <w:sz w:val="22"/>
                <w:szCs w:val="22"/>
              </w:rPr>
            </w:pPr>
            <w:r w:rsidRPr="0082484A">
              <w:rPr>
                <w:sz w:val="22"/>
                <w:szCs w:val="22"/>
              </w:rPr>
              <w:t>530.13 (24.46)</w:t>
            </w:r>
          </w:p>
        </w:tc>
        <w:tc>
          <w:tcPr>
            <w:tcW w:w="1988" w:type="dxa"/>
            <w:tcBorders>
              <w:top w:val="nil"/>
              <w:left w:val="nil"/>
              <w:bottom w:val="nil"/>
              <w:right w:val="nil"/>
            </w:tcBorders>
            <w:shd w:val="clear" w:color="auto" w:fill="FFFFFF"/>
            <w:tcMar>
              <w:left w:w="67" w:type="dxa"/>
              <w:right w:w="67" w:type="dxa"/>
            </w:tcMar>
          </w:tcPr>
          <w:p w14:paraId="44E54A25" w14:textId="77777777" w:rsidR="00B77EA3" w:rsidRPr="0082484A" w:rsidRDefault="00B77EA3" w:rsidP="006309F7">
            <w:pPr>
              <w:spacing w:before="0" w:line="240" w:lineRule="auto"/>
              <w:contextualSpacing/>
              <w:rPr>
                <w:sz w:val="22"/>
                <w:szCs w:val="22"/>
              </w:rPr>
            </w:pPr>
            <w:r w:rsidRPr="0082484A">
              <w:rPr>
                <w:sz w:val="22"/>
                <w:szCs w:val="22"/>
              </w:rPr>
              <w:t>527.92 (40.34)</w:t>
            </w:r>
          </w:p>
        </w:tc>
        <w:tc>
          <w:tcPr>
            <w:tcW w:w="2126" w:type="dxa"/>
            <w:tcBorders>
              <w:top w:val="nil"/>
              <w:left w:val="nil"/>
              <w:bottom w:val="nil"/>
              <w:right w:val="single" w:sz="4" w:space="0" w:color="auto"/>
            </w:tcBorders>
            <w:shd w:val="clear" w:color="auto" w:fill="FFFFFF"/>
            <w:tcMar>
              <w:left w:w="67" w:type="dxa"/>
              <w:right w:w="67" w:type="dxa"/>
            </w:tcMar>
          </w:tcPr>
          <w:p w14:paraId="2B5A4BC7" w14:textId="77777777" w:rsidR="00B77EA3" w:rsidRPr="0082484A" w:rsidRDefault="00B77EA3" w:rsidP="006309F7">
            <w:pPr>
              <w:spacing w:before="0" w:line="240" w:lineRule="auto"/>
              <w:contextualSpacing/>
              <w:rPr>
                <w:sz w:val="22"/>
                <w:szCs w:val="22"/>
              </w:rPr>
            </w:pPr>
            <w:r w:rsidRPr="0082484A">
              <w:rPr>
                <w:sz w:val="22"/>
                <w:szCs w:val="22"/>
              </w:rPr>
              <w:t>531.11 (31.70)</w:t>
            </w:r>
          </w:p>
        </w:tc>
      </w:tr>
      <w:tr w:rsidR="00B77EA3" w:rsidRPr="0082484A" w14:paraId="0803C5C7"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758F7DD8" w14:textId="77777777" w:rsidR="00B77EA3" w:rsidRPr="0082484A" w:rsidRDefault="00B77EA3" w:rsidP="006309F7">
            <w:pPr>
              <w:spacing w:before="0" w:line="240" w:lineRule="auto"/>
              <w:contextualSpacing/>
              <w:rPr>
                <w:sz w:val="22"/>
                <w:szCs w:val="22"/>
              </w:rPr>
            </w:pPr>
            <w:r w:rsidRPr="0082484A">
              <w:rPr>
                <w:sz w:val="22"/>
                <w:szCs w:val="22"/>
              </w:rPr>
              <w:t>Median (Range)</w:t>
            </w:r>
          </w:p>
        </w:tc>
        <w:tc>
          <w:tcPr>
            <w:tcW w:w="2126" w:type="dxa"/>
            <w:tcBorders>
              <w:top w:val="nil"/>
              <w:left w:val="nil"/>
              <w:bottom w:val="nil"/>
              <w:right w:val="nil"/>
            </w:tcBorders>
            <w:shd w:val="clear" w:color="auto" w:fill="FFFFFF"/>
            <w:tcMar>
              <w:left w:w="67" w:type="dxa"/>
              <w:right w:w="67" w:type="dxa"/>
            </w:tcMar>
          </w:tcPr>
          <w:p w14:paraId="1CDBAC2D" w14:textId="77777777" w:rsidR="00B77EA3" w:rsidRPr="0082484A" w:rsidRDefault="00B77EA3" w:rsidP="006309F7">
            <w:pPr>
              <w:spacing w:before="0" w:line="240" w:lineRule="auto"/>
              <w:contextualSpacing/>
              <w:rPr>
                <w:sz w:val="22"/>
                <w:szCs w:val="22"/>
              </w:rPr>
            </w:pPr>
            <w:r w:rsidRPr="0082484A">
              <w:rPr>
                <w:sz w:val="22"/>
                <w:szCs w:val="22"/>
              </w:rPr>
              <w:t>542.19 (387.44, 559.00)</w:t>
            </w:r>
          </w:p>
        </w:tc>
        <w:tc>
          <w:tcPr>
            <w:tcW w:w="2264" w:type="dxa"/>
            <w:tcBorders>
              <w:top w:val="nil"/>
              <w:left w:val="nil"/>
              <w:bottom w:val="nil"/>
              <w:right w:val="nil"/>
            </w:tcBorders>
            <w:shd w:val="clear" w:color="auto" w:fill="FFFFFF"/>
            <w:tcMar>
              <w:left w:w="67" w:type="dxa"/>
              <w:right w:w="67" w:type="dxa"/>
            </w:tcMar>
          </w:tcPr>
          <w:p w14:paraId="3268F29F" w14:textId="77777777" w:rsidR="00B77EA3" w:rsidRPr="0082484A" w:rsidRDefault="00B77EA3" w:rsidP="006309F7">
            <w:pPr>
              <w:spacing w:before="0" w:line="240" w:lineRule="auto"/>
              <w:contextualSpacing/>
              <w:rPr>
                <w:sz w:val="22"/>
                <w:szCs w:val="22"/>
              </w:rPr>
            </w:pPr>
            <w:r w:rsidRPr="0082484A">
              <w:rPr>
                <w:sz w:val="22"/>
                <w:szCs w:val="22"/>
              </w:rPr>
              <w:t>537.28 (447.18, 559.00)</w:t>
            </w:r>
          </w:p>
        </w:tc>
        <w:tc>
          <w:tcPr>
            <w:tcW w:w="1988" w:type="dxa"/>
            <w:tcBorders>
              <w:top w:val="nil"/>
              <w:left w:val="nil"/>
              <w:bottom w:val="nil"/>
              <w:right w:val="nil"/>
            </w:tcBorders>
            <w:shd w:val="clear" w:color="auto" w:fill="FFFFFF"/>
            <w:tcMar>
              <w:left w:w="67" w:type="dxa"/>
              <w:right w:w="67" w:type="dxa"/>
            </w:tcMar>
          </w:tcPr>
          <w:p w14:paraId="7F30810B" w14:textId="77777777" w:rsidR="00B77EA3" w:rsidRPr="0082484A" w:rsidRDefault="00B77EA3" w:rsidP="006309F7">
            <w:pPr>
              <w:spacing w:before="0" w:line="240" w:lineRule="auto"/>
              <w:contextualSpacing/>
              <w:rPr>
                <w:sz w:val="22"/>
                <w:szCs w:val="22"/>
              </w:rPr>
            </w:pPr>
            <w:r w:rsidRPr="0082484A">
              <w:rPr>
                <w:sz w:val="22"/>
                <w:szCs w:val="22"/>
              </w:rPr>
              <w:t>536.58 (336.07, 559.00)</w:t>
            </w:r>
          </w:p>
        </w:tc>
        <w:tc>
          <w:tcPr>
            <w:tcW w:w="2126" w:type="dxa"/>
            <w:tcBorders>
              <w:top w:val="nil"/>
              <w:left w:val="nil"/>
              <w:bottom w:val="nil"/>
              <w:right w:val="single" w:sz="4" w:space="0" w:color="auto"/>
            </w:tcBorders>
            <w:shd w:val="clear" w:color="auto" w:fill="FFFFFF"/>
            <w:tcMar>
              <w:left w:w="67" w:type="dxa"/>
              <w:right w:w="67" w:type="dxa"/>
            </w:tcMar>
          </w:tcPr>
          <w:p w14:paraId="02D3878C" w14:textId="77777777" w:rsidR="00B77EA3" w:rsidRPr="0082484A" w:rsidRDefault="00B77EA3" w:rsidP="006309F7">
            <w:pPr>
              <w:spacing w:before="0" w:line="240" w:lineRule="auto"/>
              <w:contextualSpacing/>
              <w:rPr>
                <w:sz w:val="22"/>
                <w:szCs w:val="22"/>
              </w:rPr>
            </w:pPr>
            <w:r w:rsidRPr="0082484A">
              <w:rPr>
                <w:sz w:val="22"/>
                <w:szCs w:val="22"/>
              </w:rPr>
              <w:t>539.61 (336.07, 559.00)</w:t>
            </w:r>
          </w:p>
        </w:tc>
      </w:tr>
      <w:tr w:rsidR="00B77EA3" w:rsidRPr="0082484A" w14:paraId="473D1BB9"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13C71474"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nil"/>
            </w:tcBorders>
            <w:shd w:val="clear" w:color="auto" w:fill="FFFFFF"/>
            <w:tcMar>
              <w:left w:w="67" w:type="dxa"/>
              <w:right w:w="67" w:type="dxa"/>
            </w:tcMar>
          </w:tcPr>
          <w:p w14:paraId="5768503D" w14:textId="77777777" w:rsidR="00B77EA3" w:rsidRPr="0082484A" w:rsidRDefault="00B77EA3" w:rsidP="006309F7">
            <w:pPr>
              <w:spacing w:before="0" w:line="240" w:lineRule="auto"/>
              <w:contextualSpacing/>
              <w:rPr>
                <w:color w:val="FF0000"/>
                <w:sz w:val="22"/>
                <w:szCs w:val="22"/>
              </w:rPr>
            </w:pPr>
          </w:p>
        </w:tc>
        <w:tc>
          <w:tcPr>
            <w:tcW w:w="2264" w:type="dxa"/>
            <w:tcBorders>
              <w:top w:val="nil"/>
              <w:left w:val="nil"/>
              <w:bottom w:val="nil"/>
              <w:right w:val="nil"/>
            </w:tcBorders>
            <w:shd w:val="clear" w:color="auto" w:fill="FFFFFF"/>
            <w:tcMar>
              <w:left w:w="67" w:type="dxa"/>
              <w:right w:w="67" w:type="dxa"/>
            </w:tcMar>
          </w:tcPr>
          <w:p w14:paraId="57DB2843" w14:textId="77777777" w:rsidR="00B77EA3" w:rsidRPr="0082484A" w:rsidRDefault="00B77EA3" w:rsidP="006309F7">
            <w:pPr>
              <w:spacing w:before="0" w:line="240" w:lineRule="auto"/>
              <w:contextualSpacing/>
              <w:rPr>
                <w:color w:val="FF0000"/>
                <w:sz w:val="22"/>
                <w:szCs w:val="22"/>
              </w:rPr>
            </w:pPr>
          </w:p>
        </w:tc>
        <w:tc>
          <w:tcPr>
            <w:tcW w:w="1988" w:type="dxa"/>
            <w:tcBorders>
              <w:top w:val="nil"/>
              <w:left w:val="nil"/>
              <w:bottom w:val="nil"/>
              <w:right w:val="nil"/>
            </w:tcBorders>
            <w:shd w:val="clear" w:color="auto" w:fill="FFFFFF"/>
            <w:tcMar>
              <w:left w:w="67" w:type="dxa"/>
              <w:right w:w="67" w:type="dxa"/>
            </w:tcMar>
          </w:tcPr>
          <w:p w14:paraId="0DA46A4F"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778F159D" w14:textId="77777777" w:rsidR="00B77EA3" w:rsidRPr="0082484A" w:rsidRDefault="00B77EA3" w:rsidP="006309F7">
            <w:pPr>
              <w:spacing w:before="0" w:line="240" w:lineRule="auto"/>
              <w:contextualSpacing/>
              <w:rPr>
                <w:color w:val="FF0000"/>
                <w:sz w:val="22"/>
                <w:szCs w:val="22"/>
              </w:rPr>
            </w:pPr>
          </w:p>
        </w:tc>
      </w:tr>
      <w:tr w:rsidR="00B77EA3" w:rsidRPr="0082484A" w14:paraId="0AA52C7D"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0E5D736F" w14:textId="77777777" w:rsidR="00B77EA3" w:rsidRPr="0082484A" w:rsidRDefault="00B77EA3" w:rsidP="006309F7">
            <w:pPr>
              <w:spacing w:before="0" w:line="240" w:lineRule="auto"/>
              <w:contextualSpacing/>
              <w:rPr>
                <w:sz w:val="22"/>
                <w:szCs w:val="22"/>
              </w:rPr>
            </w:pPr>
            <w:r w:rsidRPr="0082484A">
              <w:rPr>
                <w:sz w:val="22"/>
                <w:szCs w:val="22"/>
              </w:rPr>
              <w:t>Pre-intervention achievement</w:t>
            </w:r>
          </w:p>
        </w:tc>
        <w:tc>
          <w:tcPr>
            <w:tcW w:w="2126" w:type="dxa"/>
            <w:tcBorders>
              <w:top w:val="nil"/>
              <w:left w:val="nil"/>
              <w:bottom w:val="nil"/>
              <w:right w:val="nil"/>
            </w:tcBorders>
            <w:shd w:val="clear" w:color="auto" w:fill="FFFFFF"/>
            <w:tcMar>
              <w:left w:w="67" w:type="dxa"/>
              <w:right w:w="67" w:type="dxa"/>
            </w:tcMar>
          </w:tcPr>
          <w:p w14:paraId="32221A07"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614D5AEE"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6FA634E0"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56475C1A" w14:textId="77777777" w:rsidR="00B77EA3" w:rsidRPr="0082484A" w:rsidRDefault="00B77EA3" w:rsidP="006309F7">
            <w:pPr>
              <w:spacing w:before="0" w:line="240" w:lineRule="auto"/>
              <w:contextualSpacing/>
              <w:rPr>
                <w:sz w:val="22"/>
                <w:szCs w:val="22"/>
              </w:rPr>
            </w:pPr>
          </w:p>
        </w:tc>
      </w:tr>
      <w:tr w:rsidR="00B77EA3" w:rsidRPr="0082484A" w14:paraId="46A4E50C"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7DA85F1E" w14:textId="77777777" w:rsidR="00B77EA3" w:rsidRPr="0082484A" w:rsidRDefault="00B77EA3" w:rsidP="006309F7">
            <w:pPr>
              <w:spacing w:before="0" w:line="240" w:lineRule="auto"/>
              <w:contextualSpacing/>
              <w:rPr>
                <w:sz w:val="22"/>
                <w:szCs w:val="22"/>
              </w:rPr>
            </w:pPr>
            <w:r w:rsidRPr="0082484A">
              <w:rPr>
                <w:bCs/>
                <w:sz w:val="22"/>
                <w:szCs w:val="22"/>
              </w:rPr>
              <w:t>Diabetes</w:t>
            </w:r>
          </w:p>
        </w:tc>
        <w:tc>
          <w:tcPr>
            <w:tcW w:w="2126" w:type="dxa"/>
            <w:tcBorders>
              <w:top w:val="nil"/>
              <w:left w:val="nil"/>
              <w:bottom w:val="nil"/>
              <w:right w:val="nil"/>
            </w:tcBorders>
            <w:shd w:val="clear" w:color="auto" w:fill="FFFFFF"/>
            <w:tcMar>
              <w:left w:w="67" w:type="dxa"/>
              <w:right w:w="67" w:type="dxa"/>
            </w:tcMar>
          </w:tcPr>
          <w:p w14:paraId="3F560C71"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63281F58"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15475A13"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6D573BFA" w14:textId="77777777" w:rsidR="00B77EA3" w:rsidRPr="0082484A" w:rsidRDefault="00B77EA3" w:rsidP="006309F7">
            <w:pPr>
              <w:spacing w:before="0" w:line="240" w:lineRule="auto"/>
              <w:contextualSpacing/>
              <w:rPr>
                <w:sz w:val="22"/>
                <w:szCs w:val="22"/>
              </w:rPr>
            </w:pPr>
          </w:p>
        </w:tc>
      </w:tr>
      <w:tr w:rsidR="00B77EA3" w:rsidRPr="0082484A" w14:paraId="26AF22A3"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3EF3E7AF"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2E0BF4C0" w14:textId="77777777" w:rsidR="00B77EA3" w:rsidRPr="0082484A" w:rsidRDefault="00B77EA3" w:rsidP="006309F7">
            <w:pPr>
              <w:spacing w:before="0" w:line="240" w:lineRule="auto"/>
              <w:contextualSpacing/>
              <w:rPr>
                <w:sz w:val="22"/>
                <w:szCs w:val="22"/>
              </w:rPr>
            </w:pPr>
            <w:r w:rsidRPr="0082484A">
              <w:rPr>
                <w:sz w:val="22"/>
                <w:szCs w:val="22"/>
              </w:rPr>
              <w:t>33.60% (7.33%)</w:t>
            </w:r>
          </w:p>
        </w:tc>
        <w:tc>
          <w:tcPr>
            <w:tcW w:w="2264" w:type="dxa"/>
            <w:tcBorders>
              <w:top w:val="nil"/>
              <w:left w:val="nil"/>
              <w:bottom w:val="nil"/>
              <w:right w:val="nil"/>
            </w:tcBorders>
            <w:shd w:val="clear" w:color="auto" w:fill="FFFFFF"/>
            <w:tcMar>
              <w:left w:w="67" w:type="dxa"/>
              <w:right w:w="67" w:type="dxa"/>
            </w:tcMar>
          </w:tcPr>
          <w:p w14:paraId="1BB92ADD" w14:textId="77777777" w:rsidR="00B77EA3" w:rsidRPr="0082484A" w:rsidRDefault="00B77EA3" w:rsidP="006309F7">
            <w:pPr>
              <w:spacing w:before="0" w:line="240" w:lineRule="auto"/>
              <w:contextualSpacing/>
              <w:rPr>
                <w:sz w:val="22"/>
                <w:szCs w:val="22"/>
              </w:rPr>
            </w:pPr>
            <w:r w:rsidRPr="0082484A">
              <w:rPr>
                <w:sz w:val="22"/>
                <w:szCs w:val="22"/>
              </w:rPr>
              <w:t>32.94% (6.31%)</w:t>
            </w:r>
          </w:p>
        </w:tc>
        <w:tc>
          <w:tcPr>
            <w:tcW w:w="1988" w:type="dxa"/>
            <w:tcBorders>
              <w:top w:val="nil"/>
              <w:left w:val="nil"/>
              <w:bottom w:val="nil"/>
              <w:right w:val="nil"/>
            </w:tcBorders>
            <w:shd w:val="clear" w:color="auto" w:fill="FFFFFF"/>
            <w:tcMar>
              <w:left w:w="67" w:type="dxa"/>
              <w:right w:w="67" w:type="dxa"/>
            </w:tcMar>
          </w:tcPr>
          <w:p w14:paraId="29AE3435" w14:textId="77777777" w:rsidR="00B77EA3" w:rsidRPr="0082484A" w:rsidRDefault="00B77EA3" w:rsidP="006309F7">
            <w:pPr>
              <w:spacing w:before="0" w:line="240" w:lineRule="auto"/>
              <w:contextualSpacing/>
              <w:rPr>
                <w:sz w:val="22"/>
                <w:szCs w:val="22"/>
              </w:rPr>
            </w:pPr>
            <w:r w:rsidRPr="0082484A">
              <w:rPr>
                <w:sz w:val="22"/>
                <w:szCs w:val="22"/>
              </w:rPr>
              <w:t>33.24% (7.96%)</w:t>
            </w:r>
          </w:p>
        </w:tc>
        <w:tc>
          <w:tcPr>
            <w:tcW w:w="2126" w:type="dxa"/>
            <w:tcBorders>
              <w:top w:val="nil"/>
              <w:left w:val="nil"/>
              <w:bottom w:val="nil"/>
              <w:right w:val="single" w:sz="4" w:space="0" w:color="auto"/>
            </w:tcBorders>
            <w:shd w:val="clear" w:color="auto" w:fill="FFFFFF"/>
            <w:tcMar>
              <w:left w:w="67" w:type="dxa"/>
              <w:right w:w="67" w:type="dxa"/>
            </w:tcMar>
          </w:tcPr>
          <w:p w14:paraId="1B159984" w14:textId="77777777" w:rsidR="00B77EA3" w:rsidRPr="0082484A" w:rsidRDefault="00B77EA3" w:rsidP="006309F7">
            <w:pPr>
              <w:spacing w:before="0" w:line="240" w:lineRule="auto"/>
              <w:contextualSpacing/>
              <w:rPr>
                <w:sz w:val="22"/>
                <w:szCs w:val="22"/>
              </w:rPr>
            </w:pPr>
            <w:r w:rsidRPr="0082484A">
              <w:rPr>
                <w:sz w:val="22"/>
                <w:szCs w:val="22"/>
              </w:rPr>
              <w:t>33.29% (7.08%)</w:t>
            </w:r>
          </w:p>
        </w:tc>
      </w:tr>
      <w:tr w:rsidR="00B77EA3" w:rsidRPr="0082484A" w14:paraId="361D6886"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27D09E35"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nil"/>
            </w:tcBorders>
            <w:shd w:val="clear" w:color="auto" w:fill="FFFFFF"/>
            <w:tcMar>
              <w:left w:w="67" w:type="dxa"/>
              <w:right w:w="67" w:type="dxa"/>
            </w:tcMar>
          </w:tcPr>
          <w:p w14:paraId="09522CAD" w14:textId="77777777" w:rsidR="00B77EA3" w:rsidRPr="0082484A" w:rsidRDefault="00B77EA3" w:rsidP="006309F7">
            <w:pPr>
              <w:spacing w:before="0" w:line="240" w:lineRule="auto"/>
              <w:contextualSpacing/>
              <w:rPr>
                <w:color w:val="FF0000"/>
                <w:sz w:val="22"/>
                <w:szCs w:val="22"/>
              </w:rPr>
            </w:pPr>
          </w:p>
        </w:tc>
        <w:tc>
          <w:tcPr>
            <w:tcW w:w="2264" w:type="dxa"/>
            <w:tcBorders>
              <w:top w:val="nil"/>
              <w:left w:val="nil"/>
              <w:bottom w:val="nil"/>
              <w:right w:val="nil"/>
            </w:tcBorders>
            <w:shd w:val="clear" w:color="auto" w:fill="FFFFFF"/>
            <w:tcMar>
              <w:left w:w="67" w:type="dxa"/>
              <w:right w:w="67" w:type="dxa"/>
            </w:tcMar>
          </w:tcPr>
          <w:p w14:paraId="30889F06" w14:textId="77777777" w:rsidR="00B77EA3" w:rsidRPr="0082484A" w:rsidRDefault="00B77EA3" w:rsidP="006309F7">
            <w:pPr>
              <w:spacing w:before="0" w:line="240" w:lineRule="auto"/>
              <w:contextualSpacing/>
              <w:rPr>
                <w:color w:val="FF0000"/>
                <w:sz w:val="22"/>
                <w:szCs w:val="22"/>
              </w:rPr>
            </w:pPr>
          </w:p>
        </w:tc>
        <w:tc>
          <w:tcPr>
            <w:tcW w:w="1988" w:type="dxa"/>
            <w:tcBorders>
              <w:top w:val="nil"/>
              <w:left w:val="nil"/>
              <w:bottom w:val="nil"/>
              <w:right w:val="nil"/>
            </w:tcBorders>
            <w:shd w:val="clear" w:color="auto" w:fill="FFFFFF"/>
            <w:tcMar>
              <w:left w:w="67" w:type="dxa"/>
              <w:right w:w="67" w:type="dxa"/>
            </w:tcMar>
          </w:tcPr>
          <w:p w14:paraId="0449692C"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0F54751C" w14:textId="77777777" w:rsidR="00B77EA3" w:rsidRPr="0082484A" w:rsidRDefault="00B77EA3" w:rsidP="006309F7">
            <w:pPr>
              <w:spacing w:before="0" w:line="240" w:lineRule="auto"/>
              <w:contextualSpacing/>
              <w:rPr>
                <w:color w:val="FF0000"/>
                <w:sz w:val="22"/>
                <w:szCs w:val="22"/>
              </w:rPr>
            </w:pPr>
          </w:p>
        </w:tc>
      </w:tr>
      <w:tr w:rsidR="00B77EA3" w:rsidRPr="0082484A" w14:paraId="795DB251"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213F9CBF" w14:textId="77777777" w:rsidR="00B77EA3" w:rsidRPr="0082484A" w:rsidRDefault="00B77EA3" w:rsidP="006309F7">
            <w:pPr>
              <w:spacing w:before="0" w:line="240" w:lineRule="auto"/>
              <w:contextualSpacing/>
              <w:rPr>
                <w:sz w:val="22"/>
                <w:szCs w:val="22"/>
              </w:rPr>
            </w:pPr>
            <w:r w:rsidRPr="0082484A">
              <w:rPr>
                <w:bCs/>
                <w:sz w:val="22"/>
                <w:szCs w:val="22"/>
              </w:rPr>
              <w:t>Risky Prescribing</w:t>
            </w:r>
          </w:p>
        </w:tc>
        <w:tc>
          <w:tcPr>
            <w:tcW w:w="2126" w:type="dxa"/>
            <w:tcBorders>
              <w:top w:val="nil"/>
              <w:left w:val="nil"/>
              <w:bottom w:val="nil"/>
              <w:right w:val="nil"/>
            </w:tcBorders>
            <w:shd w:val="clear" w:color="auto" w:fill="FFFFFF"/>
            <w:tcMar>
              <w:left w:w="67" w:type="dxa"/>
              <w:right w:w="67" w:type="dxa"/>
            </w:tcMar>
          </w:tcPr>
          <w:p w14:paraId="206D0A7B"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1237C1EA"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0016EE73"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0AC66D59" w14:textId="77777777" w:rsidR="00B77EA3" w:rsidRPr="0082484A" w:rsidRDefault="00B77EA3" w:rsidP="006309F7">
            <w:pPr>
              <w:spacing w:before="0" w:line="240" w:lineRule="auto"/>
              <w:contextualSpacing/>
              <w:rPr>
                <w:sz w:val="22"/>
                <w:szCs w:val="22"/>
              </w:rPr>
            </w:pPr>
          </w:p>
        </w:tc>
      </w:tr>
      <w:tr w:rsidR="00B77EA3" w:rsidRPr="0082484A" w14:paraId="1C88CCAF"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1A8EC3C2"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71F8B454" w14:textId="77777777" w:rsidR="00B77EA3" w:rsidRPr="0082484A" w:rsidRDefault="00B77EA3" w:rsidP="006309F7">
            <w:pPr>
              <w:spacing w:before="0" w:line="240" w:lineRule="auto"/>
              <w:contextualSpacing/>
              <w:rPr>
                <w:sz w:val="22"/>
                <w:szCs w:val="22"/>
              </w:rPr>
            </w:pPr>
            <w:r w:rsidRPr="0082484A">
              <w:rPr>
                <w:sz w:val="22"/>
                <w:szCs w:val="22"/>
              </w:rPr>
              <w:t>7.92% (4.41%)</w:t>
            </w:r>
          </w:p>
        </w:tc>
        <w:tc>
          <w:tcPr>
            <w:tcW w:w="2264" w:type="dxa"/>
            <w:tcBorders>
              <w:top w:val="nil"/>
              <w:left w:val="nil"/>
              <w:bottom w:val="nil"/>
              <w:right w:val="nil"/>
            </w:tcBorders>
            <w:shd w:val="clear" w:color="auto" w:fill="FFFFFF"/>
            <w:tcMar>
              <w:left w:w="67" w:type="dxa"/>
              <w:right w:w="67" w:type="dxa"/>
            </w:tcMar>
          </w:tcPr>
          <w:p w14:paraId="6D2AE5F6" w14:textId="77777777" w:rsidR="00B77EA3" w:rsidRPr="0082484A" w:rsidRDefault="00B77EA3" w:rsidP="006309F7">
            <w:pPr>
              <w:spacing w:before="0" w:line="240" w:lineRule="auto"/>
              <w:contextualSpacing/>
              <w:rPr>
                <w:sz w:val="22"/>
                <w:szCs w:val="22"/>
              </w:rPr>
            </w:pPr>
            <w:r w:rsidRPr="0082484A">
              <w:rPr>
                <w:sz w:val="22"/>
                <w:szCs w:val="22"/>
              </w:rPr>
              <w:t>7.60% (3.13%)</w:t>
            </w:r>
          </w:p>
        </w:tc>
        <w:tc>
          <w:tcPr>
            <w:tcW w:w="1988" w:type="dxa"/>
            <w:tcBorders>
              <w:top w:val="nil"/>
              <w:left w:val="nil"/>
              <w:bottom w:val="nil"/>
              <w:right w:val="nil"/>
            </w:tcBorders>
            <w:shd w:val="clear" w:color="auto" w:fill="FFFFFF"/>
            <w:tcMar>
              <w:left w:w="67" w:type="dxa"/>
              <w:right w:w="67" w:type="dxa"/>
            </w:tcMar>
          </w:tcPr>
          <w:p w14:paraId="21C4FA7E" w14:textId="77777777" w:rsidR="00B77EA3" w:rsidRPr="0082484A" w:rsidRDefault="00B77EA3" w:rsidP="006309F7">
            <w:pPr>
              <w:spacing w:before="0" w:line="240" w:lineRule="auto"/>
              <w:contextualSpacing/>
              <w:rPr>
                <w:sz w:val="22"/>
                <w:szCs w:val="22"/>
              </w:rPr>
            </w:pPr>
            <w:r w:rsidRPr="0082484A">
              <w:rPr>
                <w:sz w:val="22"/>
                <w:szCs w:val="22"/>
              </w:rPr>
              <w:t>8.47% (4.82%)</w:t>
            </w:r>
          </w:p>
        </w:tc>
        <w:tc>
          <w:tcPr>
            <w:tcW w:w="2126" w:type="dxa"/>
            <w:tcBorders>
              <w:top w:val="nil"/>
              <w:left w:val="nil"/>
              <w:bottom w:val="nil"/>
              <w:right w:val="single" w:sz="4" w:space="0" w:color="auto"/>
            </w:tcBorders>
            <w:shd w:val="clear" w:color="auto" w:fill="FFFFFF"/>
            <w:tcMar>
              <w:left w:w="67" w:type="dxa"/>
              <w:right w:w="67" w:type="dxa"/>
            </w:tcMar>
          </w:tcPr>
          <w:p w14:paraId="1CCA6B73" w14:textId="77777777" w:rsidR="00B77EA3" w:rsidRPr="0082484A" w:rsidRDefault="00B77EA3" w:rsidP="006309F7">
            <w:pPr>
              <w:spacing w:before="0" w:line="240" w:lineRule="auto"/>
              <w:contextualSpacing/>
              <w:rPr>
                <w:sz w:val="22"/>
                <w:szCs w:val="22"/>
              </w:rPr>
            </w:pPr>
            <w:r w:rsidRPr="0082484A">
              <w:rPr>
                <w:sz w:val="22"/>
                <w:szCs w:val="22"/>
              </w:rPr>
              <w:t>7.91% (4.07%)</w:t>
            </w:r>
          </w:p>
        </w:tc>
      </w:tr>
      <w:tr w:rsidR="00B77EA3" w:rsidRPr="0082484A" w14:paraId="77D5396C"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47210800"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nil"/>
            </w:tcBorders>
            <w:shd w:val="clear" w:color="auto" w:fill="FFFFFF"/>
            <w:tcMar>
              <w:left w:w="67" w:type="dxa"/>
              <w:right w:w="67" w:type="dxa"/>
            </w:tcMar>
          </w:tcPr>
          <w:p w14:paraId="593CCB34" w14:textId="77777777" w:rsidR="00B77EA3" w:rsidRPr="0082484A" w:rsidRDefault="00B77EA3" w:rsidP="006309F7">
            <w:pPr>
              <w:spacing w:before="0" w:line="240" w:lineRule="auto"/>
              <w:contextualSpacing/>
              <w:rPr>
                <w:color w:val="FF0000"/>
                <w:sz w:val="22"/>
                <w:szCs w:val="22"/>
              </w:rPr>
            </w:pPr>
          </w:p>
        </w:tc>
        <w:tc>
          <w:tcPr>
            <w:tcW w:w="2264" w:type="dxa"/>
            <w:tcBorders>
              <w:top w:val="nil"/>
              <w:left w:val="nil"/>
              <w:bottom w:val="nil"/>
              <w:right w:val="nil"/>
            </w:tcBorders>
            <w:shd w:val="clear" w:color="auto" w:fill="FFFFFF"/>
            <w:tcMar>
              <w:left w:w="67" w:type="dxa"/>
              <w:right w:w="67" w:type="dxa"/>
            </w:tcMar>
          </w:tcPr>
          <w:p w14:paraId="0C4C769D" w14:textId="77777777" w:rsidR="00B77EA3" w:rsidRPr="0082484A" w:rsidRDefault="00B77EA3" w:rsidP="006309F7">
            <w:pPr>
              <w:spacing w:before="0" w:line="240" w:lineRule="auto"/>
              <w:contextualSpacing/>
              <w:rPr>
                <w:color w:val="FF0000"/>
                <w:sz w:val="22"/>
                <w:szCs w:val="22"/>
              </w:rPr>
            </w:pPr>
          </w:p>
        </w:tc>
        <w:tc>
          <w:tcPr>
            <w:tcW w:w="1988" w:type="dxa"/>
            <w:tcBorders>
              <w:top w:val="nil"/>
              <w:left w:val="nil"/>
              <w:bottom w:val="nil"/>
              <w:right w:val="nil"/>
            </w:tcBorders>
            <w:shd w:val="clear" w:color="auto" w:fill="FFFFFF"/>
            <w:tcMar>
              <w:left w:w="67" w:type="dxa"/>
              <w:right w:w="67" w:type="dxa"/>
            </w:tcMar>
          </w:tcPr>
          <w:p w14:paraId="6C6F2E03"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00452626" w14:textId="77777777" w:rsidR="00B77EA3" w:rsidRPr="0082484A" w:rsidRDefault="00B77EA3" w:rsidP="006309F7">
            <w:pPr>
              <w:spacing w:before="0" w:line="240" w:lineRule="auto"/>
              <w:contextualSpacing/>
              <w:rPr>
                <w:color w:val="FF0000"/>
                <w:sz w:val="22"/>
                <w:szCs w:val="22"/>
              </w:rPr>
            </w:pPr>
          </w:p>
        </w:tc>
      </w:tr>
      <w:tr w:rsidR="00B77EA3" w:rsidRPr="0082484A" w14:paraId="03017DAA"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4A08D839" w14:textId="77777777" w:rsidR="00B77EA3" w:rsidRPr="0082484A" w:rsidRDefault="00B77EA3" w:rsidP="006309F7">
            <w:pPr>
              <w:spacing w:before="0" w:line="240" w:lineRule="auto"/>
              <w:contextualSpacing/>
              <w:rPr>
                <w:sz w:val="22"/>
                <w:szCs w:val="22"/>
              </w:rPr>
            </w:pPr>
            <w:r w:rsidRPr="0082484A">
              <w:rPr>
                <w:bCs/>
                <w:sz w:val="22"/>
                <w:szCs w:val="22"/>
              </w:rPr>
              <w:t>Blood Pressure Control</w:t>
            </w:r>
          </w:p>
        </w:tc>
        <w:tc>
          <w:tcPr>
            <w:tcW w:w="2126" w:type="dxa"/>
            <w:tcBorders>
              <w:top w:val="nil"/>
              <w:left w:val="nil"/>
              <w:bottom w:val="nil"/>
              <w:right w:val="nil"/>
            </w:tcBorders>
            <w:shd w:val="clear" w:color="auto" w:fill="FFFFFF"/>
            <w:tcMar>
              <w:left w:w="67" w:type="dxa"/>
              <w:right w:w="67" w:type="dxa"/>
            </w:tcMar>
          </w:tcPr>
          <w:p w14:paraId="505BF1D3"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725913CD"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5E598BBE"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2C52E3FF" w14:textId="77777777" w:rsidR="00B77EA3" w:rsidRPr="0082484A" w:rsidRDefault="00B77EA3" w:rsidP="006309F7">
            <w:pPr>
              <w:spacing w:before="0" w:line="240" w:lineRule="auto"/>
              <w:contextualSpacing/>
              <w:rPr>
                <w:sz w:val="22"/>
                <w:szCs w:val="22"/>
              </w:rPr>
            </w:pPr>
          </w:p>
        </w:tc>
      </w:tr>
      <w:tr w:rsidR="00B77EA3" w:rsidRPr="0082484A" w14:paraId="4BA08D74"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6B3E95EE"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5B0ACDFD" w14:textId="77777777" w:rsidR="00B77EA3" w:rsidRPr="0082484A" w:rsidRDefault="00B77EA3" w:rsidP="006309F7">
            <w:pPr>
              <w:spacing w:before="0" w:line="240" w:lineRule="auto"/>
              <w:contextualSpacing/>
              <w:rPr>
                <w:sz w:val="22"/>
                <w:szCs w:val="22"/>
              </w:rPr>
            </w:pPr>
            <w:r w:rsidRPr="0082484A">
              <w:rPr>
                <w:sz w:val="22"/>
                <w:szCs w:val="22"/>
              </w:rPr>
              <w:t>66.48% (6.68%)</w:t>
            </w:r>
          </w:p>
        </w:tc>
        <w:tc>
          <w:tcPr>
            <w:tcW w:w="2264" w:type="dxa"/>
            <w:tcBorders>
              <w:top w:val="nil"/>
              <w:left w:val="nil"/>
              <w:bottom w:val="nil"/>
              <w:right w:val="nil"/>
            </w:tcBorders>
            <w:shd w:val="clear" w:color="auto" w:fill="FFFFFF"/>
            <w:tcMar>
              <w:left w:w="67" w:type="dxa"/>
              <w:right w:w="67" w:type="dxa"/>
            </w:tcMar>
          </w:tcPr>
          <w:p w14:paraId="488D3D80" w14:textId="77777777" w:rsidR="00B77EA3" w:rsidRPr="0082484A" w:rsidRDefault="00B77EA3" w:rsidP="006309F7">
            <w:pPr>
              <w:spacing w:before="0" w:line="240" w:lineRule="auto"/>
              <w:contextualSpacing/>
              <w:rPr>
                <w:sz w:val="22"/>
                <w:szCs w:val="22"/>
              </w:rPr>
            </w:pPr>
            <w:r w:rsidRPr="0082484A">
              <w:rPr>
                <w:sz w:val="22"/>
                <w:szCs w:val="22"/>
              </w:rPr>
              <w:t>65.59% (6.87%)</w:t>
            </w:r>
          </w:p>
        </w:tc>
        <w:tc>
          <w:tcPr>
            <w:tcW w:w="1988" w:type="dxa"/>
            <w:tcBorders>
              <w:top w:val="nil"/>
              <w:left w:val="nil"/>
              <w:bottom w:val="nil"/>
              <w:right w:val="nil"/>
            </w:tcBorders>
            <w:shd w:val="clear" w:color="auto" w:fill="FFFFFF"/>
            <w:tcMar>
              <w:left w:w="67" w:type="dxa"/>
              <w:right w:w="67" w:type="dxa"/>
            </w:tcMar>
          </w:tcPr>
          <w:p w14:paraId="6D7D2220" w14:textId="77777777" w:rsidR="00B77EA3" w:rsidRPr="0082484A" w:rsidRDefault="00B77EA3" w:rsidP="006309F7">
            <w:pPr>
              <w:spacing w:before="0" w:line="240" w:lineRule="auto"/>
              <w:contextualSpacing/>
              <w:rPr>
                <w:sz w:val="22"/>
                <w:szCs w:val="22"/>
              </w:rPr>
            </w:pPr>
            <w:r w:rsidRPr="0082484A">
              <w:rPr>
                <w:sz w:val="22"/>
                <w:szCs w:val="22"/>
              </w:rPr>
              <w:t>64.96% (6.32%)</w:t>
            </w:r>
          </w:p>
        </w:tc>
        <w:tc>
          <w:tcPr>
            <w:tcW w:w="2126" w:type="dxa"/>
            <w:tcBorders>
              <w:top w:val="nil"/>
              <w:left w:val="nil"/>
              <w:bottom w:val="nil"/>
              <w:right w:val="single" w:sz="4" w:space="0" w:color="auto"/>
            </w:tcBorders>
            <w:shd w:val="clear" w:color="auto" w:fill="FFFFFF"/>
            <w:tcMar>
              <w:left w:w="67" w:type="dxa"/>
              <w:right w:w="67" w:type="dxa"/>
            </w:tcMar>
          </w:tcPr>
          <w:p w14:paraId="74932287" w14:textId="77777777" w:rsidR="00B77EA3" w:rsidRPr="0082484A" w:rsidRDefault="00B77EA3" w:rsidP="006309F7">
            <w:pPr>
              <w:spacing w:before="0" w:line="240" w:lineRule="auto"/>
              <w:contextualSpacing/>
              <w:rPr>
                <w:sz w:val="22"/>
                <w:szCs w:val="22"/>
              </w:rPr>
            </w:pPr>
            <w:r w:rsidRPr="0082484A">
              <w:rPr>
                <w:sz w:val="22"/>
                <w:szCs w:val="22"/>
              </w:rPr>
              <w:t>65.87% (6.67%)</w:t>
            </w:r>
          </w:p>
        </w:tc>
      </w:tr>
      <w:tr w:rsidR="00B77EA3" w:rsidRPr="0082484A" w14:paraId="0D77FE52"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695F7115"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nil"/>
            </w:tcBorders>
            <w:shd w:val="clear" w:color="auto" w:fill="FFFFFF"/>
            <w:tcMar>
              <w:left w:w="67" w:type="dxa"/>
              <w:right w:w="67" w:type="dxa"/>
            </w:tcMar>
          </w:tcPr>
          <w:p w14:paraId="0D821995" w14:textId="77777777" w:rsidR="00B77EA3" w:rsidRPr="0082484A" w:rsidRDefault="00B77EA3" w:rsidP="006309F7">
            <w:pPr>
              <w:spacing w:before="0" w:line="240" w:lineRule="auto"/>
              <w:contextualSpacing/>
              <w:rPr>
                <w:color w:val="FF0000"/>
                <w:sz w:val="22"/>
                <w:szCs w:val="22"/>
              </w:rPr>
            </w:pPr>
          </w:p>
        </w:tc>
        <w:tc>
          <w:tcPr>
            <w:tcW w:w="2264" w:type="dxa"/>
            <w:tcBorders>
              <w:top w:val="nil"/>
              <w:left w:val="nil"/>
              <w:bottom w:val="nil"/>
              <w:right w:val="nil"/>
            </w:tcBorders>
            <w:shd w:val="clear" w:color="auto" w:fill="FFFFFF"/>
            <w:tcMar>
              <w:left w:w="67" w:type="dxa"/>
              <w:right w:w="67" w:type="dxa"/>
            </w:tcMar>
          </w:tcPr>
          <w:p w14:paraId="531C32A2" w14:textId="77777777" w:rsidR="00B77EA3" w:rsidRPr="0082484A" w:rsidRDefault="00B77EA3" w:rsidP="006309F7">
            <w:pPr>
              <w:spacing w:before="0" w:line="240" w:lineRule="auto"/>
              <w:contextualSpacing/>
              <w:rPr>
                <w:color w:val="FF0000"/>
                <w:sz w:val="22"/>
                <w:szCs w:val="22"/>
              </w:rPr>
            </w:pPr>
          </w:p>
        </w:tc>
        <w:tc>
          <w:tcPr>
            <w:tcW w:w="1988" w:type="dxa"/>
            <w:tcBorders>
              <w:top w:val="nil"/>
              <w:left w:val="nil"/>
              <w:bottom w:val="nil"/>
              <w:right w:val="nil"/>
            </w:tcBorders>
            <w:shd w:val="clear" w:color="auto" w:fill="FFFFFF"/>
            <w:tcMar>
              <w:left w:w="67" w:type="dxa"/>
              <w:right w:w="67" w:type="dxa"/>
            </w:tcMar>
          </w:tcPr>
          <w:p w14:paraId="7BCF51F5" w14:textId="77777777" w:rsidR="00B77EA3" w:rsidRPr="0082484A" w:rsidRDefault="00B77EA3" w:rsidP="006309F7">
            <w:pPr>
              <w:spacing w:before="0" w:line="240" w:lineRule="auto"/>
              <w:contextualSpacing/>
              <w:rPr>
                <w:color w:val="FF0000"/>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5B880D6D" w14:textId="77777777" w:rsidR="00B77EA3" w:rsidRPr="0082484A" w:rsidRDefault="00B77EA3" w:rsidP="006309F7">
            <w:pPr>
              <w:spacing w:before="0" w:line="240" w:lineRule="auto"/>
              <w:contextualSpacing/>
              <w:rPr>
                <w:color w:val="FF0000"/>
                <w:sz w:val="22"/>
                <w:szCs w:val="22"/>
              </w:rPr>
            </w:pPr>
          </w:p>
        </w:tc>
      </w:tr>
      <w:tr w:rsidR="00B77EA3" w:rsidRPr="0082484A" w14:paraId="4F3EE849"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4F643C98" w14:textId="77777777" w:rsidR="00B77EA3" w:rsidRPr="0082484A" w:rsidRDefault="00B77EA3" w:rsidP="006309F7">
            <w:pPr>
              <w:spacing w:before="0" w:line="240" w:lineRule="auto"/>
              <w:contextualSpacing/>
              <w:rPr>
                <w:sz w:val="22"/>
                <w:szCs w:val="22"/>
              </w:rPr>
            </w:pPr>
            <w:r w:rsidRPr="0082484A">
              <w:rPr>
                <w:bCs/>
                <w:sz w:val="22"/>
                <w:szCs w:val="22"/>
              </w:rPr>
              <w:t>Atrial Fibrillation</w:t>
            </w:r>
          </w:p>
        </w:tc>
        <w:tc>
          <w:tcPr>
            <w:tcW w:w="2126" w:type="dxa"/>
            <w:tcBorders>
              <w:top w:val="nil"/>
              <w:left w:val="nil"/>
              <w:bottom w:val="nil"/>
              <w:right w:val="nil"/>
            </w:tcBorders>
            <w:shd w:val="clear" w:color="auto" w:fill="FFFFFF"/>
            <w:tcMar>
              <w:left w:w="67" w:type="dxa"/>
              <w:right w:w="67" w:type="dxa"/>
            </w:tcMar>
          </w:tcPr>
          <w:p w14:paraId="537584E2"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nil"/>
              <w:right w:val="nil"/>
            </w:tcBorders>
            <w:shd w:val="clear" w:color="auto" w:fill="FFFFFF"/>
            <w:tcMar>
              <w:left w:w="67" w:type="dxa"/>
              <w:right w:w="67" w:type="dxa"/>
            </w:tcMar>
          </w:tcPr>
          <w:p w14:paraId="5E77C0FE"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nil"/>
              <w:right w:val="nil"/>
            </w:tcBorders>
            <w:shd w:val="clear" w:color="auto" w:fill="FFFFFF"/>
            <w:tcMar>
              <w:left w:w="67" w:type="dxa"/>
              <w:right w:w="67" w:type="dxa"/>
            </w:tcMar>
          </w:tcPr>
          <w:p w14:paraId="3333C9E2"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nil"/>
              <w:right w:val="single" w:sz="4" w:space="0" w:color="auto"/>
            </w:tcBorders>
            <w:shd w:val="clear" w:color="auto" w:fill="FFFFFF"/>
            <w:tcMar>
              <w:left w:w="67" w:type="dxa"/>
              <w:right w:w="67" w:type="dxa"/>
            </w:tcMar>
          </w:tcPr>
          <w:p w14:paraId="64D4B55F" w14:textId="77777777" w:rsidR="00B77EA3" w:rsidRPr="0082484A" w:rsidRDefault="00B77EA3" w:rsidP="006309F7">
            <w:pPr>
              <w:spacing w:before="0" w:line="240" w:lineRule="auto"/>
              <w:contextualSpacing/>
              <w:rPr>
                <w:sz w:val="22"/>
                <w:szCs w:val="22"/>
              </w:rPr>
            </w:pPr>
          </w:p>
        </w:tc>
      </w:tr>
      <w:tr w:rsidR="00B77EA3" w:rsidRPr="0082484A" w14:paraId="3A02D2F1" w14:textId="77777777" w:rsidTr="0082484A">
        <w:trPr>
          <w:cantSplit/>
        </w:trPr>
        <w:tc>
          <w:tcPr>
            <w:tcW w:w="1701" w:type="dxa"/>
            <w:tcBorders>
              <w:top w:val="nil"/>
              <w:left w:val="single" w:sz="4" w:space="0" w:color="auto"/>
              <w:bottom w:val="nil"/>
              <w:right w:val="nil"/>
            </w:tcBorders>
            <w:shd w:val="clear" w:color="auto" w:fill="FFFFFF"/>
            <w:tcMar>
              <w:left w:w="67" w:type="dxa"/>
              <w:right w:w="67" w:type="dxa"/>
            </w:tcMar>
          </w:tcPr>
          <w:p w14:paraId="3B620C24" w14:textId="77777777" w:rsidR="00B77EA3" w:rsidRPr="0082484A" w:rsidRDefault="00B77EA3" w:rsidP="006309F7">
            <w:pPr>
              <w:spacing w:before="0" w:line="240" w:lineRule="auto"/>
              <w:contextualSpacing/>
              <w:rPr>
                <w:sz w:val="22"/>
                <w:szCs w:val="22"/>
              </w:rPr>
            </w:pPr>
            <w:r w:rsidRPr="0082484A">
              <w:rPr>
                <w:sz w:val="22"/>
                <w:szCs w:val="22"/>
              </w:rPr>
              <w:t>Mean (SD)</w:t>
            </w:r>
          </w:p>
        </w:tc>
        <w:tc>
          <w:tcPr>
            <w:tcW w:w="2126" w:type="dxa"/>
            <w:tcBorders>
              <w:top w:val="nil"/>
              <w:left w:val="nil"/>
              <w:bottom w:val="nil"/>
              <w:right w:val="nil"/>
            </w:tcBorders>
            <w:shd w:val="clear" w:color="auto" w:fill="FFFFFF"/>
            <w:tcMar>
              <w:left w:w="67" w:type="dxa"/>
              <w:right w:w="67" w:type="dxa"/>
            </w:tcMar>
          </w:tcPr>
          <w:p w14:paraId="3B788FD4" w14:textId="77777777" w:rsidR="00B77EA3" w:rsidRPr="0082484A" w:rsidRDefault="00B77EA3" w:rsidP="006309F7">
            <w:pPr>
              <w:spacing w:before="0" w:line="240" w:lineRule="auto"/>
              <w:contextualSpacing/>
              <w:rPr>
                <w:sz w:val="22"/>
                <w:szCs w:val="22"/>
              </w:rPr>
            </w:pPr>
            <w:r w:rsidRPr="0082484A">
              <w:rPr>
                <w:sz w:val="22"/>
                <w:szCs w:val="22"/>
              </w:rPr>
              <w:t>66.90% (11.74%)</w:t>
            </w:r>
          </w:p>
        </w:tc>
        <w:tc>
          <w:tcPr>
            <w:tcW w:w="2264" w:type="dxa"/>
            <w:tcBorders>
              <w:top w:val="nil"/>
              <w:left w:val="nil"/>
              <w:bottom w:val="nil"/>
              <w:right w:val="nil"/>
            </w:tcBorders>
            <w:shd w:val="clear" w:color="auto" w:fill="FFFFFF"/>
            <w:tcMar>
              <w:left w:w="67" w:type="dxa"/>
              <w:right w:w="67" w:type="dxa"/>
            </w:tcMar>
          </w:tcPr>
          <w:p w14:paraId="1B328E30" w14:textId="77777777" w:rsidR="00B77EA3" w:rsidRPr="0082484A" w:rsidRDefault="00B77EA3" w:rsidP="006309F7">
            <w:pPr>
              <w:spacing w:before="0" w:line="240" w:lineRule="auto"/>
              <w:contextualSpacing/>
              <w:rPr>
                <w:sz w:val="22"/>
                <w:szCs w:val="22"/>
              </w:rPr>
            </w:pPr>
            <w:r w:rsidRPr="0082484A">
              <w:rPr>
                <w:sz w:val="22"/>
                <w:szCs w:val="22"/>
              </w:rPr>
              <w:t>66.45% (9.55%)</w:t>
            </w:r>
          </w:p>
        </w:tc>
        <w:tc>
          <w:tcPr>
            <w:tcW w:w="1988" w:type="dxa"/>
            <w:tcBorders>
              <w:top w:val="nil"/>
              <w:left w:val="nil"/>
              <w:bottom w:val="nil"/>
              <w:right w:val="nil"/>
            </w:tcBorders>
            <w:shd w:val="clear" w:color="auto" w:fill="FFFFFF"/>
            <w:tcMar>
              <w:left w:w="67" w:type="dxa"/>
              <w:right w:w="67" w:type="dxa"/>
            </w:tcMar>
          </w:tcPr>
          <w:p w14:paraId="7D857690" w14:textId="77777777" w:rsidR="00B77EA3" w:rsidRPr="0082484A" w:rsidRDefault="00B77EA3" w:rsidP="006309F7">
            <w:pPr>
              <w:spacing w:before="0" w:line="240" w:lineRule="auto"/>
              <w:contextualSpacing/>
              <w:rPr>
                <w:sz w:val="22"/>
                <w:szCs w:val="22"/>
              </w:rPr>
            </w:pPr>
            <w:r w:rsidRPr="0082484A">
              <w:rPr>
                <w:sz w:val="22"/>
                <w:szCs w:val="22"/>
              </w:rPr>
              <w:t>64.08% (15.48%)</w:t>
            </w:r>
          </w:p>
        </w:tc>
        <w:tc>
          <w:tcPr>
            <w:tcW w:w="2126" w:type="dxa"/>
            <w:tcBorders>
              <w:top w:val="nil"/>
              <w:left w:val="nil"/>
              <w:bottom w:val="nil"/>
              <w:right w:val="single" w:sz="4" w:space="0" w:color="auto"/>
            </w:tcBorders>
            <w:shd w:val="clear" w:color="auto" w:fill="FFFFFF"/>
            <w:tcMar>
              <w:left w:w="67" w:type="dxa"/>
              <w:right w:w="67" w:type="dxa"/>
            </w:tcMar>
          </w:tcPr>
          <w:p w14:paraId="04227C2F" w14:textId="77777777" w:rsidR="00B77EA3" w:rsidRPr="0082484A" w:rsidRDefault="00B77EA3" w:rsidP="006309F7">
            <w:pPr>
              <w:spacing w:before="0" w:line="240" w:lineRule="auto"/>
              <w:contextualSpacing/>
              <w:rPr>
                <w:sz w:val="22"/>
                <w:szCs w:val="22"/>
              </w:rPr>
            </w:pPr>
            <w:r w:rsidRPr="0082484A">
              <w:rPr>
                <w:sz w:val="22"/>
                <w:szCs w:val="22"/>
              </w:rPr>
              <w:t>66.20% (11.82%)</w:t>
            </w:r>
          </w:p>
        </w:tc>
      </w:tr>
      <w:tr w:rsidR="00B77EA3" w:rsidRPr="0082484A" w14:paraId="0B007151" w14:textId="77777777" w:rsidTr="0082484A">
        <w:trPr>
          <w:cantSplit/>
        </w:trPr>
        <w:tc>
          <w:tcPr>
            <w:tcW w:w="1701" w:type="dxa"/>
            <w:tcBorders>
              <w:top w:val="nil"/>
              <w:left w:val="single" w:sz="4" w:space="0" w:color="auto"/>
              <w:bottom w:val="single" w:sz="4" w:space="0" w:color="auto"/>
              <w:right w:val="nil"/>
            </w:tcBorders>
            <w:shd w:val="clear" w:color="auto" w:fill="FFFFFF"/>
            <w:tcMar>
              <w:left w:w="67" w:type="dxa"/>
              <w:right w:w="67" w:type="dxa"/>
            </w:tcMar>
          </w:tcPr>
          <w:p w14:paraId="1963466A"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single" w:sz="4" w:space="0" w:color="auto"/>
              <w:right w:val="nil"/>
            </w:tcBorders>
            <w:shd w:val="clear" w:color="auto" w:fill="FFFFFF"/>
            <w:tcMar>
              <w:left w:w="67" w:type="dxa"/>
              <w:right w:w="67" w:type="dxa"/>
            </w:tcMar>
          </w:tcPr>
          <w:p w14:paraId="10910257" w14:textId="77777777" w:rsidR="00B77EA3" w:rsidRPr="0082484A" w:rsidRDefault="00B77EA3" w:rsidP="006309F7">
            <w:pPr>
              <w:spacing w:before="0" w:line="240" w:lineRule="auto"/>
              <w:contextualSpacing/>
              <w:rPr>
                <w:sz w:val="22"/>
                <w:szCs w:val="22"/>
              </w:rPr>
            </w:pPr>
          </w:p>
        </w:tc>
        <w:tc>
          <w:tcPr>
            <w:tcW w:w="2264" w:type="dxa"/>
            <w:tcBorders>
              <w:top w:val="nil"/>
              <w:left w:val="nil"/>
              <w:bottom w:val="single" w:sz="4" w:space="0" w:color="auto"/>
              <w:right w:val="nil"/>
            </w:tcBorders>
            <w:shd w:val="clear" w:color="auto" w:fill="FFFFFF"/>
            <w:tcMar>
              <w:left w:w="67" w:type="dxa"/>
              <w:right w:w="67" w:type="dxa"/>
            </w:tcMar>
          </w:tcPr>
          <w:p w14:paraId="26136F11" w14:textId="77777777" w:rsidR="00B77EA3" w:rsidRPr="0082484A" w:rsidRDefault="00B77EA3" w:rsidP="006309F7">
            <w:pPr>
              <w:spacing w:before="0" w:line="240" w:lineRule="auto"/>
              <w:contextualSpacing/>
              <w:rPr>
                <w:sz w:val="22"/>
                <w:szCs w:val="22"/>
              </w:rPr>
            </w:pPr>
          </w:p>
        </w:tc>
        <w:tc>
          <w:tcPr>
            <w:tcW w:w="1988" w:type="dxa"/>
            <w:tcBorders>
              <w:top w:val="nil"/>
              <w:left w:val="nil"/>
              <w:bottom w:val="single" w:sz="4" w:space="0" w:color="auto"/>
              <w:right w:val="nil"/>
            </w:tcBorders>
            <w:shd w:val="clear" w:color="auto" w:fill="FFFFFF"/>
            <w:tcMar>
              <w:left w:w="67" w:type="dxa"/>
              <w:right w:w="67" w:type="dxa"/>
            </w:tcMar>
          </w:tcPr>
          <w:p w14:paraId="5298A023" w14:textId="77777777" w:rsidR="00B77EA3" w:rsidRPr="0082484A" w:rsidRDefault="00B77EA3" w:rsidP="006309F7">
            <w:pPr>
              <w:spacing w:before="0" w:line="240" w:lineRule="auto"/>
              <w:contextualSpacing/>
              <w:rPr>
                <w:sz w:val="22"/>
                <w:szCs w:val="22"/>
              </w:rPr>
            </w:pPr>
          </w:p>
        </w:tc>
        <w:tc>
          <w:tcPr>
            <w:tcW w:w="2126" w:type="dxa"/>
            <w:tcBorders>
              <w:top w:val="nil"/>
              <w:left w:val="nil"/>
              <w:bottom w:val="single" w:sz="4" w:space="0" w:color="auto"/>
              <w:right w:val="single" w:sz="4" w:space="0" w:color="auto"/>
            </w:tcBorders>
            <w:shd w:val="clear" w:color="auto" w:fill="FFFFFF"/>
            <w:tcMar>
              <w:left w:w="67" w:type="dxa"/>
              <w:right w:w="67" w:type="dxa"/>
            </w:tcMar>
          </w:tcPr>
          <w:p w14:paraId="44444B10" w14:textId="77777777" w:rsidR="00B77EA3" w:rsidRPr="0082484A" w:rsidRDefault="00B77EA3" w:rsidP="006309F7">
            <w:pPr>
              <w:spacing w:before="0" w:line="240" w:lineRule="auto"/>
              <w:contextualSpacing/>
              <w:rPr>
                <w:sz w:val="22"/>
                <w:szCs w:val="22"/>
              </w:rPr>
            </w:pPr>
          </w:p>
        </w:tc>
      </w:tr>
    </w:tbl>
    <w:p w14:paraId="2B07F55D" w14:textId="77777777" w:rsidR="00B77EA3" w:rsidRPr="0082484A" w:rsidRDefault="00B77EA3" w:rsidP="00B77EA3">
      <w:pPr>
        <w:spacing w:before="0" w:line="240" w:lineRule="auto"/>
        <w:contextualSpacing/>
        <w:rPr>
          <w:sz w:val="22"/>
          <w:szCs w:val="22"/>
        </w:rPr>
      </w:pPr>
      <w:r w:rsidRPr="0082484A">
        <w:rPr>
          <w:sz w:val="22"/>
          <w:szCs w:val="22"/>
          <w:vertAlign w:val="superscript"/>
        </w:rPr>
        <w:t xml:space="preserve">a </w:t>
      </w:r>
      <w:r w:rsidRPr="0082484A">
        <w:rPr>
          <w:sz w:val="22"/>
          <w:szCs w:val="22"/>
        </w:rPr>
        <w:t>There was one practice with a missing value for overall QOF score in trial 2. The 2014-15 QOF measured achievement against 81 indicators; practices scored points on the basis of achievement against each indicator, up to a maximum of 559.</w:t>
      </w:r>
    </w:p>
    <w:p w14:paraId="6B5CA874" w14:textId="77777777" w:rsidR="00B77EA3" w:rsidRPr="0082484A" w:rsidRDefault="00B77EA3" w:rsidP="00B77EA3">
      <w:pPr>
        <w:spacing w:before="0" w:line="240" w:lineRule="auto"/>
        <w:contextualSpacing/>
        <w:rPr>
          <w:color w:val="FF0000"/>
          <w:sz w:val="22"/>
          <w:szCs w:val="22"/>
        </w:rPr>
      </w:pPr>
      <w:r w:rsidRPr="0082484A">
        <w:rPr>
          <w:color w:val="FF0000"/>
          <w:sz w:val="22"/>
          <w:szCs w:val="22"/>
        </w:rPr>
        <w:br w:type="page"/>
      </w:r>
    </w:p>
    <w:p w14:paraId="033B2683" w14:textId="39516A08" w:rsidR="00B77EA3" w:rsidRPr="0082484A" w:rsidRDefault="00B77EA3" w:rsidP="00B77EA3">
      <w:pPr>
        <w:pStyle w:val="Caption"/>
        <w:rPr>
          <w:b w:val="0"/>
          <w:bCs w:val="0"/>
          <w:sz w:val="22"/>
          <w:szCs w:val="22"/>
        </w:rPr>
      </w:pPr>
      <w:bookmarkStart w:id="32" w:name="_Ref501103669"/>
      <w:bookmarkStart w:id="33" w:name="_Toc8728079"/>
      <w:bookmarkStart w:id="34" w:name="_Toc19526738"/>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w:t>
      </w:r>
      <w:r w:rsidRPr="0082484A">
        <w:rPr>
          <w:b w:val="0"/>
          <w:noProof/>
          <w:sz w:val="22"/>
          <w:szCs w:val="22"/>
        </w:rPr>
        <w:fldChar w:fldCharType="end"/>
      </w:r>
      <w:bookmarkEnd w:id="32"/>
      <w:r w:rsidRPr="0082484A">
        <w:rPr>
          <w:b w:val="0"/>
          <w:bCs w:val="0"/>
          <w:sz w:val="22"/>
          <w:szCs w:val="22"/>
        </w:rPr>
        <w:t xml:space="preserve">: </w:t>
      </w:r>
      <w:r w:rsidRPr="0082484A">
        <w:rPr>
          <w:b w:val="0"/>
          <w:sz w:val="22"/>
          <w:szCs w:val="22"/>
        </w:rPr>
        <w:t>Cluster-randomised evaluation: patient characteristics at baseline by trial arm (population relevant to the diabetes control primary outcome) (WP4a)</w:t>
      </w:r>
      <w:bookmarkEnd w:id="33"/>
      <w:bookmarkEnd w:id="34"/>
    </w:p>
    <w:tbl>
      <w:tblPr>
        <w:tblW w:w="10788" w:type="dxa"/>
        <w:jc w:val="center"/>
        <w:tblLayout w:type="fixed"/>
        <w:tblCellMar>
          <w:left w:w="0" w:type="dxa"/>
          <w:right w:w="0" w:type="dxa"/>
        </w:tblCellMar>
        <w:tblLook w:val="0000" w:firstRow="0" w:lastRow="0" w:firstColumn="0" w:lastColumn="0" w:noHBand="0" w:noVBand="0"/>
      </w:tblPr>
      <w:tblGrid>
        <w:gridCol w:w="1484"/>
        <w:gridCol w:w="1478"/>
        <w:gridCol w:w="1537"/>
        <w:gridCol w:w="1478"/>
        <w:gridCol w:w="1762"/>
        <w:gridCol w:w="1571"/>
        <w:gridCol w:w="1478"/>
      </w:tblGrid>
      <w:tr w:rsidR="00B77EA3" w:rsidRPr="0082484A" w14:paraId="15318DCD" w14:textId="77777777" w:rsidTr="00B77EA3">
        <w:trPr>
          <w:cantSplit/>
          <w:tblHeader/>
          <w:jc w:val="center"/>
        </w:trPr>
        <w:tc>
          <w:tcPr>
            <w:tcW w:w="1474" w:type="dxa"/>
            <w:tcBorders>
              <w:top w:val="single" w:sz="11" w:space="0" w:color="000000"/>
              <w:left w:val="single" w:sz="11" w:space="0" w:color="000000"/>
              <w:bottom w:val="single" w:sz="4" w:space="0" w:color="FFFFFF" w:themeColor="background1"/>
              <w:right w:val="nil"/>
            </w:tcBorders>
            <w:shd w:val="clear" w:color="auto" w:fill="FFFFFF"/>
            <w:tcMar>
              <w:left w:w="67" w:type="dxa"/>
              <w:right w:w="67" w:type="dxa"/>
            </w:tcMar>
            <w:vAlign w:val="bottom"/>
          </w:tcPr>
          <w:p w14:paraId="0F411402"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2996"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4EA94ED8"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bCs/>
                <w:sz w:val="22"/>
                <w:szCs w:val="22"/>
              </w:rPr>
              <w:t>Trial 1</w:t>
            </w:r>
          </w:p>
        </w:tc>
        <w:tc>
          <w:tcPr>
            <w:tcW w:w="3220"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50429533"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bCs/>
                <w:sz w:val="22"/>
                <w:szCs w:val="22"/>
              </w:rPr>
              <w:t>Trial 2</w:t>
            </w:r>
          </w:p>
        </w:tc>
        <w:tc>
          <w:tcPr>
            <w:tcW w:w="1561" w:type="dxa"/>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2562B27A"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469" w:type="dxa"/>
            <w:tcBorders>
              <w:top w:val="single" w:sz="11" w:space="0" w:color="000000"/>
              <w:left w:val="nil"/>
              <w:bottom w:val="single" w:sz="4" w:space="0" w:color="FFFFFF" w:themeColor="background1"/>
              <w:right w:val="single" w:sz="11" w:space="0" w:color="000000"/>
            </w:tcBorders>
            <w:shd w:val="clear" w:color="auto" w:fill="FFFFFF"/>
            <w:tcMar>
              <w:left w:w="67" w:type="dxa"/>
              <w:right w:w="67" w:type="dxa"/>
            </w:tcMar>
            <w:vAlign w:val="bottom"/>
          </w:tcPr>
          <w:p w14:paraId="5665A9D7"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r>
      <w:tr w:rsidR="00B77EA3" w:rsidRPr="0082484A" w14:paraId="52A9B5D7" w14:textId="77777777" w:rsidTr="00B77EA3">
        <w:trPr>
          <w:cantSplit/>
          <w:tblHeader/>
          <w:jc w:val="center"/>
        </w:trPr>
        <w:tc>
          <w:tcPr>
            <w:tcW w:w="1474" w:type="dxa"/>
            <w:tcBorders>
              <w:top w:val="single" w:sz="4" w:space="0" w:color="FFFFFF" w:themeColor="background1"/>
              <w:left w:val="single" w:sz="11" w:space="0" w:color="000000"/>
              <w:bottom w:val="single" w:sz="4" w:space="0" w:color="000000"/>
              <w:right w:val="nil"/>
            </w:tcBorders>
            <w:shd w:val="clear" w:color="auto" w:fill="FFFFFF"/>
            <w:tcMar>
              <w:left w:w="67" w:type="dxa"/>
              <w:right w:w="67" w:type="dxa"/>
            </w:tcMar>
            <w:vAlign w:val="bottom"/>
          </w:tcPr>
          <w:p w14:paraId="2919AC25"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46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58EDC388"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Diabetes Control (n=13841)</w:t>
            </w:r>
          </w:p>
        </w:tc>
        <w:tc>
          <w:tcPr>
            <w:tcW w:w="1527"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34732C2C"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Risky Prescribing (n=16097)</w:t>
            </w:r>
          </w:p>
        </w:tc>
        <w:tc>
          <w:tcPr>
            <w:tcW w:w="146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1725FD0"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Blood Pressure Control (n=11938)</w:t>
            </w:r>
          </w:p>
        </w:tc>
        <w:tc>
          <w:tcPr>
            <w:tcW w:w="1751"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5BD28182"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Anticoagulation in Atrial Fibrillation (n=11524)</w:t>
            </w:r>
          </w:p>
        </w:tc>
        <w:tc>
          <w:tcPr>
            <w:tcW w:w="1561"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35BF34FD"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No Intervention (n=11869)</w:t>
            </w:r>
          </w:p>
        </w:tc>
        <w:tc>
          <w:tcPr>
            <w:tcW w:w="1469" w:type="dxa"/>
            <w:tcBorders>
              <w:top w:val="single" w:sz="4" w:space="0" w:color="FFFFFF" w:themeColor="background1"/>
              <w:left w:val="nil"/>
              <w:bottom w:val="single" w:sz="4" w:space="0" w:color="000000"/>
              <w:right w:val="single" w:sz="11" w:space="0" w:color="000000"/>
            </w:tcBorders>
            <w:shd w:val="clear" w:color="auto" w:fill="FFFFFF"/>
            <w:tcMar>
              <w:left w:w="67" w:type="dxa"/>
              <w:right w:w="67" w:type="dxa"/>
            </w:tcMar>
            <w:vAlign w:val="bottom"/>
          </w:tcPr>
          <w:p w14:paraId="0360A2CF"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 xml:space="preserve">Total </w:t>
            </w:r>
          </w:p>
          <w:p w14:paraId="2D528AF5"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(n=65269)</w:t>
            </w:r>
          </w:p>
        </w:tc>
      </w:tr>
      <w:tr w:rsidR="00B77EA3" w:rsidRPr="0082484A" w14:paraId="19D339F7"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3B1D4F7"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Age</w:t>
            </w:r>
          </w:p>
        </w:tc>
        <w:tc>
          <w:tcPr>
            <w:tcW w:w="1469" w:type="dxa"/>
            <w:tcBorders>
              <w:top w:val="nil"/>
              <w:left w:val="nil"/>
              <w:bottom w:val="nil"/>
              <w:right w:val="nil"/>
            </w:tcBorders>
            <w:shd w:val="clear" w:color="auto" w:fill="FFFFFF"/>
            <w:tcMar>
              <w:left w:w="67" w:type="dxa"/>
              <w:right w:w="67" w:type="dxa"/>
            </w:tcMar>
          </w:tcPr>
          <w:p w14:paraId="6843FC1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7" w:type="dxa"/>
            <w:tcBorders>
              <w:top w:val="nil"/>
              <w:left w:val="nil"/>
              <w:bottom w:val="nil"/>
              <w:right w:val="nil"/>
            </w:tcBorders>
            <w:shd w:val="clear" w:color="auto" w:fill="FFFFFF"/>
            <w:tcMar>
              <w:left w:w="67" w:type="dxa"/>
              <w:right w:w="67" w:type="dxa"/>
            </w:tcMar>
          </w:tcPr>
          <w:p w14:paraId="132B01E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73F5DFC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751" w:type="dxa"/>
            <w:tcBorders>
              <w:top w:val="nil"/>
              <w:left w:val="nil"/>
              <w:bottom w:val="nil"/>
              <w:right w:val="nil"/>
            </w:tcBorders>
            <w:shd w:val="clear" w:color="auto" w:fill="FFFFFF"/>
            <w:tcMar>
              <w:left w:w="67" w:type="dxa"/>
              <w:right w:w="67" w:type="dxa"/>
            </w:tcMar>
          </w:tcPr>
          <w:p w14:paraId="3A979B3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1" w:type="dxa"/>
            <w:tcBorders>
              <w:top w:val="nil"/>
              <w:left w:val="nil"/>
              <w:bottom w:val="nil"/>
              <w:right w:val="nil"/>
            </w:tcBorders>
            <w:shd w:val="clear" w:color="auto" w:fill="FFFFFF"/>
            <w:tcMar>
              <w:left w:w="67" w:type="dxa"/>
              <w:right w:w="67" w:type="dxa"/>
            </w:tcMar>
          </w:tcPr>
          <w:p w14:paraId="652B05A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single" w:sz="11" w:space="0" w:color="000000"/>
            </w:tcBorders>
            <w:shd w:val="clear" w:color="auto" w:fill="FFFFFF"/>
            <w:tcMar>
              <w:left w:w="67" w:type="dxa"/>
              <w:right w:w="67" w:type="dxa"/>
            </w:tcMar>
          </w:tcPr>
          <w:p w14:paraId="3E8545C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69D63231"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7637B9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Mean (SD)</w:t>
            </w:r>
          </w:p>
        </w:tc>
        <w:tc>
          <w:tcPr>
            <w:tcW w:w="1469" w:type="dxa"/>
            <w:tcBorders>
              <w:top w:val="nil"/>
              <w:left w:val="nil"/>
              <w:bottom w:val="nil"/>
              <w:right w:val="nil"/>
            </w:tcBorders>
            <w:shd w:val="clear" w:color="auto" w:fill="FFFFFF"/>
            <w:tcMar>
              <w:left w:w="67" w:type="dxa"/>
              <w:right w:w="67" w:type="dxa"/>
            </w:tcMar>
          </w:tcPr>
          <w:p w14:paraId="1E88446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65.22 (13.87)</w:t>
            </w:r>
          </w:p>
        </w:tc>
        <w:tc>
          <w:tcPr>
            <w:tcW w:w="1527" w:type="dxa"/>
            <w:tcBorders>
              <w:top w:val="nil"/>
              <w:left w:val="nil"/>
              <w:bottom w:val="nil"/>
              <w:right w:val="nil"/>
            </w:tcBorders>
            <w:shd w:val="clear" w:color="auto" w:fill="FFFFFF"/>
            <w:tcMar>
              <w:left w:w="67" w:type="dxa"/>
              <w:right w:w="67" w:type="dxa"/>
            </w:tcMar>
          </w:tcPr>
          <w:p w14:paraId="6CB56F1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63.88 (14.04)</w:t>
            </w:r>
          </w:p>
        </w:tc>
        <w:tc>
          <w:tcPr>
            <w:tcW w:w="1469" w:type="dxa"/>
            <w:tcBorders>
              <w:top w:val="nil"/>
              <w:left w:val="nil"/>
              <w:bottom w:val="nil"/>
              <w:right w:val="nil"/>
            </w:tcBorders>
            <w:shd w:val="clear" w:color="auto" w:fill="FFFFFF"/>
            <w:tcMar>
              <w:left w:w="67" w:type="dxa"/>
              <w:right w:w="67" w:type="dxa"/>
            </w:tcMar>
          </w:tcPr>
          <w:p w14:paraId="0772FA3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65.74 (13.40)</w:t>
            </w:r>
          </w:p>
        </w:tc>
        <w:tc>
          <w:tcPr>
            <w:tcW w:w="1751" w:type="dxa"/>
            <w:tcBorders>
              <w:top w:val="nil"/>
              <w:left w:val="nil"/>
              <w:bottom w:val="nil"/>
              <w:right w:val="nil"/>
            </w:tcBorders>
            <w:shd w:val="clear" w:color="auto" w:fill="FFFFFF"/>
            <w:tcMar>
              <w:left w:w="67" w:type="dxa"/>
              <w:right w:w="67" w:type="dxa"/>
            </w:tcMar>
          </w:tcPr>
          <w:p w14:paraId="60F56FA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65.15 (13.59)</w:t>
            </w:r>
          </w:p>
        </w:tc>
        <w:tc>
          <w:tcPr>
            <w:tcW w:w="1561" w:type="dxa"/>
            <w:tcBorders>
              <w:top w:val="nil"/>
              <w:left w:val="nil"/>
              <w:bottom w:val="nil"/>
              <w:right w:val="nil"/>
            </w:tcBorders>
            <w:shd w:val="clear" w:color="auto" w:fill="FFFFFF"/>
            <w:tcMar>
              <w:left w:w="67" w:type="dxa"/>
              <w:right w:w="67" w:type="dxa"/>
            </w:tcMar>
          </w:tcPr>
          <w:p w14:paraId="42CA81C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64.27 (13.77)</w:t>
            </w:r>
          </w:p>
        </w:tc>
        <w:tc>
          <w:tcPr>
            <w:tcW w:w="1469" w:type="dxa"/>
            <w:tcBorders>
              <w:top w:val="nil"/>
              <w:left w:val="nil"/>
              <w:bottom w:val="nil"/>
              <w:right w:val="single" w:sz="11" w:space="0" w:color="000000"/>
            </w:tcBorders>
            <w:shd w:val="clear" w:color="auto" w:fill="FFFFFF"/>
            <w:tcMar>
              <w:left w:w="67" w:type="dxa"/>
              <w:right w:w="67" w:type="dxa"/>
            </w:tcMar>
          </w:tcPr>
          <w:p w14:paraId="6DE0F2F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64.80 (13.78)</w:t>
            </w:r>
          </w:p>
        </w:tc>
      </w:tr>
      <w:tr w:rsidR="00B77EA3" w:rsidRPr="0082484A" w14:paraId="7A1052F8"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95065D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Median (Range)</w:t>
            </w:r>
          </w:p>
        </w:tc>
        <w:tc>
          <w:tcPr>
            <w:tcW w:w="1469" w:type="dxa"/>
            <w:tcBorders>
              <w:top w:val="nil"/>
              <w:left w:val="nil"/>
              <w:bottom w:val="nil"/>
              <w:right w:val="nil"/>
            </w:tcBorders>
            <w:shd w:val="clear" w:color="auto" w:fill="FFFFFF"/>
            <w:tcMar>
              <w:left w:w="67" w:type="dxa"/>
              <w:right w:w="67" w:type="dxa"/>
            </w:tcMar>
          </w:tcPr>
          <w:p w14:paraId="7C5F62A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66.00 (0.00, 101.00)</w:t>
            </w:r>
          </w:p>
        </w:tc>
        <w:tc>
          <w:tcPr>
            <w:tcW w:w="1527" w:type="dxa"/>
            <w:tcBorders>
              <w:top w:val="nil"/>
              <w:left w:val="nil"/>
              <w:bottom w:val="nil"/>
              <w:right w:val="nil"/>
            </w:tcBorders>
            <w:shd w:val="clear" w:color="auto" w:fill="FFFFFF"/>
            <w:tcMar>
              <w:left w:w="67" w:type="dxa"/>
              <w:right w:w="67" w:type="dxa"/>
            </w:tcMar>
          </w:tcPr>
          <w:p w14:paraId="7258D5C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64.00 (2.00, 100.00)</w:t>
            </w:r>
          </w:p>
        </w:tc>
        <w:tc>
          <w:tcPr>
            <w:tcW w:w="1469" w:type="dxa"/>
            <w:tcBorders>
              <w:top w:val="nil"/>
              <w:left w:val="nil"/>
              <w:bottom w:val="nil"/>
              <w:right w:val="nil"/>
            </w:tcBorders>
            <w:shd w:val="clear" w:color="auto" w:fill="FFFFFF"/>
            <w:tcMar>
              <w:left w:w="67" w:type="dxa"/>
              <w:right w:w="67" w:type="dxa"/>
            </w:tcMar>
          </w:tcPr>
          <w:p w14:paraId="550DC17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67.00 (9.00, 104.00)</w:t>
            </w:r>
          </w:p>
        </w:tc>
        <w:tc>
          <w:tcPr>
            <w:tcW w:w="1751" w:type="dxa"/>
            <w:tcBorders>
              <w:top w:val="nil"/>
              <w:left w:val="nil"/>
              <w:bottom w:val="nil"/>
              <w:right w:val="nil"/>
            </w:tcBorders>
            <w:shd w:val="clear" w:color="auto" w:fill="FFFFFF"/>
            <w:tcMar>
              <w:left w:w="67" w:type="dxa"/>
              <w:right w:w="67" w:type="dxa"/>
            </w:tcMar>
          </w:tcPr>
          <w:p w14:paraId="0BC365B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66.00 (10.00, 103.00)</w:t>
            </w:r>
          </w:p>
        </w:tc>
        <w:tc>
          <w:tcPr>
            <w:tcW w:w="1561" w:type="dxa"/>
            <w:tcBorders>
              <w:top w:val="nil"/>
              <w:left w:val="nil"/>
              <w:bottom w:val="nil"/>
              <w:right w:val="nil"/>
            </w:tcBorders>
            <w:shd w:val="clear" w:color="auto" w:fill="FFFFFF"/>
            <w:tcMar>
              <w:left w:w="67" w:type="dxa"/>
              <w:right w:w="67" w:type="dxa"/>
            </w:tcMar>
          </w:tcPr>
          <w:p w14:paraId="622210D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65.00 (0.00, 106.00)</w:t>
            </w:r>
          </w:p>
        </w:tc>
        <w:tc>
          <w:tcPr>
            <w:tcW w:w="1469" w:type="dxa"/>
            <w:tcBorders>
              <w:top w:val="nil"/>
              <w:left w:val="nil"/>
              <w:bottom w:val="nil"/>
              <w:right w:val="single" w:sz="11" w:space="0" w:color="000000"/>
            </w:tcBorders>
            <w:shd w:val="clear" w:color="auto" w:fill="FFFFFF"/>
            <w:tcMar>
              <w:left w:w="67" w:type="dxa"/>
              <w:right w:w="67" w:type="dxa"/>
            </w:tcMar>
          </w:tcPr>
          <w:p w14:paraId="4FEE0A5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66.00 (0.00, 106.00)</w:t>
            </w:r>
          </w:p>
        </w:tc>
      </w:tr>
      <w:tr w:rsidR="00B77EA3" w:rsidRPr="0082484A" w14:paraId="7C9241B4"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F4BF558"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0010178D"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7" w:type="dxa"/>
            <w:tcBorders>
              <w:top w:val="nil"/>
              <w:left w:val="nil"/>
              <w:bottom w:val="nil"/>
              <w:right w:val="nil"/>
            </w:tcBorders>
            <w:shd w:val="clear" w:color="auto" w:fill="FFFFFF"/>
            <w:tcMar>
              <w:left w:w="67" w:type="dxa"/>
              <w:right w:w="67" w:type="dxa"/>
            </w:tcMar>
          </w:tcPr>
          <w:p w14:paraId="046422E4"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109B2DD2"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751" w:type="dxa"/>
            <w:tcBorders>
              <w:top w:val="nil"/>
              <w:left w:val="nil"/>
              <w:bottom w:val="nil"/>
              <w:right w:val="nil"/>
            </w:tcBorders>
            <w:shd w:val="clear" w:color="auto" w:fill="FFFFFF"/>
            <w:tcMar>
              <w:left w:w="67" w:type="dxa"/>
              <w:right w:w="67" w:type="dxa"/>
            </w:tcMar>
          </w:tcPr>
          <w:p w14:paraId="2C3979C5"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1" w:type="dxa"/>
            <w:tcBorders>
              <w:top w:val="nil"/>
              <w:left w:val="nil"/>
              <w:bottom w:val="nil"/>
              <w:right w:val="nil"/>
            </w:tcBorders>
            <w:shd w:val="clear" w:color="auto" w:fill="FFFFFF"/>
            <w:tcMar>
              <w:left w:w="67" w:type="dxa"/>
              <w:right w:w="67" w:type="dxa"/>
            </w:tcMar>
          </w:tcPr>
          <w:p w14:paraId="34014FD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single" w:sz="11" w:space="0" w:color="000000"/>
            </w:tcBorders>
            <w:shd w:val="clear" w:color="auto" w:fill="FFFFFF"/>
            <w:tcMar>
              <w:left w:w="67" w:type="dxa"/>
              <w:right w:w="67" w:type="dxa"/>
            </w:tcMar>
          </w:tcPr>
          <w:p w14:paraId="31614B4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69D0CF8F"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11EF7ED8"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Gender</w:t>
            </w:r>
          </w:p>
        </w:tc>
        <w:tc>
          <w:tcPr>
            <w:tcW w:w="1469" w:type="dxa"/>
            <w:tcBorders>
              <w:top w:val="nil"/>
              <w:left w:val="nil"/>
              <w:bottom w:val="nil"/>
              <w:right w:val="nil"/>
            </w:tcBorders>
            <w:shd w:val="clear" w:color="auto" w:fill="FFFFFF"/>
            <w:tcMar>
              <w:left w:w="67" w:type="dxa"/>
              <w:right w:w="67" w:type="dxa"/>
            </w:tcMar>
          </w:tcPr>
          <w:p w14:paraId="2BE1E00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7" w:type="dxa"/>
            <w:tcBorders>
              <w:top w:val="nil"/>
              <w:left w:val="nil"/>
              <w:bottom w:val="nil"/>
              <w:right w:val="nil"/>
            </w:tcBorders>
            <w:shd w:val="clear" w:color="auto" w:fill="FFFFFF"/>
            <w:tcMar>
              <w:left w:w="67" w:type="dxa"/>
              <w:right w:w="67" w:type="dxa"/>
            </w:tcMar>
          </w:tcPr>
          <w:p w14:paraId="135CA29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63D7701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751" w:type="dxa"/>
            <w:tcBorders>
              <w:top w:val="nil"/>
              <w:left w:val="nil"/>
              <w:bottom w:val="nil"/>
              <w:right w:val="nil"/>
            </w:tcBorders>
            <w:shd w:val="clear" w:color="auto" w:fill="FFFFFF"/>
            <w:tcMar>
              <w:left w:w="67" w:type="dxa"/>
              <w:right w:w="67" w:type="dxa"/>
            </w:tcMar>
          </w:tcPr>
          <w:p w14:paraId="5AF3593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1" w:type="dxa"/>
            <w:tcBorders>
              <w:top w:val="nil"/>
              <w:left w:val="nil"/>
              <w:bottom w:val="nil"/>
              <w:right w:val="nil"/>
            </w:tcBorders>
            <w:shd w:val="clear" w:color="auto" w:fill="FFFFFF"/>
            <w:tcMar>
              <w:left w:w="67" w:type="dxa"/>
              <w:right w:w="67" w:type="dxa"/>
            </w:tcMar>
          </w:tcPr>
          <w:p w14:paraId="44B2D51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single" w:sz="11" w:space="0" w:color="000000"/>
            </w:tcBorders>
            <w:shd w:val="clear" w:color="auto" w:fill="FFFFFF"/>
            <w:tcMar>
              <w:left w:w="67" w:type="dxa"/>
              <w:right w:w="67" w:type="dxa"/>
            </w:tcMar>
          </w:tcPr>
          <w:p w14:paraId="1BA6D1F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3A93F59D"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0AB785F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Female</w:t>
            </w:r>
          </w:p>
        </w:tc>
        <w:tc>
          <w:tcPr>
            <w:tcW w:w="1469" w:type="dxa"/>
            <w:tcBorders>
              <w:top w:val="nil"/>
              <w:left w:val="nil"/>
              <w:bottom w:val="nil"/>
              <w:right w:val="nil"/>
            </w:tcBorders>
            <w:shd w:val="clear" w:color="auto" w:fill="FFFFFF"/>
            <w:tcMar>
              <w:left w:w="67" w:type="dxa"/>
              <w:right w:w="67" w:type="dxa"/>
            </w:tcMar>
          </w:tcPr>
          <w:p w14:paraId="3D9AB5C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6352 (45.89%)</w:t>
            </w:r>
          </w:p>
        </w:tc>
        <w:tc>
          <w:tcPr>
            <w:tcW w:w="1527" w:type="dxa"/>
            <w:tcBorders>
              <w:top w:val="nil"/>
              <w:left w:val="nil"/>
              <w:bottom w:val="nil"/>
              <w:right w:val="nil"/>
            </w:tcBorders>
            <w:shd w:val="clear" w:color="auto" w:fill="FFFFFF"/>
            <w:tcMar>
              <w:left w:w="67" w:type="dxa"/>
              <w:right w:w="67" w:type="dxa"/>
            </w:tcMar>
          </w:tcPr>
          <w:p w14:paraId="733CB92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7542 (46.85%)</w:t>
            </w:r>
          </w:p>
        </w:tc>
        <w:tc>
          <w:tcPr>
            <w:tcW w:w="1469" w:type="dxa"/>
            <w:tcBorders>
              <w:top w:val="nil"/>
              <w:left w:val="nil"/>
              <w:bottom w:val="nil"/>
              <w:right w:val="nil"/>
            </w:tcBorders>
            <w:shd w:val="clear" w:color="auto" w:fill="FFFFFF"/>
            <w:tcMar>
              <w:left w:w="67" w:type="dxa"/>
              <w:right w:w="67" w:type="dxa"/>
            </w:tcMar>
          </w:tcPr>
          <w:p w14:paraId="7B991FC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5266 (44.11%)</w:t>
            </w:r>
          </w:p>
        </w:tc>
        <w:tc>
          <w:tcPr>
            <w:tcW w:w="1751" w:type="dxa"/>
            <w:tcBorders>
              <w:top w:val="nil"/>
              <w:left w:val="nil"/>
              <w:bottom w:val="nil"/>
              <w:right w:val="nil"/>
            </w:tcBorders>
            <w:shd w:val="clear" w:color="auto" w:fill="FFFFFF"/>
            <w:tcMar>
              <w:left w:w="67" w:type="dxa"/>
              <w:right w:w="67" w:type="dxa"/>
            </w:tcMar>
          </w:tcPr>
          <w:p w14:paraId="3C642DA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5213 (45.24%)</w:t>
            </w:r>
          </w:p>
        </w:tc>
        <w:tc>
          <w:tcPr>
            <w:tcW w:w="1561" w:type="dxa"/>
            <w:tcBorders>
              <w:top w:val="nil"/>
              <w:left w:val="nil"/>
              <w:bottom w:val="nil"/>
              <w:right w:val="nil"/>
            </w:tcBorders>
            <w:shd w:val="clear" w:color="auto" w:fill="FFFFFF"/>
            <w:tcMar>
              <w:left w:w="67" w:type="dxa"/>
              <w:right w:w="67" w:type="dxa"/>
            </w:tcMar>
          </w:tcPr>
          <w:p w14:paraId="6A38CB0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5386 (45.38%)</w:t>
            </w:r>
          </w:p>
        </w:tc>
        <w:tc>
          <w:tcPr>
            <w:tcW w:w="1469" w:type="dxa"/>
            <w:tcBorders>
              <w:top w:val="nil"/>
              <w:left w:val="nil"/>
              <w:bottom w:val="nil"/>
              <w:right w:val="single" w:sz="11" w:space="0" w:color="000000"/>
            </w:tcBorders>
            <w:shd w:val="clear" w:color="auto" w:fill="FFFFFF"/>
            <w:tcMar>
              <w:left w:w="67" w:type="dxa"/>
              <w:right w:w="67" w:type="dxa"/>
            </w:tcMar>
          </w:tcPr>
          <w:p w14:paraId="1FD146C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29759 (45.59%)</w:t>
            </w:r>
          </w:p>
        </w:tc>
      </w:tr>
      <w:tr w:rsidR="00B77EA3" w:rsidRPr="0082484A" w14:paraId="3EFE7916"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94254E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Male</w:t>
            </w:r>
          </w:p>
        </w:tc>
        <w:tc>
          <w:tcPr>
            <w:tcW w:w="1469" w:type="dxa"/>
            <w:tcBorders>
              <w:top w:val="nil"/>
              <w:left w:val="nil"/>
              <w:bottom w:val="nil"/>
              <w:right w:val="nil"/>
            </w:tcBorders>
            <w:shd w:val="clear" w:color="auto" w:fill="FFFFFF"/>
            <w:tcMar>
              <w:left w:w="67" w:type="dxa"/>
              <w:right w:w="67" w:type="dxa"/>
            </w:tcMar>
          </w:tcPr>
          <w:p w14:paraId="60C0566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7489 (54.11%)</w:t>
            </w:r>
          </w:p>
        </w:tc>
        <w:tc>
          <w:tcPr>
            <w:tcW w:w="1527" w:type="dxa"/>
            <w:tcBorders>
              <w:top w:val="nil"/>
              <w:left w:val="nil"/>
              <w:bottom w:val="nil"/>
              <w:right w:val="nil"/>
            </w:tcBorders>
            <w:shd w:val="clear" w:color="auto" w:fill="FFFFFF"/>
            <w:tcMar>
              <w:left w:w="67" w:type="dxa"/>
              <w:right w:w="67" w:type="dxa"/>
            </w:tcMar>
          </w:tcPr>
          <w:p w14:paraId="4DC036A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8555 (53.15%)</w:t>
            </w:r>
          </w:p>
        </w:tc>
        <w:tc>
          <w:tcPr>
            <w:tcW w:w="1469" w:type="dxa"/>
            <w:tcBorders>
              <w:top w:val="nil"/>
              <w:left w:val="nil"/>
              <w:bottom w:val="nil"/>
              <w:right w:val="nil"/>
            </w:tcBorders>
            <w:shd w:val="clear" w:color="auto" w:fill="FFFFFF"/>
            <w:tcMar>
              <w:left w:w="67" w:type="dxa"/>
              <w:right w:w="67" w:type="dxa"/>
            </w:tcMar>
          </w:tcPr>
          <w:p w14:paraId="61FDF1E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6672 (55.89%)</w:t>
            </w:r>
          </w:p>
        </w:tc>
        <w:tc>
          <w:tcPr>
            <w:tcW w:w="1751" w:type="dxa"/>
            <w:tcBorders>
              <w:top w:val="nil"/>
              <w:left w:val="nil"/>
              <w:bottom w:val="nil"/>
              <w:right w:val="nil"/>
            </w:tcBorders>
            <w:shd w:val="clear" w:color="auto" w:fill="FFFFFF"/>
            <w:tcMar>
              <w:left w:w="67" w:type="dxa"/>
              <w:right w:w="67" w:type="dxa"/>
            </w:tcMar>
          </w:tcPr>
          <w:p w14:paraId="6635CBB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6311 (54.76%)</w:t>
            </w:r>
          </w:p>
        </w:tc>
        <w:tc>
          <w:tcPr>
            <w:tcW w:w="1561" w:type="dxa"/>
            <w:tcBorders>
              <w:top w:val="nil"/>
              <w:left w:val="nil"/>
              <w:bottom w:val="nil"/>
              <w:right w:val="nil"/>
            </w:tcBorders>
            <w:shd w:val="clear" w:color="auto" w:fill="FFFFFF"/>
            <w:tcMar>
              <w:left w:w="67" w:type="dxa"/>
              <w:right w:w="67" w:type="dxa"/>
            </w:tcMar>
          </w:tcPr>
          <w:p w14:paraId="38D5DA9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6483 (54.62%)</w:t>
            </w:r>
          </w:p>
        </w:tc>
        <w:tc>
          <w:tcPr>
            <w:tcW w:w="1469" w:type="dxa"/>
            <w:tcBorders>
              <w:top w:val="nil"/>
              <w:left w:val="nil"/>
              <w:bottom w:val="nil"/>
              <w:right w:val="single" w:sz="11" w:space="0" w:color="000000"/>
            </w:tcBorders>
            <w:shd w:val="clear" w:color="auto" w:fill="FFFFFF"/>
            <w:tcMar>
              <w:left w:w="67" w:type="dxa"/>
              <w:right w:w="67" w:type="dxa"/>
            </w:tcMar>
          </w:tcPr>
          <w:p w14:paraId="7F2EBC6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35510 (54.41%)</w:t>
            </w:r>
          </w:p>
        </w:tc>
      </w:tr>
      <w:tr w:rsidR="00B77EA3" w:rsidRPr="0082484A" w14:paraId="4547533E"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4378075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6EBED0AC"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7" w:type="dxa"/>
            <w:tcBorders>
              <w:top w:val="nil"/>
              <w:left w:val="nil"/>
              <w:bottom w:val="nil"/>
              <w:right w:val="nil"/>
            </w:tcBorders>
            <w:shd w:val="clear" w:color="auto" w:fill="FFFFFF"/>
            <w:tcMar>
              <w:left w:w="67" w:type="dxa"/>
              <w:right w:w="67" w:type="dxa"/>
            </w:tcMar>
          </w:tcPr>
          <w:p w14:paraId="2958538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3C89B51E"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751" w:type="dxa"/>
            <w:tcBorders>
              <w:top w:val="nil"/>
              <w:left w:val="nil"/>
              <w:bottom w:val="nil"/>
              <w:right w:val="nil"/>
            </w:tcBorders>
            <w:shd w:val="clear" w:color="auto" w:fill="FFFFFF"/>
            <w:tcMar>
              <w:left w:w="67" w:type="dxa"/>
              <w:right w:w="67" w:type="dxa"/>
            </w:tcMar>
          </w:tcPr>
          <w:p w14:paraId="09F60D8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1" w:type="dxa"/>
            <w:tcBorders>
              <w:top w:val="nil"/>
              <w:left w:val="nil"/>
              <w:bottom w:val="nil"/>
              <w:right w:val="nil"/>
            </w:tcBorders>
            <w:shd w:val="clear" w:color="auto" w:fill="FFFFFF"/>
            <w:tcMar>
              <w:left w:w="67" w:type="dxa"/>
              <w:right w:w="67" w:type="dxa"/>
            </w:tcMar>
          </w:tcPr>
          <w:p w14:paraId="3F71AE6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nil"/>
              <w:right w:val="single" w:sz="11" w:space="0" w:color="000000"/>
            </w:tcBorders>
            <w:shd w:val="clear" w:color="auto" w:fill="FFFFFF"/>
            <w:tcMar>
              <w:left w:w="67" w:type="dxa"/>
              <w:right w:w="67" w:type="dxa"/>
            </w:tcMar>
          </w:tcPr>
          <w:p w14:paraId="073CDF18"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64B03BF3"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C513BDA"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Comorbidity</w:t>
            </w:r>
          </w:p>
        </w:tc>
        <w:tc>
          <w:tcPr>
            <w:tcW w:w="1469" w:type="dxa"/>
            <w:tcBorders>
              <w:top w:val="nil"/>
              <w:left w:val="nil"/>
              <w:bottom w:val="nil"/>
              <w:right w:val="nil"/>
            </w:tcBorders>
            <w:shd w:val="clear" w:color="auto" w:fill="FFFFFF"/>
            <w:tcMar>
              <w:left w:w="67" w:type="dxa"/>
              <w:right w:w="67" w:type="dxa"/>
            </w:tcMar>
          </w:tcPr>
          <w:p w14:paraId="3371FB3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7" w:type="dxa"/>
            <w:tcBorders>
              <w:top w:val="nil"/>
              <w:left w:val="nil"/>
              <w:bottom w:val="nil"/>
              <w:right w:val="nil"/>
            </w:tcBorders>
            <w:shd w:val="clear" w:color="auto" w:fill="FFFFFF"/>
            <w:tcMar>
              <w:left w:w="67" w:type="dxa"/>
              <w:right w:w="67" w:type="dxa"/>
            </w:tcMar>
          </w:tcPr>
          <w:p w14:paraId="36BFC28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nil"/>
            </w:tcBorders>
            <w:shd w:val="clear" w:color="auto" w:fill="FFFFFF"/>
            <w:tcMar>
              <w:left w:w="67" w:type="dxa"/>
              <w:right w:w="67" w:type="dxa"/>
            </w:tcMar>
          </w:tcPr>
          <w:p w14:paraId="7596827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751" w:type="dxa"/>
            <w:tcBorders>
              <w:top w:val="nil"/>
              <w:left w:val="nil"/>
              <w:bottom w:val="nil"/>
              <w:right w:val="nil"/>
            </w:tcBorders>
            <w:shd w:val="clear" w:color="auto" w:fill="FFFFFF"/>
            <w:tcMar>
              <w:left w:w="67" w:type="dxa"/>
              <w:right w:w="67" w:type="dxa"/>
            </w:tcMar>
          </w:tcPr>
          <w:p w14:paraId="2A171B3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1" w:type="dxa"/>
            <w:tcBorders>
              <w:top w:val="nil"/>
              <w:left w:val="nil"/>
              <w:bottom w:val="nil"/>
              <w:right w:val="nil"/>
            </w:tcBorders>
            <w:shd w:val="clear" w:color="auto" w:fill="FFFFFF"/>
            <w:tcMar>
              <w:left w:w="67" w:type="dxa"/>
              <w:right w:w="67" w:type="dxa"/>
            </w:tcMar>
          </w:tcPr>
          <w:p w14:paraId="537CEC7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69" w:type="dxa"/>
            <w:tcBorders>
              <w:top w:val="nil"/>
              <w:left w:val="nil"/>
              <w:bottom w:val="nil"/>
              <w:right w:val="single" w:sz="11" w:space="0" w:color="000000"/>
            </w:tcBorders>
            <w:shd w:val="clear" w:color="auto" w:fill="FFFFFF"/>
            <w:tcMar>
              <w:left w:w="67" w:type="dxa"/>
              <w:right w:w="67" w:type="dxa"/>
            </w:tcMar>
          </w:tcPr>
          <w:p w14:paraId="7A88945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6B58EAB5"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7F8D1D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w:t>
            </w:r>
          </w:p>
        </w:tc>
        <w:tc>
          <w:tcPr>
            <w:tcW w:w="1469" w:type="dxa"/>
            <w:tcBorders>
              <w:top w:val="nil"/>
              <w:left w:val="nil"/>
              <w:bottom w:val="nil"/>
              <w:right w:val="nil"/>
            </w:tcBorders>
            <w:shd w:val="clear" w:color="auto" w:fill="FFFFFF"/>
            <w:tcMar>
              <w:left w:w="67" w:type="dxa"/>
              <w:right w:w="67" w:type="dxa"/>
            </w:tcMar>
          </w:tcPr>
          <w:p w14:paraId="7F96E28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1038 (7.50%)</w:t>
            </w:r>
          </w:p>
        </w:tc>
        <w:tc>
          <w:tcPr>
            <w:tcW w:w="1527" w:type="dxa"/>
            <w:tcBorders>
              <w:top w:val="nil"/>
              <w:left w:val="nil"/>
              <w:bottom w:val="nil"/>
              <w:right w:val="nil"/>
            </w:tcBorders>
            <w:shd w:val="clear" w:color="auto" w:fill="FFFFFF"/>
            <w:tcMar>
              <w:left w:w="67" w:type="dxa"/>
              <w:right w:w="67" w:type="dxa"/>
            </w:tcMar>
          </w:tcPr>
          <w:p w14:paraId="5A7DEC9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1306 (8.11%)</w:t>
            </w:r>
          </w:p>
        </w:tc>
        <w:tc>
          <w:tcPr>
            <w:tcW w:w="1469" w:type="dxa"/>
            <w:tcBorders>
              <w:top w:val="nil"/>
              <w:left w:val="nil"/>
              <w:bottom w:val="nil"/>
              <w:right w:val="nil"/>
            </w:tcBorders>
            <w:shd w:val="clear" w:color="auto" w:fill="FFFFFF"/>
            <w:tcMar>
              <w:left w:w="67" w:type="dxa"/>
              <w:right w:w="67" w:type="dxa"/>
            </w:tcMar>
          </w:tcPr>
          <w:p w14:paraId="2BEA9E6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927 (7.77%)</w:t>
            </w:r>
          </w:p>
        </w:tc>
        <w:tc>
          <w:tcPr>
            <w:tcW w:w="1751" w:type="dxa"/>
            <w:tcBorders>
              <w:top w:val="nil"/>
              <w:left w:val="nil"/>
              <w:bottom w:val="nil"/>
              <w:right w:val="nil"/>
            </w:tcBorders>
            <w:shd w:val="clear" w:color="auto" w:fill="FFFFFF"/>
            <w:tcMar>
              <w:left w:w="67" w:type="dxa"/>
              <w:right w:w="67" w:type="dxa"/>
            </w:tcMar>
          </w:tcPr>
          <w:p w14:paraId="62CB695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1006 (8.73%)</w:t>
            </w:r>
          </w:p>
        </w:tc>
        <w:tc>
          <w:tcPr>
            <w:tcW w:w="1561" w:type="dxa"/>
            <w:tcBorders>
              <w:top w:val="nil"/>
              <w:left w:val="nil"/>
              <w:bottom w:val="nil"/>
              <w:right w:val="nil"/>
            </w:tcBorders>
            <w:shd w:val="clear" w:color="auto" w:fill="FFFFFF"/>
            <w:tcMar>
              <w:left w:w="67" w:type="dxa"/>
              <w:right w:w="67" w:type="dxa"/>
            </w:tcMar>
          </w:tcPr>
          <w:p w14:paraId="3095615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985 (8.30%)</w:t>
            </w:r>
          </w:p>
        </w:tc>
        <w:tc>
          <w:tcPr>
            <w:tcW w:w="1469" w:type="dxa"/>
            <w:tcBorders>
              <w:top w:val="nil"/>
              <w:left w:val="nil"/>
              <w:bottom w:val="nil"/>
              <w:right w:val="single" w:sz="11" w:space="0" w:color="000000"/>
            </w:tcBorders>
            <w:shd w:val="clear" w:color="auto" w:fill="FFFFFF"/>
            <w:tcMar>
              <w:left w:w="67" w:type="dxa"/>
              <w:right w:w="67" w:type="dxa"/>
            </w:tcMar>
          </w:tcPr>
          <w:p w14:paraId="6DC2F5B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5262 (8.06%)</w:t>
            </w:r>
          </w:p>
        </w:tc>
      </w:tr>
      <w:tr w:rsidR="00B77EA3" w:rsidRPr="0082484A" w14:paraId="31C06CB3"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4D31066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w:t>
            </w:r>
          </w:p>
        </w:tc>
        <w:tc>
          <w:tcPr>
            <w:tcW w:w="1469" w:type="dxa"/>
            <w:tcBorders>
              <w:top w:val="nil"/>
              <w:left w:val="nil"/>
              <w:bottom w:val="nil"/>
              <w:right w:val="nil"/>
            </w:tcBorders>
            <w:shd w:val="clear" w:color="auto" w:fill="FFFFFF"/>
            <w:tcMar>
              <w:left w:w="67" w:type="dxa"/>
              <w:right w:w="67" w:type="dxa"/>
            </w:tcMar>
          </w:tcPr>
          <w:p w14:paraId="6CCEB55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325 (2.35%)</w:t>
            </w:r>
          </w:p>
        </w:tc>
        <w:tc>
          <w:tcPr>
            <w:tcW w:w="1527" w:type="dxa"/>
            <w:tcBorders>
              <w:top w:val="nil"/>
              <w:left w:val="nil"/>
              <w:bottom w:val="nil"/>
              <w:right w:val="nil"/>
            </w:tcBorders>
            <w:shd w:val="clear" w:color="auto" w:fill="FFFFFF"/>
            <w:tcMar>
              <w:left w:w="67" w:type="dxa"/>
              <w:right w:w="67" w:type="dxa"/>
            </w:tcMar>
          </w:tcPr>
          <w:p w14:paraId="510FBF5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412 (2.56%)</w:t>
            </w:r>
          </w:p>
        </w:tc>
        <w:tc>
          <w:tcPr>
            <w:tcW w:w="1469" w:type="dxa"/>
            <w:tcBorders>
              <w:top w:val="nil"/>
              <w:left w:val="nil"/>
              <w:bottom w:val="nil"/>
              <w:right w:val="nil"/>
            </w:tcBorders>
            <w:shd w:val="clear" w:color="auto" w:fill="FFFFFF"/>
            <w:tcMar>
              <w:left w:w="67" w:type="dxa"/>
              <w:right w:w="67" w:type="dxa"/>
            </w:tcMar>
          </w:tcPr>
          <w:p w14:paraId="642C6CC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300 (2.51%)</w:t>
            </w:r>
          </w:p>
        </w:tc>
        <w:tc>
          <w:tcPr>
            <w:tcW w:w="1751" w:type="dxa"/>
            <w:tcBorders>
              <w:top w:val="nil"/>
              <w:left w:val="nil"/>
              <w:bottom w:val="nil"/>
              <w:right w:val="nil"/>
            </w:tcBorders>
            <w:shd w:val="clear" w:color="auto" w:fill="FFFFFF"/>
            <w:tcMar>
              <w:left w:w="67" w:type="dxa"/>
              <w:right w:w="67" w:type="dxa"/>
            </w:tcMar>
          </w:tcPr>
          <w:p w14:paraId="175712E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306 (2.66%)</w:t>
            </w:r>
          </w:p>
        </w:tc>
        <w:tc>
          <w:tcPr>
            <w:tcW w:w="1561" w:type="dxa"/>
            <w:tcBorders>
              <w:top w:val="nil"/>
              <w:left w:val="nil"/>
              <w:bottom w:val="nil"/>
              <w:right w:val="nil"/>
            </w:tcBorders>
            <w:shd w:val="clear" w:color="auto" w:fill="FFFFFF"/>
            <w:tcMar>
              <w:left w:w="67" w:type="dxa"/>
              <w:right w:w="67" w:type="dxa"/>
            </w:tcMar>
          </w:tcPr>
          <w:p w14:paraId="027BCE6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269 (2.27%)</w:t>
            </w:r>
          </w:p>
        </w:tc>
        <w:tc>
          <w:tcPr>
            <w:tcW w:w="1469" w:type="dxa"/>
            <w:tcBorders>
              <w:top w:val="nil"/>
              <w:left w:val="nil"/>
              <w:bottom w:val="nil"/>
              <w:right w:val="single" w:sz="11" w:space="0" w:color="000000"/>
            </w:tcBorders>
            <w:shd w:val="clear" w:color="auto" w:fill="FFFFFF"/>
            <w:tcMar>
              <w:left w:w="67" w:type="dxa"/>
              <w:right w:w="67" w:type="dxa"/>
            </w:tcMar>
          </w:tcPr>
          <w:p w14:paraId="62AA13A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1612 (2.47%)</w:t>
            </w:r>
          </w:p>
        </w:tc>
      </w:tr>
      <w:tr w:rsidR="00B77EA3" w:rsidRPr="0082484A" w14:paraId="26CC599C"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3E16CBA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w:t>
            </w:r>
          </w:p>
        </w:tc>
        <w:tc>
          <w:tcPr>
            <w:tcW w:w="1469" w:type="dxa"/>
            <w:tcBorders>
              <w:top w:val="nil"/>
              <w:left w:val="nil"/>
              <w:bottom w:val="nil"/>
              <w:right w:val="nil"/>
            </w:tcBorders>
            <w:shd w:val="clear" w:color="auto" w:fill="FFFFFF"/>
            <w:tcMar>
              <w:left w:w="67" w:type="dxa"/>
              <w:right w:w="67" w:type="dxa"/>
            </w:tcMar>
          </w:tcPr>
          <w:p w14:paraId="0B8F50C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1752 (12.66%)</w:t>
            </w:r>
          </w:p>
        </w:tc>
        <w:tc>
          <w:tcPr>
            <w:tcW w:w="1527" w:type="dxa"/>
            <w:tcBorders>
              <w:top w:val="nil"/>
              <w:left w:val="nil"/>
              <w:bottom w:val="nil"/>
              <w:right w:val="nil"/>
            </w:tcBorders>
            <w:shd w:val="clear" w:color="auto" w:fill="FFFFFF"/>
            <w:tcMar>
              <w:left w:w="67" w:type="dxa"/>
              <w:right w:w="67" w:type="dxa"/>
            </w:tcMar>
          </w:tcPr>
          <w:p w14:paraId="1419F7D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2125 (13.20%)</w:t>
            </w:r>
          </w:p>
        </w:tc>
        <w:tc>
          <w:tcPr>
            <w:tcW w:w="1469" w:type="dxa"/>
            <w:tcBorders>
              <w:top w:val="nil"/>
              <w:left w:val="nil"/>
              <w:bottom w:val="nil"/>
              <w:right w:val="nil"/>
            </w:tcBorders>
            <w:shd w:val="clear" w:color="auto" w:fill="FFFFFF"/>
            <w:tcMar>
              <w:left w:w="67" w:type="dxa"/>
              <w:right w:w="67" w:type="dxa"/>
            </w:tcMar>
          </w:tcPr>
          <w:p w14:paraId="434508D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1474 (12.35%)</w:t>
            </w:r>
          </w:p>
        </w:tc>
        <w:tc>
          <w:tcPr>
            <w:tcW w:w="1751" w:type="dxa"/>
            <w:tcBorders>
              <w:top w:val="nil"/>
              <w:left w:val="nil"/>
              <w:bottom w:val="nil"/>
              <w:right w:val="nil"/>
            </w:tcBorders>
            <w:shd w:val="clear" w:color="auto" w:fill="FFFFFF"/>
            <w:tcMar>
              <w:left w:w="67" w:type="dxa"/>
              <w:right w:w="67" w:type="dxa"/>
            </w:tcMar>
          </w:tcPr>
          <w:p w14:paraId="4A71A40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1521 (13.20%)</w:t>
            </w:r>
          </w:p>
        </w:tc>
        <w:tc>
          <w:tcPr>
            <w:tcW w:w="1561" w:type="dxa"/>
            <w:tcBorders>
              <w:top w:val="nil"/>
              <w:left w:val="nil"/>
              <w:bottom w:val="nil"/>
              <w:right w:val="nil"/>
            </w:tcBorders>
            <w:shd w:val="clear" w:color="auto" w:fill="FFFFFF"/>
            <w:tcMar>
              <w:left w:w="67" w:type="dxa"/>
              <w:right w:w="67" w:type="dxa"/>
            </w:tcMar>
          </w:tcPr>
          <w:p w14:paraId="04AEA50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1558 (13.13%)</w:t>
            </w:r>
          </w:p>
        </w:tc>
        <w:tc>
          <w:tcPr>
            <w:tcW w:w="1469" w:type="dxa"/>
            <w:tcBorders>
              <w:top w:val="nil"/>
              <w:left w:val="nil"/>
              <w:bottom w:val="nil"/>
              <w:right w:val="single" w:sz="11" w:space="0" w:color="000000"/>
            </w:tcBorders>
            <w:shd w:val="clear" w:color="auto" w:fill="FFFFFF"/>
            <w:tcMar>
              <w:left w:w="67" w:type="dxa"/>
              <w:right w:w="67" w:type="dxa"/>
            </w:tcMar>
          </w:tcPr>
          <w:p w14:paraId="3AFD69B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8430 (12.92%)</w:t>
            </w:r>
          </w:p>
        </w:tc>
      </w:tr>
      <w:tr w:rsidR="00B77EA3" w:rsidRPr="0082484A" w14:paraId="3FAF5787"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089672E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w:t>
            </w:r>
          </w:p>
        </w:tc>
        <w:tc>
          <w:tcPr>
            <w:tcW w:w="1469" w:type="dxa"/>
            <w:tcBorders>
              <w:top w:val="nil"/>
              <w:left w:val="nil"/>
              <w:bottom w:val="nil"/>
              <w:right w:val="nil"/>
            </w:tcBorders>
            <w:shd w:val="clear" w:color="auto" w:fill="FFFFFF"/>
            <w:tcMar>
              <w:left w:w="67" w:type="dxa"/>
              <w:right w:w="67" w:type="dxa"/>
            </w:tcMar>
          </w:tcPr>
          <w:p w14:paraId="0EC257A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3480 (25.14%)</w:t>
            </w:r>
          </w:p>
        </w:tc>
        <w:tc>
          <w:tcPr>
            <w:tcW w:w="1527" w:type="dxa"/>
            <w:tcBorders>
              <w:top w:val="nil"/>
              <w:left w:val="nil"/>
              <w:bottom w:val="nil"/>
              <w:right w:val="nil"/>
            </w:tcBorders>
            <w:shd w:val="clear" w:color="auto" w:fill="FFFFFF"/>
            <w:tcMar>
              <w:left w:w="67" w:type="dxa"/>
              <w:right w:w="67" w:type="dxa"/>
            </w:tcMar>
          </w:tcPr>
          <w:p w14:paraId="50A9EF7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3994 (24.81%)</w:t>
            </w:r>
          </w:p>
        </w:tc>
        <w:tc>
          <w:tcPr>
            <w:tcW w:w="1469" w:type="dxa"/>
            <w:tcBorders>
              <w:top w:val="nil"/>
              <w:left w:val="nil"/>
              <w:bottom w:val="nil"/>
              <w:right w:val="nil"/>
            </w:tcBorders>
            <w:shd w:val="clear" w:color="auto" w:fill="FFFFFF"/>
            <w:tcMar>
              <w:left w:w="67" w:type="dxa"/>
              <w:right w:w="67" w:type="dxa"/>
            </w:tcMar>
          </w:tcPr>
          <w:p w14:paraId="2255B3B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2955 (24.75%)</w:t>
            </w:r>
          </w:p>
        </w:tc>
        <w:tc>
          <w:tcPr>
            <w:tcW w:w="1751" w:type="dxa"/>
            <w:tcBorders>
              <w:top w:val="nil"/>
              <w:left w:val="nil"/>
              <w:bottom w:val="nil"/>
              <w:right w:val="nil"/>
            </w:tcBorders>
            <w:shd w:val="clear" w:color="auto" w:fill="FFFFFF"/>
            <w:tcMar>
              <w:left w:w="67" w:type="dxa"/>
              <w:right w:w="67" w:type="dxa"/>
            </w:tcMar>
          </w:tcPr>
          <w:p w14:paraId="4CDBCEB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2809 (24.38%)</w:t>
            </w:r>
          </w:p>
        </w:tc>
        <w:tc>
          <w:tcPr>
            <w:tcW w:w="1561" w:type="dxa"/>
            <w:tcBorders>
              <w:top w:val="nil"/>
              <w:left w:val="nil"/>
              <w:bottom w:val="nil"/>
              <w:right w:val="nil"/>
            </w:tcBorders>
            <w:shd w:val="clear" w:color="auto" w:fill="FFFFFF"/>
            <w:tcMar>
              <w:left w:w="67" w:type="dxa"/>
              <w:right w:w="67" w:type="dxa"/>
            </w:tcMar>
          </w:tcPr>
          <w:p w14:paraId="27952F0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3059 (25.77%)</w:t>
            </w:r>
          </w:p>
        </w:tc>
        <w:tc>
          <w:tcPr>
            <w:tcW w:w="1469" w:type="dxa"/>
            <w:tcBorders>
              <w:top w:val="nil"/>
              <w:left w:val="nil"/>
              <w:bottom w:val="nil"/>
              <w:right w:val="single" w:sz="11" w:space="0" w:color="000000"/>
            </w:tcBorders>
            <w:shd w:val="clear" w:color="auto" w:fill="FFFFFF"/>
            <w:tcMar>
              <w:left w:w="67" w:type="dxa"/>
              <w:right w:w="67" w:type="dxa"/>
            </w:tcMar>
          </w:tcPr>
          <w:p w14:paraId="2139C10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16297 (24.97%)</w:t>
            </w:r>
          </w:p>
        </w:tc>
      </w:tr>
      <w:tr w:rsidR="00B77EA3" w:rsidRPr="0082484A" w14:paraId="108CA406"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44BDA70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w:t>
            </w:r>
          </w:p>
        </w:tc>
        <w:tc>
          <w:tcPr>
            <w:tcW w:w="1469" w:type="dxa"/>
            <w:tcBorders>
              <w:top w:val="nil"/>
              <w:left w:val="nil"/>
              <w:bottom w:val="nil"/>
              <w:right w:val="nil"/>
            </w:tcBorders>
            <w:shd w:val="clear" w:color="auto" w:fill="FFFFFF"/>
            <w:tcMar>
              <w:left w:w="67" w:type="dxa"/>
              <w:right w:w="67" w:type="dxa"/>
            </w:tcMar>
          </w:tcPr>
          <w:p w14:paraId="3ABE120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3624 (26.18%)</w:t>
            </w:r>
          </w:p>
        </w:tc>
        <w:tc>
          <w:tcPr>
            <w:tcW w:w="1527" w:type="dxa"/>
            <w:tcBorders>
              <w:top w:val="nil"/>
              <w:left w:val="nil"/>
              <w:bottom w:val="nil"/>
              <w:right w:val="nil"/>
            </w:tcBorders>
            <w:shd w:val="clear" w:color="auto" w:fill="FFFFFF"/>
            <w:tcMar>
              <w:left w:w="67" w:type="dxa"/>
              <w:right w:w="67" w:type="dxa"/>
            </w:tcMar>
          </w:tcPr>
          <w:p w14:paraId="28C6B03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4148 (25.77%)</w:t>
            </w:r>
          </w:p>
        </w:tc>
        <w:tc>
          <w:tcPr>
            <w:tcW w:w="1469" w:type="dxa"/>
            <w:tcBorders>
              <w:top w:val="nil"/>
              <w:left w:val="nil"/>
              <w:bottom w:val="nil"/>
              <w:right w:val="nil"/>
            </w:tcBorders>
            <w:shd w:val="clear" w:color="auto" w:fill="FFFFFF"/>
            <w:tcMar>
              <w:left w:w="67" w:type="dxa"/>
              <w:right w:w="67" w:type="dxa"/>
            </w:tcMar>
          </w:tcPr>
          <w:p w14:paraId="6963431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3103 (25.99%)</w:t>
            </w:r>
          </w:p>
        </w:tc>
        <w:tc>
          <w:tcPr>
            <w:tcW w:w="1751" w:type="dxa"/>
            <w:tcBorders>
              <w:top w:val="nil"/>
              <w:left w:val="nil"/>
              <w:bottom w:val="nil"/>
              <w:right w:val="nil"/>
            </w:tcBorders>
            <w:shd w:val="clear" w:color="auto" w:fill="FFFFFF"/>
            <w:tcMar>
              <w:left w:w="67" w:type="dxa"/>
              <w:right w:w="67" w:type="dxa"/>
            </w:tcMar>
          </w:tcPr>
          <w:p w14:paraId="20118EA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2951 (25.61%)</w:t>
            </w:r>
          </w:p>
        </w:tc>
        <w:tc>
          <w:tcPr>
            <w:tcW w:w="1561" w:type="dxa"/>
            <w:tcBorders>
              <w:top w:val="nil"/>
              <w:left w:val="nil"/>
              <w:bottom w:val="nil"/>
              <w:right w:val="nil"/>
            </w:tcBorders>
            <w:shd w:val="clear" w:color="auto" w:fill="FFFFFF"/>
            <w:tcMar>
              <w:left w:w="67" w:type="dxa"/>
              <w:right w:w="67" w:type="dxa"/>
            </w:tcMar>
          </w:tcPr>
          <w:p w14:paraId="5C9AEA4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2962 (24.96%)</w:t>
            </w:r>
          </w:p>
        </w:tc>
        <w:tc>
          <w:tcPr>
            <w:tcW w:w="1469" w:type="dxa"/>
            <w:tcBorders>
              <w:top w:val="nil"/>
              <w:left w:val="nil"/>
              <w:bottom w:val="nil"/>
              <w:right w:val="single" w:sz="11" w:space="0" w:color="000000"/>
            </w:tcBorders>
            <w:shd w:val="clear" w:color="auto" w:fill="FFFFFF"/>
            <w:tcMar>
              <w:left w:w="67" w:type="dxa"/>
              <w:right w:w="67" w:type="dxa"/>
            </w:tcMar>
          </w:tcPr>
          <w:p w14:paraId="3E1A431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16788 (25.72%)</w:t>
            </w:r>
          </w:p>
        </w:tc>
      </w:tr>
      <w:tr w:rsidR="00B77EA3" w:rsidRPr="0082484A" w14:paraId="568F76B8"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7E7D256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w:t>
            </w:r>
          </w:p>
        </w:tc>
        <w:tc>
          <w:tcPr>
            <w:tcW w:w="1469" w:type="dxa"/>
            <w:tcBorders>
              <w:top w:val="nil"/>
              <w:left w:val="nil"/>
              <w:bottom w:val="nil"/>
              <w:right w:val="nil"/>
            </w:tcBorders>
            <w:shd w:val="clear" w:color="auto" w:fill="FFFFFF"/>
            <w:tcMar>
              <w:left w:w="67" w:type="dxa"/>
              <w:right w:w="67" w:type="dxa"/>
            </w:tcMar>
          </w:tcPr>
          <w:p w14:paraId="221125E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2088 (15.09%)</w:t>
            </w:r>
          </w:p>
        </w:tc>
        <w:tc>
          <w:tcPr>
            <w:tcW w:w="1527" w:type="dxa"/>
            <w:tcBorders>
              <w:top w:val="nil"/>
              <w:left w:val="nil"/>
              <w:bottom w:val="nil"/>
              <w:right w:val="nil"/>
            </w:tcBorders>
            <w:shd w:val="clear" w:color="auto" w:fill="FFFFFF"/>
            <w:tcMar>
              <w:left w:w="67" w:type="dxa"/>
              <w:right w:w="67" w:type="dxa"/>
            </w:tcMar>
          </w:tcPr>
          <w:p w14:paraId="06E8EDD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2342 (14.55%)</w:t>
            </w:r>
          </w:p>
        </w:tc>
        <w:tc>
          <w:tcPr>
            <w:tcW w:w="1469" w:type="dxa"/>
            <w:tcBorders>
              <w:top w:val="nil"/>
              <w:left w:val="nil"/>
              <w:bottom w:val="nil"/>
              <w:right w:val="nil"/>
            </w:tcBorders>
            <w:shd w:val="clear" w:color="auto" w:fill="FFFFFF"/>
            <w:tcMar>
              <w:left w:w="67" w:type="dxa"/>
              <w:right w:w="67" w:type="dxa"/>
            </w:tcMar>
          </w:tcPr>
          <w:p w14:paraId="30F7E99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1812 (15.18%)</w:t>
            </w:r>
          </w:p>
        </w:tc>
        <w:tc>
          <w:tcPr>
            <w:tcW w:w="1751" w:type="dxa"/>
            <w:tcBorders>
              <w:top w:val="nil"/>
              <w:left w:val="nil"/>
              <w:bottom w:val="nil"/>
              <w:right w:val="nil"/>
            </w:tcBorders>
            <w:shd w:val="clear" w:color="auto" w:fill="FFFFFF"/>
            <w:tcMar>
              <w:left w:w="67" w:type="dxa"/>
              <w:right w:w="67" w:type="dxa"/>
            </w:tcMar>
          </w:tcPr>
          <w:p w14:paraId="31C8A24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1682 (14.60%)</w:t>
            </w:r>
          </w:p>
        </w:tc>
        <w:tc>
          <w:tcPr>
            <w:tcW w:w="1561" w:type="dxa"/>
            <w:tcBorders>
              <w:top w:val="nil"/>
              <w:left w:val="nil"/>
              <w:bottom w:val="nil"/>
              <w:right w:val="nil"/>
            </w:tcBorders>
            <w:shd w:val="clear" w:color="auto" w:fill="FFFFFF"/>
            <w:tcMar>
              <w:left w:w="67" w:type="dxa"/>
              <w:right w:w="67" w:type="dxa"/>
            </w:tcMar>
          </w:tcPr>
          <w:p w14:paraId="7905D9D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1775 (14.95%)</w:t>
            </w:r>
          </w:p>
        </w:tc>
        <w:tc>
          <w:tcPr>
            <w:tcW w:w="1469" w:type="dxa"/>
            <w:tcBorders>
              <w:top w:val="nil"/>
              <w:left w:val="nil"/>
              <w:bottom w:val="nil"/>
              <w:right w:val="single" w:sz="11" w:space="0" w:color="000000"/>
            </w:tcBorders>
            <w:shd w:val="clear" w:color="auto" w:fill="FFFFFF"/>
            <w:tcMar>
              <w:left w:w="67" w:type="dxa"/>
              <w:right w:w="67" w:type="dxa"/>
            </w:tcMar>
          </w:tcPr>
          <w:p w14:paraId="70826CA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9699 (14.86%)</w:t>
            </w:r>
          </w:p>
        </w:tc>
      </w:tr>
      <w:tr w:rsidR="00B77EA3" w:rsidRPr="0082484A" w14:paraId="2543EAB2"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58CA5D4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w:t>
            </w:r>
          </w:p>
        </w:tc>
        <w:tc>
          <w:tcPr>
            <w:tcW w:w="1469" w:type="dxa"/>
            <w:tcBorders>
              <w:top w:val="nil"/>
              <w:left w:val="nil"/>
              <w:bottom w:val="nil"/>
              <w:right w:val="nil"/>
            </w:tcBorders>
            <w:shd w:val="clear" w:color="auto" w:fill="FFFFFF"/>
            <w:tcMar>
              <w:left w:w="67" w:type="dxa"/>
              <w:right w:w="67" w:type="dxa"/>
            </w:tcMar>
          </w:tcPr>
          <w:p w14:paraId="6668CD2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943 (6.81%)</w:t>
            </w:r>
          </w:p>
        </w:tc>
        <w:tc>
          <w:tcPr>
            <w:tcW w:w="1527" w:type="dxa"/>
            <w:tcBorders>
              <w:top w:val="nil"/>
              <w:left w:val="nil"/>
              <w:bottom w:val="nil"/>
              <w:right w:val="nil"/>
            </w:tcBorders>
            <w:shd w:val="clear" w:color="auto" w:fill="FFFFFF"/>
            <w:tcMar>
              <w:left w:w="67" w:type="dxa"/>
              <w:right w:w="67" w:type="dxa"/>
            </w:tcMar>
          </w:tcPr>
          <w:p w14:paraId="5D93F82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1087 (6.75%)</w:t>
            </w:r>
          </w:p>
        </w:tc>
        <w:tc>
          <w:tcPr>
            <w:tcW w:w="1469" w:type="dxa"/>
            <w:tcBorders>
              <w:top w:val="nil"/>
              <w:left w:val="nil"/>
              <w:bottom w:val="nil"/>
              <w:right w:val="nil"/>
            </w:tcBorders>
            <w:shd w:val="clear" w:color="auto" w:fill="FFFFFF"/>
            <w:tcMar>
              <w:left w:w="67" w:type="dxa"/>
              <w:right w:w="67" w:type="dxa"/>
            </w:tcMar>
          </w:tcPr>
          <w:p w14:paraId="10A41B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850 (7.12%)</w:t>
            </w:r>
          </w:p>
        </w:tc>
        <w:tc>
          <w:tcPr>
            <w:tcW w:w="1751" w:type="dxa"/>
            <w:tcBorders>
              <w:top w:val="nil"/>
              <w:left w:val="nil"/>
              <w:bottom w:val="nil"/>
              <w:right w:val="nil"/>
            </w:tcBorders>
            <w:shd w:val="clear" w:color="auto" w:fill="FFFFFF"/>
            <w:tcMar>
              <w:left w:w="67" w:type="dxa"/>
              <w:right w:w="67" w:type="dxa"/>
            </w:tcMar>
          </w:tcPr>
          <w:p w14:paraId="02B8541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774 (6.72%)</w:t>
            </w:r>
          </w:p>
        </w:tc>
        <w:tc>
          <w:tcPr>
            <w:tcW w:w="1561" w:type="dxa"/>
            <w:tcBorders>
              <w:top w:val="nil"/>
              <w:left w:val="nil"/>
              <w:bottom w:val="nil"/>
              <w:right w:val="nil"/>
            </w:tcBorders>
            <w:shd w:val="clear" w:color="auto" w:fill="FFFFFF"/>
            <w:tcMar>
              <w:left w:w="67" w:type="dxa"/>
              <w:right w:w="67" w:type="dxa"/>
            </w:tcMar>
          </w:tcPr>
          <w:p w14:paraId="747E6DD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813 (6.85%)</w:t>
            </w:r>
          </w:p>
        </w:tc>
        <w:tc>
          <w:tcPr>
            <w:tcW w:w="1469" w:type="dxa"/>
            <w:tcBorders>
              <w:top w:val="nil"/>
              <w:left w:val="nil"/>
              <w:bottom w:val="nil"/>
              <w:right w:val="single" w:sz="11" w:space="0" w:color="000000"/>
            </w:tcBorders>
            <w:shd w:val="clear" w:color="auto" w:fill="FFFFFF"/>
            <w:tcMar>
              <w:left w:w="67" w:type="dxa"/>
              <w:right w:w="67" w:type="dxa"/>
            </w:tcMar>
          </w:tcPr>
          <w:p w14:paraId="3147A9A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4467 (6.84%)</w:t>
            </w:r>
          </w:p>
        </w:tc>
      </w:tr>
      <w:tr w:rsidR="00B77EA3" w:rsidRPr="0082484A" w14:paraId="09051817"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398F7AA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w:t>
            </w:r>
          </w:p>
        </w:tc>
        <w:tc>
          <w:tcPr>
            <w:tcW w:w="1469" w:type="dxa"/>
            <w:tcBorders>
              <w:top w:val="nil"/>
              <w:left w:val="nil"/>
              <w:bottom w:val="nil"/>
              <w:right w:val="nil"/>
            </w:tcBorders>
            <w:shd w:val="clear" w:color="auto" w:fill="FFFFFF"/>
            <w:tcMar>
              <w:left w:w="67" w:type="dxa"/>
              <w:right w:w="67" w:type="dxa"/>
            </w:tcMar>
          </w:tcPr>
          <w:p w14:paraId="5060C67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411 (2.97%)</w:t>
            </w:r>
          </w:p>
        </w:tc>
        <w:tc>
          <w:tcPr>
            <w:tcW w:w="1527" w:type="dxa"/>
            <w:tcBorders>
              <w:top w:val="nil"/>
              <w:left w:val="nil"/>
              <w:bottom w:val="nil"/>
              <w:right w:val="nil"/>
            </w:tcBorders>
            <w:shd w:val="clear" w:color="auto" w:fill="FFFFFF"/>
            <w:tcMar>
              <w:left w:w="67" w:type="dxa"/>
              <w:right w:w="67" w:type="dxa"/>
            </w:tcMar>
          </w:tcPr>
          <w:p w14:paraId="2BAA716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455 (2.83%)</w:t>
            </w:r>
          </w:p>
        </w:tc>
        <w:tc>
          <w:tcPr>
            <w:tcW w:w="1469" w:type="dxa"/>
            <w:tcBorders>
              <w:top w:val="nil"/>
              <w:left w:val="nil"/>
              <w:bottom w:val="nil"/>
              <w:right w:val="nil"/>
            </w:tcBorders>
            <w:shd w:val="clear" w:color="auto" w:fill="FFFFFF"/>
            <w:tcMar>
              <w:left w:w="67" w:type="dxa"/>
              <w:right w:w="67" w:type="dxa"/>
            </w:tcMar>
          </w:tcPr>
          <w:p w14:paraId="44CCB89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365 (3.06%)</w:t>
            </w:r>
          </w:p>
        </w:tc>
        <w:tc>
          <w:tcPr>
            <w:tcW w:w="1751" w:type="dxa"/>
            <w:tcBorders>
              <w:top w:val="nil"/>
              <w:left w:val="nil"/>
              <w:bottom w:val="nil"/>
              <w:right w:val="nil"/>
            </w:tcBorders>
            <w:shd w:val="clear" w:color="auto" w:fill="FFFFFF"/>
            <w:tcMar>
              <w:left w:w="67" w:type="dxa"/>
              <w:right w:w="67" w:type="dxa"/>
            </w:tcMar>
          </w:tcPr>
          <w:p w14:paraId="7CD303B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340 (2.95%)</w:t>
            </w:r>
          </w:p>
        </w:tc>
        <w:tc>
          <w:tcPr>
            <w:tcW w:w="1561" w:type="dxa"/>
            <w:tcBorders>
              <w:top w:val="nil"/>
              <w:left w:val="nil"/>
              <w:bottom w:val="nil"/>
              <w:right w:val="nil"/>
            </w:tcBorders>
            <w:shd w:val="clear" w:color="auto" w:fill="FFFFFF"/>
            <w:tcMar>
              <w:left w:w="67" w:type="dxa"/>
              <w:right w:w="67" w:type="dxa"/>
            </w:tcMar>
          </w:tcPr>
          <w:p w14:paraId="4643B6B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308 (2.59%)</w:t>
            </w:r>
          </w:p>
        </w:tc>
        <w:tc>
          <w:tcPr>
            <w:tcW w:w="1469" w:type="dxa"/>
            <w:tcBorders>
              <w:top w:val="nil"/>
              <w:left w:val="nil"/>
              <w:bottom w:val="nil"/>
              <w:right w:val="single" w:sz="11" w:space="0" w:color="000000"/>
            </w:tcBorders>
            <w:shd w:val="clear" w:color="auto" w:fill="FFFFFF"/>
            <w:tcMar>
              <w:left w:w="67" w:type="dxa"/>
              <w:right w:w="67" w:type="dxa"/>
            </w:tcMar>
          </w:tcPr>
          <w:p w14:paraId="2EC6505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1879 (2.88%)</w:t>
            </w:r>
          </w:p>
        </w:tc>
      </w:tr>
      <w:tr w:rsidR="00B77EA3" w:rsidRPr="0082484A" w14:paraId="2FEB6C4D"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2379CED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w:t>
            </w:r>
          </w:p>
        </w:tc>
        <w:tc>
          <w:tcPr>
            <w:tcW w:w="1469" w:type="dxa"/>
            <w:tcBorders>
              <w:top w:val="nil"/>
              <w:left w:val="nil"/>
              <w:bottom w:val="nil"/>
              <w:right w:val="nil"/>
            </w:tcBorders>
            <w:shd w:val="clear" w:color="auto" w:fill="FFFFFF"/>
            <w:tcMar>
              <w:left w:w="67" w:type="dxa"/>
              <w:right w:w="67" w:type="dxa"/>
            </w:tcMar>
          </w:tcPr>
          <w:p w14:paraId="13011FE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129 (0.93%)</w:t>
            </w:r>
          </w:p>
        </w:tc>
        <w:tc>
          <w:tcPr>
            <w:tcW w:w="1527" w:type="dxa"/>
            <w:tcBorders>
              <w:top w:val="nil"/>
              <w:left w:val="nil"/>
              <w:bottom w:val="nil"/>
              <w:right w:val="nil"/>
            </w:tcBorders>
            <w:shd w:val="clear" w:color="auto" w:fill="FFFFFF"/>
            <w:tcMar>
              <w:left w:w="67" w:type="dxa"/>
              <w:right w:w="67" w:type="dxa"/>
            </w:tcMar>
          </w:tcPr>
          <w:p w14:paraId="2D323FF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167 (1.04%)</w:t>
            </w:r>
          </w:p>
        </w:tc>
        <w:tc>
          <w:tcPr>
            <w:tcW w:w="1469" w:type="dxa"/>
            <w:tcBorders>
              <w:top w:val="nil"/>
              <w:left w:val="nil"/>
              <w:bottom w:val="nil"/>
              <w:right w:val="nil"/>
            </w:tcBorders>
            <w:shd w:val="clear" w:color="auto" w:fill="FFFFFF"/>
            <w:tcMar>
              <w:left w:w="67" w:type="dxa"/>
              <w:right w:w="67" w:type="dxa"/>
            </w:tcMar>
          </w:tcPr>
          <w:p w14:paraId="7BCD503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109 (0.91%)</w:t>
            </w:r>
          </w:p>
        </w:tc>
        <w:tc>
          <w:tcPr>
            <w:tcW w:w="1751" w:type="dxa"/>
            <w:tcBorders>
              <w:top w:val="nil"/>
              <w:left w:val="nil"/>
              <w:bottom w:val="nil"/>
              <w:right w:val="nil"/>
            </w:tcBorders>
            <w:shd w:val="clear" w:color="auto" w:fill="FFFFFF"/>
            <w:tcMar>
              <w:left w:w="67" w:type="dxa"/>
              <w:right w:w="67" w:type="dxa"/>
            </w:tcMar>
          </w:tcPr>
          <w:p w14:paraId="0E8ADAC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94 (0.82%)</w:t>
            </w:r>
          </w:p>
        </w:tc>
        <w:tc>
          <w:tcPr>
            <w:tcW w:w="1561" w:type="dxa"/>
            <w:tcBorders>
              <w:top w:val="nil"/>
              <w:left w:val="nil"/>
              <w:bottom w:val="nil"/>
              <w:right w:val="nil"/>
            </w:tcBorders>
            <w:shd w:val="clear" w:color="auto" w:fill="FFFFFF"/>
            <w:tcMar>
              <w:left w:w="67" w:type="dxa"/>
              <w:right w:w="67" w:type="dxa"/>
            </w:tcMar>
          </w:tcPr>
          <w:p w14:paraId="7FF879F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104 (0.88%)</w:t>
            </w:r>
          </w:p>
        </w:tc>
        <w:tc>
          <w:tcPr>
            <w:tcW w:w="1469" w:type="dxa"/>
            <w:tcBorders>
              <w:top w:val="nil"/>
              <w:left w:val="nil"/>
              <w:bottom w:val="nil"/>
              <w:right w:val="single" w:sz="11" w:space="0" w:color="000000"/>
            </w:tcBorders>
            <w:shd w:val="clear" w:color="auto" w:fill="FFFFFF"/>
            <w:tcMar>
              <w:left w:w="67" w:type="dxa"/>
              <w:right w:w="67" w:type="dxa"/>
            </w:tcMar>
          </w:tcPr>
          <w:p w14:paraId="7A6C830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603 (0.92%)</w:t>
            </w:r>
          </w:p>
        </w:tc>
      </w:tr>
      <w:tr w:rsidR="00B77EA3" w:rsidRPr="0082484A" w14:paraId="6120D7E3"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75A687D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w:t>
            </w:r>
          </w:p>
        </w:tc>
        <w:tc>
          <w:tcPr>
            <w:tcW w:w="1469" w:type="dxa"/>
            <w:tcBorders>
              <w:top w:val="nil"/>
              <w:left w:val="nil"/>
              <w:bottom w:val="nil"/>
              <w:right w:val="nil"/>
            </w:tcBorders>
            <w:shd w:val="clear" w:color="auto" w:fill="FFFFFF"/>
            <w:tcMar>
              <w:left w:w="67" w:type="dxa"/>
              <w:right w:w="67" w:type="dxa"/>
            </w:tcMar>
          </w:tcPr>
          <w:p w14:paraId="10B5E99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35 (0.25%)</w:t>
            </w:r>
          </w:p>
        </w:tc>
        <w:tc>
          <w:tcPr>
            <w:tcW w:w="1527" w:type="dxa"/>
            <w:tcBorders>
              <w:top w:val="nil"/>
              <w:left w:val="nil"/>
              <w:bottom w:val="nil"/>
              <w:right w:val="nil"/>
            </w:tcBorders>
            <w:shd w:val="clear" w:color="auto" w:fill="FFFFFF"/>
            <w:tcMar>
              <w:left w:w="67" w:type="dxa"/>
              <w:right w:w="67" w:type="dxa"/>
            </w:tcMar>
          </w:tcPr>
          <w:p w14:paraId="2DD03A5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50 (0.31%)</w:t>
            </w:r>
          </w:p>
        </w:tc>
        <w:tc>
          <w:tcPr>
            <w:tcW w:w="1469" w:type="dxa"/>
            <w:tcBorders>
              <w:top w:val="nil"/>
              <w:left w:val="nil"/>
              <w:bottom w:val="nil"/>
              <w:right w:val="nil"/>
            </w:tcBorders>
            <w:shd w:val="clear" w:color="auto" w:fill="FFFFFF"/>
            <w:tcMar>
              <w:left w:w="67" w:type="dxa"/>
              <w:right w:w="67" w:type="dxa"/>
            </w:tcMar>
          </w:tcPr>
          <w:p w14:paraId="285A598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36 (0.30%)</w:t>
            </w:r>
          </w:p>
        </w:tc>
        <w:tc>
          <w:tcPr>
            <w:tcW w:w="1751" w:type="dxa"/>
            <w:tcBorders>
              <w:top w:val="nil"/>
              <w:left w:val="nil"/>
              <w:bottom w:val="nil"/>
              <w:right w:val="nil"/>
            </w:tcBorders>
            <w:shd w:val="clear" w:color="auto" w:fill="FFFFFF"/>
            <w:tcMar>
              <w:left w:w="67" w:type="dxa"/>
              <w:right w:w="67" w:type="dxa"/>
            </w:tcMar>
          </w:tcPr>
          <w:p w14:paraId="2D29153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34 (0.30%)</w:t>
            </w:r>
          </w:p>
        </w:tc>
        <w:tc>
          <w:tcPr>
            <w:tcW w:w="1561" w:type="dxa"/>
            <w:tcBorders>
              <w:top w:val="nil"/>
              <w:left w:val="nil"/>
              <w:bottom w:val="nil"/>
              <w:right w:val="nil"/>
            </w:tcBorders>
            <w:shd w:val="clear" w:color="auto" w:fill="FFFFFF"/>
            <w:tcMar>
              <w:left w:w="67" w:type="dxa"/>
              <w:right w:w="67" w:type="dxa"/>
            </w:tcMar>
          </w:tcPr>
          <w:p w14:paraId="1C1FA6E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31 (0.26%)</w:t>
            </w:r>
          </w:p>
        </w:tc>
        <w:tc>
          <w:tcPr>
            <w:tcW w:w="1469" w:type="dxa"/>
            <w:tcBorders>
              <w:top w:val="nil"/>
              <w:left w:val="nil"/>
              <w:bottom w:val="nil"/>
              <w:right w:val="single" w:sz="11" w:space="0" w:color="000000"/>
            </w:tcBorders>
            <w:shd w:val="clear" w:color="auto" w:fill="FFFFFF"/>
            <w:tcMar>
              <w:left w:w="67" w:type="dxa"/>
              <w:right w:w="67" w:type="dxa"/>
            </w:tcMar>
          </w:tcPr>
          <w:p w14:paraId="055320E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186 (0.28%)</w:t>
            </w:r>
          </w:p>
        </w:tc>
      </w:tr>
      <w:tr w:rsidR="00B77EA3" w:rsidRPr="0082484A" w14:paraId="43D55680"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4407073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w:t>
            </w:r>
          </w:p>
        </w:tc>
        <w:tc>
          <w:tcPr>
            <w:tcW w:w="1469" w:type="dxa"/>
            <w:tcBorders>
              <w:top w:val="nil"/>
              <w:left w:val="nil"/>
              <w:bottom w:val="nil"/>
              <w:right w:val="nil"/>
            </w:tcBorders>
            <w:shd w:val="clear" w:color="auto" w:fill="FFFFFF"/>
            <w:tcMar>
              <w:left w:w="67" w:type="dxa"/>
              <w:right w:w="67" w:type="dxa"/>
            </w:tcMar>
          </w:tcPr>
          <w:p w14:paraId="5CAD9EF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 (0.09%)</w:t>
            </w:r>
          </w:p>
        </w:tc>
        <w:tc>
          <w:tcPr>
            <w:tcW w:w="1527" w:type="dxa"/>
            <w:tcBorders>
              <w:top w:val="nil"/>
              <w:left w:val="nil"/>
              <w:bottom w:val="nil"/>
              <w:right w:val="nil"/>
            </w:tcBorders>
            <w:shd w:val="clear" w:color="auto" w:fill="FFFFFF"/>
            <w:tcMar>
              <w:left w:w="67" w:type="dxa"/>
              <w:right w:w="67" w:type="dxa"/>
            </w:tcMar>
          </w:tcPr>
          <w:p w14:paraId="0BB7D0C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 (0.06%)</w:t>
            </w:r>
          </w:p>
        </w:tc>
        <w:tc>
          <w:tcPr>
            <w:tcW w:w="1469" w:type="dxa"/>
            <w:tcBorders>
              <w:top w:val="nil"/>
              <w:left w:val="nil"/>
              <w:bottom w:val="nil"/>
              <w:right w:val="nil"/>
            </w:tcBorders>
            <w:shd w:val="clear" w:color="auto" w:fill="FFFFFF"/>
            <w:tcMar>
              <w:left w:w="67" w:type="dxa"/>
              <w:right w:w="67" w:type="dxa"/>
            </w:tcMar>
          </w:tcPr>
          <w:p w14:paraId="25D14FD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 (0.06%)</w:t>
            </w:r>
          </w:p>
        </w:tc>
        <w:tc>
          <w:tcPr>
            <w:tcW w:w="1751" w:type="dxa"/>
            <w:tcBorders>
              <w:top w:val="nil"/>
              <w:left w:val="nil"/>
              <w:bottom w:val="nil"/>
              <w:right w:val="nil"/>
            </w:tcBorders>
            <w:shd w:val="clear" w:color="auto" w:fill="FFFFFF"/>
            <w:tcMar>
              <w:left w:w="67" w:type="dxa"/>
              <w:right w:w="67" w:type="dxa"/>
            </w:tcMar>
          </w:tcPr>
          <w:p w14:paraId="69F0B40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 (0.04%)</w:t>
            </w:r>
          </w:p>
        </w:tc>
        <w:tc>
          <w:tcPr>
            <w:tcW w:w="1561" w:type="dxa"/>
            <w:tcBorders>
              <w:top w:val="nil"/>
              <w:left w:val="nil"/>
              <w:bottom w:val="nil"/>
              <w:right w:val="nil"/>
            </w:tcBorders>
            <w:shd w:val="clear" w:color="auto" w:fill="FFFFFF"/>
            <w:tcMar>
              <w:left w:w="67" w:type="dxa"/>
              <w:right w:w="67" w:type="dxa"/>
            </w:tcMar>
          </w:tcPr>
          <w:p w14:paraId="5236A6D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 (0.03%)</w:t>
            </w:r>
          </w:p>
        </w:tc>
        <w:tc>
          <w:tcPr>
            <w:tcW w:w="1469" w:type="dxa"/>
            <w:tcBorders>
              <w:top w:val="nil"/>
              <w:left w:val="nil"/>
              <w:bottom w:val="nil"/>
              <w:right w:val="single" w:sz="11" w:space="0" w:color="000000"/>
            </w:tcBorders>
            <w:shd w:val="clear" w:color="auto" w:fill="FFFFFF"/>
            <w:tcMar>
              <w:left w:w="67" w:type="dxa"/>
              <w:right w:w="67" w:type="dxa"/>
            </w:tcMar>
          </w:tcPr>
          <w:p w14:paraId="15AA5D9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39 (0.06%)</w:t>
            </w:r>
          </w:p>
        </w:tc>
      </w:tr>
      <w:tr w:rsidR="00B77EA3" w:rsidRPr="0082484A" w14:paraId="023FD6A1" w14:textId="77777777" w:rsidTr="00B77EA3">
        <w:trPr>
          <w:cantSplit/>
          <w:jc w:val="center"/>
        </w:trPr>
        <w:tc>
          <w:tcPr>
            <w:tcW w:w="1474" w:type="dxa"/>
            <w:tcBorders>
              <w:top w:val="nil"/>
              <w:left w:val="single" w:sz="11" w:space="0" w:color="000000"/>
              <w:bottom w:val="nil"/>
              <w:right w:val="nil"/>
            </w:tcBorders>
            <w:shd w:val="clear" w:color="auto" w:fill="FFFFFF"/>
            <w:tcMar>
              <w:left w:w="67" w:type="dxa"/>
              <w:right w:w="67" w:type="dxa"/>
            </w:tcMar>
          </w:tcPr>
          <w:p w14:paraId="6A6454D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w:t>
            </w:r>
          </w:p>
        </w:tc>
        <w:tc>
          <w:tcPr>
            <w:tcW w:w="1469" w:type="dxa"/>
            <w:tcBorders>
              <w:top w:val="nil"/>
              <w:left w:val="nil"/>
              <w:bottom w:val="nil"/>
              <w:right w:val="nil"/>
            </w:tcBorders>
            <w:shd w:val="clear" w:color="auto" w:fill="FFFFFF"/>
            <w:tcMar>
              <w:left w:w="67" w:type="dxa"/>
              <w:right w:w="67" w:type="dxa"/>
            </w:tcMar>
          </w:tcPr>
          <w:p w14:paraId="2618F03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 (0.02%)</w:t>
            </w:r>
          </w:p>
        </w:tc>
        <w:tc>
          <w:tcPr>
            <w:tcW w:w="1527" w:type="dxa"/>
            <w:tcBorders>
              <w:top w:val="nil"/>
              <w:left w:val="nil"/>
              <w:bottom w:val="nil"/>
              <w:right w:val="nil"/>
            </w:tcBorders>
            <w:shd w:val="clear" w:color="auto" w:fill="FFFFFF"/>
            <w:tcMar>
              <w:left w:w="67" w:type="dxa"/>
              <w:right w:w="67" w:type="dxa"/>
            </w:tcMar>
          </w:tcPr>
          <w:p w14:paraId="25C340F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(0.01%)</w:t>
            </w:r>
          </w:p>
        </w:tc>
        <w:tc>
          <w:tcPr>
            <w:tcW w:w="1469" w:type="dxa"/>
            <w:tcBorders>
              <w:top w:val="nil"/>
              <w:left w:val="nil"/>
              <w:bottom w:val="nil"/>
              <w:right w:val="nil"/>
            </w:tcBorders>
            <w:shd w:val="clear" w:color="auto" w:fill="FFFFFF"/>
            <w:tcMar>
              <w:left w:w="67" w:type="dxa"/>
              <w:right w:w="67" w:type="dxa"/>
            </w:tcMar>
          </w:tcPr>
          <w:p w14:paraId="4EA05AA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 (0.00%)</w:t>
            </w:r>
          </w:p>
        </w:tc>
        <w:tc>
          <w:tcPr>
            <w:tcW w:w="1751" w:type="dxa"/>
            <w:tcBorders>
              <w:top w:val="nil"/>
              <w:left w:val="nil"/>
              <w:bottom w:val="nil"/>
              <w:right w:val="nil"/>
            </w:tcBorders>
            <w:shd w:val="clear" w:color="auto" w:fill="FFFFFF"/>
            <w:tcMar>
              <w:left w:w="67" w:type="dxa"/>
              <w:right w:w="67" w:type="dxa"/>
            </w:tcMar>
          </w:tcPr>
          <w:p w14:paraId="78C1F2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 (0.02%)</w:t>
            </w:r>
          </w:p>
        </w:tc>
        <w:tc>
          <w:tcPr>
            <w:tcW w:w="1561" w:type="dxa"/>
            <w:tcBorders>
              <w:top w:val="nil"/>
              <w:left w:val="nil"/>
              <w:bottom w:val="nil"/>
              <w:right w:val="nil"/>
            </w:tcBorders>
            <w:shd w:val="clear" w:color="auto" w:fill="FFFFFF"/>
            <w:tcMar>
              <w:left w:w="67" w:type="dxa"/>
              <w:right w:w="67" w:type="dxa"/>
            </w:tcMar>
          </w:tcPr>
          <w:p w14:paraId="4379AB6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(0.01%)</w:t>
            </w:r>
          </w:p>
        </w:tc>
        <w:tc>
          <w:tcPr>
            <w:tcW w:w="1469" w:type="dxa"/>
            <w:tcBorders>
              <w:top w:val="nil"/>
              <w:left w:val="nil"/>
              <w:bottom w:val="nil"/>
              <w:right w:val="single" w:sz="11" w:space="0" w:color="000000"/>
            </w:tcBorders>
            <w:shd w:val="clear" w:color="auto" w:fill="FFFFFF"/>
            <w:tcMar>
              <w:left w:w="67" w:type="dxa"/>
              <w:right w:w="67" w:type="dxa"/>
            </w:tcMar>
          </w:tcPr>
          <w:p w14:paraId="2DB134B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 (0.01%)</w:t>
            </w:r>
          </w:p>
        </w:tc>
      </w:tr>
      <w:tr w:rsidR="00B77EA3" w:rsidRPr="0082484A" w14:paraId="369C4922" w14:textId="77777777" w:rsidTr="00B77EA3">
        <w:trPr>
          <w:cantSplit/>
          <w:jc w:val="center"/>
        </w:trPr>
        <w:tc>
          <w:tcPr>
            <w:tcW w:w="1474" w:type="dxa"/>
            <w:tcBorders>
              <w:top w:val="nil"/>
              <w:left w:val="single" w:sz="11" w:space="0" w:color="000000"/>
              <w:bottom w:val="single" w:sz="11" w:space="0" w:color="000000"/>
              <w:right w:val="nil"/>
            </w:tcBorders>
            <w:shd w:val="clear" w:color="auto" w:fill="FFFFFF"/>
            <w:tcMar>
              <w:left w:w="67" w:type="dxa"/>
              <w:right w:w="67" w:type="dxa"/>
            </w:tcMar>
          </w:tcPr>
          <w:p w14:paraId="66198DE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single" w:sz="11" w:space="0" w:color="000000"/>
              <w:right w:val="nil"/>
            </w:tcBorders>
            <w:shd w:val="clear" w:color="auto" w:fill="FFFFFF"/>
            <w:tcMar>
              <w:left w:w="67" w:type="dxa"/>
              <w:right w:w="67" w:type="dxa"/>
            </w:tcMar>
          </w:tcPr>
          <w:p w14:paraId="7D66496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7" w:type="dxa"/>
            <w:tcBorders>
              <w:top w:val="nil"/>
              <w:left w:val="nil"/>
              <w:bottom w:val="single" w:sz="11" w:space="0" w:color="000000"/>
              <w:right w:val="nil"/>
            </w:tcBorders>
            <w:shd w:val="clear" w:color="auto" w:fill="FFFFFF"/>
            <w:tcMar>
              <w:left w:w="67" w:type="dxa"/>
              <w:right w:w="67" w:type="dxa"/>
            </w:tcMar>
          </w:tcPr>
          <w:p w14:paraId="581A43B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single" w:sz="11" w:space="0" w:color="000000"/>
              <w:right w:val="nil"/>
            </w:tcBorders>
            <w:shd w:val="clear" w:color="auto" w:fill="FFFFFF"/>
            <w:tcMar>
              <w:left w:w="67" w:type="dxa"/>
              <w:right w:w="67" w:type="dxa"/>
            </w:tcMar>
          </w:tcPr>
          <w:p w14:paraId="02A49AED"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751" w:type="dxa"/>
            <w:tcBorders>
              <w:top w:val="nil"/>
              <w:left w:val="nil"/>
              <w:bottom w:val="single" w:sz="11" w:space="0" w:color="000000"/>
              <w:right w:val="nil"/>
            </w:tcBorders>
            <w:shd w:val="clear" w:color="auto" w:fill="FFFFFF"/>
            <w:tcMar>
              <w:left w:w="67" w:type="dxa"/>
              <w:right w:w="67" w:type="dxa"/>
            </w:tcMar>
          </w:tcPr>
          <w:p w14:paraId="7FD82899"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1" w:type="dxa"/>
            <w:tcBorders>
              <w:top w:val="nil"/>
              <w:left w:val="nil"/>
              <w:bottom w:val="single" w:sz="11" w:space="0" w:color="000000"/>
              <w:right w:val="nil"/>
            </w:tcBorders>
            <w:shd w:val="clear" w:color="auto" w:fill="FFFFFF"/>
            <w:tcMar>
              <w:left w:w="67" w:type="dxa"/>
              <w:right w:w="67" w:type="dxa"/>
            </w:tcMar>
          </w:tcPr>
          <w:p w14:paraId="229A5FC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69" w:type="dxa"/>
            <w:tcBorders>
              <w:top w:val="nil"/>
              <w:left w:val="nil"/>
              <w:bottom w:val="single" w:sz="11" w:space="0" w:color="000000"/>
              <w:right w:val="single" w:sz="11" w:space="0" w:color="000000"/>
            </w:tcBorders>
            <w:shd w:val="clear" w:color="auto" w:fill="FFFFFF"/>
            <w:tcMar>
              <w:left w:w="67" w:type="dxa"/>
              <w:right w:w="67" w:type="dxa"/>
            </w:tcMar>
          </w:tcPr>
          <w:p w14:paraId="17586EB8"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bl>
    <w:p w14:paraId="24AE7159" w14:textId="5A2205CE" w:rsidR="006309F7" w:rsidRPr="0082484A" w:rsidRDefault="006309F7">
      <w:pPr>
        <w:spacing w:after="200"/>
        <w:rPr>
          <w:color w:val="FF0000"/>
          <w:sz w:val="22"/>
          <w:szCs w:val="22"/>
        </w:rPr>
      </w:pPr>
      <w:r w:rsidRPr="0082484A">
        <w:rPr>
          <w:color w:val="FF0000"/>
          <w:sz w:val="22"/>
          <w:szCs w:val="22"/>
        </w:rPr>
        <w:br w:type="page"/>
      </w:r>
    </w:p>
    <w:p w14:paraId="39EA0BE0" w14:textId="4AF6F121" w:rsidR="00B77EA3" w:rsidRPr="0082484A" w:rsidRDefault="00B77EA3" w:rsidP="0082484A">
      <w:pPr>
        <w:spacing w:after="200"/>
        <w:rPr>
          <w:sz w:val="22"/>
          <w:szCs w:val="22"/>
        </w:rPr>
      </w:pPr>
      <w:bookmarkStart w:id="35" w:name="_Ref501103670"/>
      <w:bookmarkStart w:id="36" w:name="_Toc8728080"/>
      <w:bookmarkStart w:id="37" w:name="_Toc19526739"/>
      <w:r w:rsidRPr="0082484A">
        <w:rPr>
          <w:sz w:val="22"/>
          <w:szCs w:val="22"/>
        </w:rPr>
        <w:lastRenderedPageBreak/>
        <w:t xml:space="preserve">Table </w:t>
      </w:r>
      <w:r w:rsidRPr="0082484A">
        <w:rPr>
          <w:b/>
          <w:noProof/>
          <w:sz w:val="22"/>
          <w:szCs w:val="22"/>
        </w:rPr>
        <w:fldChar w:fldCharType="begin"/>
      </w:r>
      <w:r w:rsidRPr="0082484A">
        <w:rPr>
          <w:noProof/>
          <w:sz w:val="22"/>
          <w:szCs w:val="22"/>
        </w:rPr>
        <w:instrText xml:space="preserve"> SEQ Table \* ARABIC </w:instrText>
      </w:r>
      <w:r w:rsidRPr="0082484A">
        <w:rPr>
          <w:b/>
          <w:noProof/>
          <w:sz w:val="22"/>
          <w:szCs w:val="22"/>
        </w:rPr>
        <w:fldChar w:fldCharType="separate"/>
      </w:r>
      <w:r w:rsidR="00CC779E">
        <w:rPr>
          <w:noProof/>
          <w:sz w:val="22"/>
          <w:szCs w:val="22"/>
        </w:rPr>
        <w:t>10</w:t>
      </w:r>
      <w:r w:rsidRPr="0082484A">
        <w:rPr>
          <w:b/>
          <w:noProof/>
          <w:sz w:val="22"/>
          <w:szCs w:val="22"/>
        </w:rPr>
        <w:fldChar w:fldCharType="end"/>
      </w:r>
      <w:bookmarkEnd w:id="35"/>
      <w:r w:rsidRPr="0082484A">
        <w:rPr>
          <w:sz w:val="22"/>
          <w:szCs w:val="22"/>
        </w:rPr>
        <w:t>: Cluster-randomised evaluation: patient characteristics at baseline by trial arm (population relevant to the risky prescribing primary outcome) (WP4a)</w:t>
      </w:r>
      <w:bookmarkEnd w:id="36"/>
      <w:bookmarkEnd w:id="37"/>
    </w:p>
    <w:tbl>
      <w:tblPr>
        <w:tblW w:w="10762" w:type="dxa"/>
        <w:jc w:val="center"/>
        <w:tblLayout w:type="fixed"/>
        <w:tblCellMar>
          <w:left w:w="0" w:type="dxa"/>
          <w:right w:w="0" w:type="dxa"/>
        </w:tblCellMar>
        <w:tblLook w:val="0000" w:firstRow="0" w:lastRow="0" w:firstColumn="0" w:lastColumn="0" w:noHBand="0" w:noVBand="0"/>
      </w:tblPr>
      <w:tblGrid>
        <w:gridCol w:w="1404"/>
        <w:gridCol w:w="1605"/>
        <w:gridCol w:w="1534"/>
        <w:gridCol w:w="1478"/>
        <w:gridCol w:w="1696"/>
        <w:gridCol w:w="1567"/>
        <w:gridCol w:w="1478"/>
      </w:tblGrid>
      <w:tr w:rsidR="00B77EA3" w:rsidRPr="0082484A" w14:paraId="27100E29" w14:textId="77777777" w:rsidTr="0082484A">
        <w:trPr>
          <w:cantSplit/>
          <w:tblHeader/>
          <w:jc w:val="center"/>
        </w:trPr>
        <w:tc>
          <w:tcPr>
            <w:tcW w:w="1404" w:type="dxa"/>
            <w:tcBorders>
              <w:top w:val="single" w:sz="11" w:space="0" w:color="000000"/>
              <w:left w:val="single" w:sz="11" w:space="0" w:color="000000"/>
              <w:bottom w:val="single" w:sz="4" w:space="0" w:color="FFFFFF" w:themeColor="background1"/>
              <w:right w:val="nil"/>
            </w:tcBorders>
            <w:shd w:val="clear" w:color="auto" w:fill="FFFFFF"/>
            <w:tcMar>
              <w:left w:w="67" w:type="dxa"/>
              <w:right w:w="67" w:type="dxa"/>
            </w:tcMar>
            <w:vAlign w:val="bottom"/>
          </w:tcPr>
          <w:p w14:paraId="62D667BD"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bookmarkStart w:id="38" w:name="IDX8"/>
            <w:bookmarkEnd w:id="38"/>
          </w:p>
        </w:tc>
        <w:tc>
          <w:tcPr>
            <w:tcW w:w="3139"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5656B5EB"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rFonts w:eastAsia="Times New Roman"/>
                <w:bCs/>
                <w:sz w:val="22"/>
                <w:szCs w:val="22"/>
                <w:lang w:eastAsia="en-GB"/>
              </w:rPr>
              <w:t>Trial 1</w:t>
            </w:r>
          </w:p>
        </w:tc>
        <w:tc>
          <w:tcPr>
            <w:tcW w:w="3174"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578DE6AA"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rFonts w:eastAsia="Times New Roman"/>
                <w:bCs/>
                <w:sz w:val="22"/>
                <w:szCs w:val="22"/>
                <w:lang w:eastAsia="en-GB"/>
              </w:rPr>
              <w:t>Trial 2</w:t>
            </w:r>
          </w:p>
        </w:tc>
        <w:tc>
          <w:tcPr>
            <w:tcW w:w="1567" w:type="dxa"/>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79D6EFFB"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478" w:type="dxa"/>
            <w:tcBorders>
              <w:top w:val="single" w:sz="11" w:space="0" w:color="000000"/>
              <w:left w:val="nil"/>
              <w:bottom w:val="single" w:sz="4" w:space="0" w:color="FFFFFF" w:themeColor="background1"/>
              <w:right w:val="single" w:sz="11" w:space="0" w:color="000000"/>
            </w:tcBorders>
            <w:shd w:val="clear" w:color="auto" w:fill="FFFFFF"/>
            <w:tcMar>
              <w:left w:w="67" w:type="dxa"/>
              <w:right w:w="67" w:type="dxa"/>
            </w:tcMar>
            <w:vAlign w:val="bottom"/>
          </w:tcPr>
          <w:p w14:paraId="45C1636C"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r>
      <w:tr w:rsidR="00B77EA3" w:rsidRPr="0082484A" w14:paraId="3A4AEA92" w14:textId="77777777" w:rsidTr="0082484A">
        <w:trPr>
          <w:cantSplit/>
          <w:tblHeader/>
          <w:jc w:val="center"/>
        </w:trPr>
        <w:tc>
          <w:tcPr>
            <w:tcW w:w="1404" w:type="dxa"/>
            <w:tcBorders>
              <w:top w:val="single" w:sz="4" w:space="0" w:color="FFFFFF" w:themeColor="background1"/>
              <w:left w:val="single" w:sz="11" w:space="0" w:color="000000"/>
              <w:bottom w:val="single" w:sz="4" w:space="0" w:color="000000"/>
              <w:right w:val="nil"/>
            </w:tcBorders>
            <w:shd w:val="clear" w:color="auto" w:fill="FFFFFF"/>
            <w:tcMar>
              <w:left w:w="67" w:type="dxa"/>
              <w:right w:w="67" w:type="dxa"/>
            </w:tcMar>
            <w:vAlign w:val="bottom"/>
          </w:tcPr>
          <w:p w14:paraId="2DFC1243"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605"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3A55663D"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Diabetes control (n=16532)</w:t>
            </w:r>
          </w:p>
        </w:tc>
        <w:tc>
          <w:tcPr>
            <w:tcW w:w="153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793FFA17"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Risky prescribing (n=17454)</w:t>
            </w:r>
          </w:p>
        </w:tc>
        <w:tc>
          <w:tcPr>
            <w:tcW w:w="1478"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266A2C95"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Blood pressure control (n=14953)</w:t>
            </w:r>
          </w:p>
        </w:tc>
        <w:tc>
          <w:tcPr>
            <w:tcW w:w="1696"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523D1D14"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Anticoagulation in AF (n=14147)</w:t>
            </w:r>
          </w:p>
        </w:tc>
        <w:tc>
          <w:tcPr>
            <w:tcW w:w="1567"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0D917703"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Non-intervention (n=12950)</w:t>
            </w:r>
          </w:p>
        </w:tc>
        <w:tc>
          <w:tcPr>
            <w:tcW w:w="1478" w:type="dxa"/>
            <w:tcBorders>
              <w:top w:val="single" w:sz="4" w:space="0" w:color="FFFFFF" w:themeColor="background1"/>
              <w:left w:val="nil"/>
              <w:bottom w:val="single" w:sz="4" w:space="0" w:color="000000"/>
              <w:right w:val="single" w:sz="11" w:space="0" w:color="000000"/>
            </w:tcBorders>
            <w:shd w:val="clear" w:color="auto" w:fill="FFFFFF"/>
            <w:tcMar>
              <w:left w:w="67" w:type="dxa"/>
              <w:right w:w="67" w:type="dxa"/>
            </w:tcMar>
            <w:vAlign w:val="bottom"/>
          </w:tcPr>
          <w:p w14:paraId="208F7367"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Total (n=76036)</w:t>
            </w:r>
          </w:p>
        </w:tc>
      </w:tr>
      <w:tr w:rsidR="00B77EA3" w:rsidRPr="0082484A" w14:paraId="336240A1"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6715A6B2"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Age</w:t>
            </w:r>
          </w:p>
        </w:tc>
        <w:tc>
          <w:tcPr>
            <w:tcW w:w="1605" w:type="dxa"/>
            <w:tcBorders>
              <w:top w:val="nil"/>
              <w:left w:val="nil"/>
              <w:bottom w:val="nil"/>
              <w:right w:val="nil"/>
            </w:tcBorders>
            <w:shd w:val="clear" w:color="auto" w:fill="FFFFFF"/>
            <w:tcMar>
              <w:left w:w="67" w:type="dxa"/>
              <w:right w:w="67" w:type="dxa"/>
            </w:tcMar>
          </w:tcPr>
          <w:p w14:paraId="44A8FBB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34" w:type="dxa"/>
            <w:tcBorders>
              <w:top w:val="nil"/>
              <w:left w:val="nil"/>
              <w:bottom w:val="nil"/>
              <w:right w:val="nil"/>
            </w:tcBorders>
            <w:shd w:val="clear" w:color="auto" w:fill="FFFFFF"/>
            <w:tcMar>
              <w:left w:w="67" w:type="dxa"/>
              <w:right w:w="67" w:type="dxa"/>
            </w:tcMar>
          </w:tcPr>
          <w:p w14:paraId="21CC86E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nil"/>
            </w:tcBorders>
            <w:shd w:val="clear" w:color="auto" w:fill="FFFFFF"/>
            <w:tcMar>
              <w:left w:w="67" w:type="dxa"/>
              <w:right w:w="67" w:type="dxa"/>
            </w:tcMar>
          </w:tcPr>
          <w:p w14:paraId="3E5FF7F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6" w:type="dxa"/>
            <w:tcBorders>
              <w:top w:val="nil"/>
              <w:left w:val="nil"/>
              <w:bottom w:val="nil"/>
              <w:right w:val="nil"/>
            </w:tcBorders>
            <w:shd w:val="clear" w:color="auto" w:fill="FFFFFF"/>
            <w:tcMar>
              <w:left w:w="67" w:type="dxa"/>
              <w:right w:w="67" w:type="dxa"/>
            </w:tcMar>
          </w:tcPr>
          <w:p w14:paraId="02B9042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7" w:type="dxa"/>
            <w:tcBorders>
              <w:top w:val="nil"/>
              <w:left w:val="nil"/>
              <w:bottom w:val="nil"/>
              <w:right w:val="nil"/>
            </w:tcBorders>
            <w:shd w:val="clear" w:color="auto" w:fill="FFFFFF"/>
            <w:tcMar>
              <w:left w:w="67" w:type="dxa"/>
              <w:right w:w="67" w:type="dxa"/>
            </w:tcMar>
          </w:tcPr>
          <w:p w14:paraId="0EE1B10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single" w:sz="11" w:space="0" w:color="000000"/>
            </w:tcBorders>
            <w:shd w:val="clear" w:color="auto" w:fill="FFFFFF"/>
            <w:tcMar>
              <w:left w:w="67" w:type="dxa"/>
              <w:right w:w="67" w:type="dxa"/>
            </w:tcMar>
          </w:tcPr>
          <w:p w14:paraId="03501C8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79E2274A"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5B562A1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Mean (SD)</w:t>
            </w:r>
          </w:p>
        </w:tc>
        <w:tc>
          <w:tcPr>
            <w:tcW w:w="1605" w:type="dxa"/>
            <w:tcBorders>
              <w:top w:val="nil"/>
              <w:left w:val="nil"/>
              <w:bottom w:val="nil"/>
              <w:right w:val="nil"/>
            </w:tcBorders>
            <w:shd w:val="clear" w:color="auto" w:fill="FFFFFF"/>
            <w:tcMar>
              <w:left w:w="67" w:type="dxa"/>
              <w:right w:w="67" w:type="dxa"/>
            </w:tcMar>
          </w:tcPr>
          <w:p w14:paraId="1398CD4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72.65 (12.45)</w:t>
            </w:r>
          </w:p>
        </w:tc>
        <w:tc>
          <w:tcPr>
            <w:tcW w:w="1534" w:type="dxa"/>
            <w:tcBorders>
              <w:top w:val="nil"/>
              <w:left w:val="nil"/>
              <w:bottom w:val="nil"/>
              <w:right w:val="nil"/>
            </w:tcBorders>
            <w:shd w:val="clear" w:color="auto" w:fill="FFFFFF"/>
            <w:tcMar>
              <w:left w:w="67" w:type="dxa"/>
              <w:right w:w="67" w:type="dxa"/>
            </w:tcMar>
          </w:tcPr>
          <w:p w14:paraId="680712D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71.82 (12.63)</w:t>
            </w:r>
          </w:p>
        </w:tc>
        <w:tc>
          <w:tcPr>
            <w:tcW w:w="1478" w:type="dxa"/>
            <w:tcBorders>
              <w:top w:val="nil"/>
              <w:left w:val="nil"/>
              <w:bottom w:val="nil"/>
              <w:right w:val="nil"/>
            </w:tcBorders>
            <w:shd w:val="clear" w:color="auto" w:fill="FFFFFF"/>
            <w:tcMar>
              <w:left w:w="67" w:type="dxa"/>
              <w:right w:w="67" w:type="dxa"/>
            </w:tcMar>
          </w:tcPr>
          <w:p w14:paraId="726AFFA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72.53 (12.15)</w:t>
            </w:r>
          </w:p>
        </w:tc>
        <w:tc>
          <w:tcPr>
            <w:tcW w:w="1696" w:type="dxa"/>
            <w:tcBorders>
              <w:top w:val="nil"/>
              <w:left w:val="nil"/>
              <w:bottom w:val="nil"/>
              <w:right w:val="nil"/>
            </w:tcBorders>
            <w:shd w:val="clear" w:color="auto" w:fill="FFFFFF"/>
            <w:tcMar>
              <w:left w:w="67" w:type="dxa"/>
              <w:right w:w="67" w:type="dxa"/>
            </w:tcMar>
          </w:tcPr>
          <w:p w14:paraId="0DDF587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72.66 (12.31)</w:t>
            </w:r>
          </w:p>
        </w:tc>
        <w:tc>
          <w:tcPr>
            <w:tcW w:w="1567" w:type="dxa"/>
            <w:tcBorders>
              <w:top w:val="nil"/>
              <w:left w:val="nil"/>
              <w:bottom w:val="nil"/>
              <w:right w:val="nil"/>
            </w:tcBorders>
            <w:shd w:val="clear" w:color="auto" w:fill="FFFFFF"/>
            <w:tcMar>
              <w:left w:w="67" w:type="dxa"/>
              <w:right w:w="67" w:type="dxa"/>
            </w:tcMar>
          </w:tcPr>
          <w:p w14:paraId="4C51346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72.07 (12.50)</w:t>
            </w:r>
          </w:p>
        </w:tc>
        <w:tc>
          <w:tcPr>
            <w:tcW w:w="1478" w:type="dxa"/>
            <w:tcBorders>
              <w:top w:val="nil"/>
              <w:left w:val="nil"/>
              <w:bottom w:val="nil"/>
              <w:right w:val="single" w:sz="11" w:space="0" w:color="000000"/>
            </w:tcBorders>
            <w:shd w:val="clear" w:color="auto" w:fill="FFFFFF"/>
            <w:tcMar>
              <w:left w:w="67" w:type="dxa"/>
              <w:right w:w="67" w:type="dxa"/>
            </w:tcMar>
          </w:tcPr>
          <w:p w14:paraId="6255351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72.34 (12.42)</w:t>
            </w:r>
          </w:p>
        </w:tc>
      </w:tr>
      <w:tr w:rsidR="00B77EA3" w:rsidRPr="0082484A" w14:paraId="3214B70A"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740A38B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Median (Range)</w:t>
            </w:r>
          </w:p>
        </w:tc>
        <w:tc>
          <w:tcPr>
            <w:tcW w:w="1605" w:type="dxa"/>
            <w:tcBorders>
              <w:top w:val="nil"/>
              <w:left w:val="nil"/>
              <w:bottom w:val="nil"/>
              <w:right w:val="nil"/>
            </w:tcBorders>
            <w:shd w:val="clear" w:color="auto" w:fill="FFFFFF"/>
            <w:tcMar>
              <w:left w:w="67" w:type="dxa"/>
              <w:right w:w="67" w:type="dxa"/>
            </w:tcMar>
          </w:tcPr>
          <w:p w14:paraId="472EC7F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74.00 (0.00, 104.00)</w:t>
            </w:r>
          </w:p>
        </w:tc>
        <w:tc>
          <w:tcPr>
            <w:tcW w:w="1534" w:type="dxa"/>
            <w:tcBorders>
              <w:top w:val="nil"/>
              <w:left w:val="nil"/>
              <w:bottom w:val="nil"/>
              <w:right w:val="nil"/>
            </w:tcBorders>
            <w:shd w:val="clear" w:color="auto" w:fill="FFFFFF"/>
            <w:tcMar>
              <w:left w:w="67" w:type="dxa"/>
              <w:right w:w="67" w:type="dxa"/>
            </w:tcMar>
          </w:tcPr>
          <w:p w14:paraId="68BAB9A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73.00 (0.00, 104.00)</w:t>
            </w:r>
          </w:p>
        </w:tc>
        <w:tc>
          <w:tcPr>
            <w:tcW w:w="1478" w:type="dxa"/>
            <w:tcBorders>
              <w:top w:val="nil"/>
              <w:left w:val="nil"/>
              <w:bottom w:val="nil"/>
              <w:right w:val="nil"/>
            </w:tcBorders>
            <w:shd w:val="clear" w:color="auto" w:fill="FFFFFF"/>
            <w:tcMar>
              <w:left w:w="67" w:type="dxa"/>
              <w:right w:w="67" w:type="dxa"/>
            </w:tcMar>
          </w:tcPr>
          <w:p w14:paraId="5E70405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74.00 (0.00, 105.00)</w:t>
            </w:r>
          </w:p>
        </w:tc>
        <w:tc>
          <w:tcPr>
            <w:tcW w:w="1696" w:type="dxa"/>
            <w:tcBorders>
              <w:top w:val="nil"/>
              <w:left w:val="nil"/>
              <w:bottom w:val="nil"/>
              <w:right w:val="nil"/>
            </w:tcBorders>
            <w:shd w:val="clear" w:color="auto" w:fill="FFFFFF"/>
            <w:tcMar>
              <w:left w:w="67" w:type="dxa"/>
              <w:right w:w="67" w:type="dxa"/>
            </w:tcMar>
          </w:tcPr>
          <w:p w14:paraId="1360FDD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74.00 (0.00, 107.00)</w:t>
            </w:r>
          </w:p>
        </w:tc>
        <w:tc>
          <w:tcPr>
            <w:tcW w:w="1567" w:type="dxa"/>
            <w:tcBorders>
              <w:top w:val="nil"/>
              <w:left w:val="nil"/>
              <w:bottom w:val="nil"/>
              <w:right w:val="nil"/>
            </w:tcBorders>
            <w:shd w:val="clear" w:color="auto" w:fill="FFFFFF"/>
            <w:tcMar>
              <w:left w:w="67" w:type="dxa"/>
              <w:right w:w="67" w:type="dxa"/>
            </w:tcMar>
          </w:tcPr>
          <w:p w14:paraId="0AF69F0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74.00 (0.00, 105.00)</w:t>
            </w:r>
          </w:p>
        </w:tc>
        <w:tc>
          <w:tcPr>
            <w:tcW w:w="1478" w:type="dxa"/>
            <w:tcBorders>
              <w:top w:val="nil"/>
              <w:left w:val="nil"/>
              <w:bottom w:val="nil"/>
              <w:right w:val="single" w:sz="11" w:space="0" w:color="000000"/>
            </w:tcBorders>
            <w:shd w:val="clear" w:color="auto" w:fill="FFFFFF"/>
            <w:tcMar>
              <w:left w:w="67" w:type="dxa"/>
              <w:right w:w="67" w:type="dxa"/>
            </w:tcMar>
          </w:tcPr>
          <w:p w14:paraId="323EE64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74.00 (0.00, 107.00)</w:t>
            </w:r>
          </w:p>
        </w:tc>
      </w:tr>
      <w:tr w:rsidR="00B77EA3" w:rsidRPr="0082484A" w14:paraId="66B853A2"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5FBEC988"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05" w:type="dxa"/>
            <w:tcBorders>
              <w:top w:val="nil"/>
              <w:left w:val="nil"/>
              <w:bottom w:val="nil"/>
              <w:right w:val="nil"/>
            </w:tcBorders>
            <w:shd w:val="clear" w:color="auto" w:fill="FFFFFF"/>
            <w:tcMar>
              <w:left w:w="67" w:type="dxa"/>
              <w:right w:w="67" w:type="dxa"/>
            </w:tcMar>
          </w:tcPr>
          <w:p w14:paraId="35464A8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34" w:type="dxa"/>
            <w:tcBorders>
              <w:top w:val="nil"/>
              <w:left w:val="nil"/>
              <w:bottom w:val="nil"/>
              <w:right w:val="nil"/>
            </w:tcBorders>
            <w:shd w:val="clear" w:color="auto" w:fill="FFFFFF"/>
            <w:tcMar>
              <w:left w:w="67" w:type="dxa"/>
              <w:right w:w="67" w:type="dxa"/>
            </w:tcMar>
          </w:tcPr>
          <w:p w14:paraId="64A550D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nil"/>
              <w:right w:val="nil"/>
            </w:tcBorders>
            <w:shd w:val="clear" w:color="auto" w:fill="FFFFFF"/>
            <w:tcMar>
              <w:left w:w="67" w:type="dxa"/>
              <w:right w:w="67" w:type="dxa"/>
            </w:tcMar>
          </w:tcPr>
          <w:p w14:paraId="351B2C5C"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6" w:type="dxa"/>
            <w:tcBorders>
              <w:top w:val="nil"/>
              <w:left w:val="nil"/>
              <w:bottom w:val="nil"/>
              <w:right w:val="nil"/>
            </w:tcBorders>
            <w:shd w:val="clear" w:color="auto" w:fill="FFFFFF"/>
            <w:tcMar>
              <w:left w:w="67" w:type="dxa"/>
              <w:right w:w="67" w:type="dxa"/>
            </w:tcMar>
          </w:tcPr>
          <w:p w14:paraId="6E81A09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7" w:type="dxa"/>
            <w:tcBorders>
              <w:top w:val="nil"/>
              <w:left w:val="nil"/>
              <w:bottom w:val="nil"/>
              <w:right w:val="nil"/>
            </w:tcBorders>
            <w:shd w:val="clear" w:color="auto" w:fill="FFFFFF"/>
            <w:tcMar>
              <w:left w:w="67" w:type="dxa"/>
              <w:right w:w="67" w:type="dxa"/>
            </w:tcMar>
          </w:tcPr>
          <w:p w14:paraId="7DFB5CAE"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nil"/>
              <w:right w:val="single" w:sz="11" w:space="0" w:color="000000"/>
            </w:tcBorders>
            <w:shd w:val="clear" w:color="auto" w:fill="FFFFFF"/>
            <w:tcMar>
              <w:left w:w="67" w:type="dxa"/>
              <w:right w:w="67" w:type="dxa"/>
            </w:tcMar>
          </w:tcPr>
          <w:p w14:paraId="2F1F818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0B9BBE8C"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486D4DE9"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Gender</w:t>
            </w:r>
          </w:p>
        </w:tc>
        <w:tc>
          <w:tcPr>
            <w:tcW w:w="1605" w:type="dxa"/>
            <w:tcBorders>
              <w:top w:val="nil"/>
              <w:left w:val="nil"/>
              <w:bottom w:val="nil"/>
              <w:right w:val="nil"/>
            </w:tcBorders>
            <w:shd w:val="clear" w:color="auto" w:fill="FFFFFF"/>
            <w:tcMar>
              <w:left w:w="67" w:type="dxa"/>
              <w:right w:w="67" w:type="dxa"/>
            </w:tcMar>
          </w:tcPr>
          <w:p w14:paraId="2452B83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34" w:type="dxa"/>
            <w:tcBorders>
              <w:top w:val="nil"/>
              <w:left w:val="nil"/>
              <w:bottom w:val="nil"/>
              <w:right w:val="nil"/>
            </w:tcBorders>
            <w:shd w:val="clear" w:color="auto" w:fill="FFFFFF"/>
            <w:tcMar>
              <w:left w:w="67" w:type="dxa"/>
              <w:right w:w="67" w:type="dxa"/>
            </w:tcMar>
          </w:tcPr>
          <w:p w14:paraId="1472D8C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nil"/>
            </w:tcBorders>
            <w:shd w:val="clear" w:color="auto" w:fill="FFFFFF"/>
            <w:tcMar>
              <w:left w:w="67" w:type="dxa"/>
              <w:right w:w="67" w:type="dxa"/>
            </w:tcMar>
          </w:tcPr>
          <w:p w14:paraId="14F2EAE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6" w:type="dxa"/>
            <w:tcBorders>
              <w:top w:val="nil"/>
              <w:left w:val="nil"/>
              <w:bottom w:val="nil"/>
              <w:right w:val="nil"/>
            </w:tcBorders>
            <w:shd w:val="clear" w:color="auto" w:fill="FFFFFF"/>
            <w:tcMar>
              <w:left w:w="67" w:type="dxa"/>
              <w:right w:w="67" w:type="dxa"/>
            </w:tcMar>
          </w:tcPr>
          <w:p w14:paraId="4629E0D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7" w:type="dxa"/>
            <w:tcBorders>
              <w:top w:val="nil"/>
              <w:left w:val="nil"/>
              <w:bottom w:val="nil"/>
              <w:right w:val="nil"/>
            </w:tcBorders>
            <w:shd w:val="clear" w:color="auto" w:fill="FFFFFF"/>
            <w:tcMar>
              <w:left w:w="67" w:type="dxa"/>
              <w:right w:w="67" w:type="dxa"/>
            </w:tcMar>
          </w:tcPr>
          <w:p w14:paraId="4FA3011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single" w:sz="11" w:space="0" w:color="000000"/>
            </w:tcBorders>
            <w:shd w:val="clear" w:color="auto" w:fill="FFFFFF"/>
            <w:tcMar>
              <w:left w:w="67" w:type="dxa"/>
              <w:right w:w="67" w:type="dxa"/>
            </w:tcMar>
          </w:tcPr>
          <w:p w14:paraId="3B6E255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7DDA64BF"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70E9B3F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Female</w:t>
            </w:r>
          </w:p>
        </w:tc>
        <w:tc>
          <w:tcPr>
            <w:tcW w:w="1605" w:type="dxa"/>
            <w:tcBorders>
              <w:top w:val="nil"/>
              <w:left w:val="nil"/>
              <w:bottom w:val="nil"/>
              <w:right w:val="nil"/>
            </w:tcBorders>
            <w:shd w:val="clear" w:color="auto" w:fill="FFFFFF"/>
            <w:tcMar>
              <w:left w:w="67" w:type="dxa"/>
              <w:right w:w="67" w:type="dxa"/>
            </w:tcMar>
          </w:tcPr>
          <w:p w14:paraId="50A9B98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9136 (55.26%)</w:t>
            </w:r>
          </w:p>
        </w:tc>
        <w:tc>
          <w:tcPr>
            <w:tcW w:w="1534" w:type="dxa"/>
            <w:tcBorders>
              <w:top w:val="nil"/>
              <w:left w:val="nil"/>
              <w:bottom w:val="nil"/>
              <w:right w:val="nil"/>
            </w:tcBorders>
            <w:shd w:val="clear" w:color="auto" w:fill="FFFFFF"/>
            <w:tcMar>
              <w:left w:w="67" w:type="dxa"/>
              <w:right w:w="67" w:type="dxa"/>
            </w:tcMar>
          </w:tcPr>
          <w:p w14:paraId="1A40910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9611 (55.06%)</w:t>
            </w:r>
          </w:p>
        </w:tc>
        <w:tc>
          <w:tcPr>
            <w:tcW w:w="1478" w:type="dxa"/>
            <w:tcBorders>
              <w:top w:val="nil"/>
              <w:left w:val="nil"/>
              <w:bottom w:val="nil"/>
              <w:right w:val="nil"/>
            </w:tcBorders>
            <w:shd w:val="clear" w:color="auto" w:fill="FFFFFF"/>
            <w:tcMar>
              <w:left w:w="67" w:type="dxa"/>
              <w:right w:w="67" w:type="dxa"/>
            </w:tcMar>
          </w:tcPr>
          <w:p w14:paraId="3A08402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8135 (54.40%)</w:t>
            </w:r>
          </w:p>
        </w:tc>
        <w:tc>
          <w:tcPr>
            <w:tcW w:w="1696" w:type="dxa"/>
            <w:tcBorders>
              <w:top w:val="nil"/>
              <w:left w:val="nil"/>
              <w:bottom w:val="nil"/>
              <w:right w:val="nil"/>
            </w:tcBorders>
            <w:shd w:val="clear" w:color="auto" w:fill="FFFFFF"/>
            <w:tcMar>
              <w:left w:w="67" w:type="dxa"/>
              <w:right w:w="67" w:type="dxa"/>
            </w:tcMar>
          </w:tcPr>
          <w:p w14:paraId="699157F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7735 (54.68%)</w:t>
            </w:r>
          </w:p>
        </w:tc>
        <w:tc>
          <w:tcPr>
            <w:tcW w:w="1567" w:type="dxa"/>
            <w:tcBorders>
              <w:top w:val="nil"/>
              <w:left w:val="nil"/>
              <w:bottom w:val="nil"/>
              <w:right w:val="nil"/>
            </w:tcBorders>
            <w:shd w:val="clear" w:color="auto" w:fill="FFFFFF"/>
            <w:tcMar>
              <w:left w:w="67" w:type="dxa"/>
              <w:right w:w="67" w:type="dxa"/>
            </w:tcMar>
          </w:tcPr>
          <w:p w14:paraId="07E8124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7044 (54.39%)</w:t>
            </w:r>
          </w:p>
        </w:tc>
        <w:tc>
          <w:tcPr>
            <w:tcW w:w="1478" w:type="dxa"/>
            <w:tcBorders>
              <w:top w:val="nil"/>
              <w:left w:val="nil"/>
              <w:bottom w:val="nil"/>
              <w:right w:val="single" w:sz="11" w:space="0" w:color="000000"/>
            </w:tcBorders>
            <w:shd w:val="clear" w:color="auto" w:fill="FFFFFF"/>
            <w:tcMar>
              <w:left w:w="67" w:type="dxa"/>
              <w:right w:w="67" w:type="dxa"/>
            </w:tcMar>
          </w:tcPr>
          <w:p w14:paraId="6D129B3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41661 (54.79%)</w:t>
            </w:r>
          </w:p>
        </w:tc>
      </w:tr>
      <w:tr w:rsidR="00B77EA3" w:rsidRPr="0082484A" w14:paraId="306A7F7E"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3E5801A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Male</w:t>
            </w:r>
          </w:p>
        </w:tc>
        <w:tc>
          <w:tcPr>
            <w:tcW w:w="1605" w:type="dxa"/>
            <w:tcBorders>
              <w:top w:val="nil"/>
              <w:left w:val="nil"/>
              <w:bottom w:val="nil"/>
              <w:right w:val="nil"/>
            </w:tcBorders>
            <w:shd w:val="clear" w:color="auto" w:fill="FFFFFF"/>
            <w:tcMar>
              <w:left w:w="67" w:type="dxa"/>
              <w:right w:w="67" w:type="dxa"/>
            </w:tcMar>
          </w:tcPr>
          <w:p w14:paraId="5145214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7396 (44.74%)</w:t>
            </w:r>
          </w:p>
        </w:tc>
        <w:tc>
          <w:tcPr>
            <w:tcW w:w="1534" w:type="dxa"/>
            <w:tcBorders>
              <w:top w:val="nil"/>
              <w:left w:val="nil"/>
              <w:bottom w:val="nil"/>
              <w:right w:val="nil"/>
            </w:tcBorders>
            <w:shd w:val="clear" w:color="auto" w:fill="FFFFFF"/>
            <w:tcMar>
              <w:left w:w="67" w:type="dxa"/>
              <w:right w:w="67" w:type="dxa"/>
            </w:tcMar>
          </w:tcPr>
          <w:p w14:paraId="641AECB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7843 (44.94%)</w:t>
            </w:r>
          </w:p>
        </w:tc>
        <w:tc>
          <w:tcPr>
            <w:tcW w:w="1478" w:type="dxa"/>
            <w:tcBorders>
              <w:top w:val="nil"/>
              <w:left w:val="nil"/>
              <w:bottom w:val="nil"/>
              <w:right w:val="nil"/>
            </w:tcBorders>
            <w:shd w:val="clear" w:color="auto" w:fill="FFFFFF"/>
            <w:tcMar>
              <w:left w:w="67" w:type="dxa"/>
              <w:right w:w="67" w:type="dxa"/>
            </w:tcMar>
          </w:tcPr>
          <w:p w14:paraId="77F9458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6818 (45.60%)</w:t>
            </w:r>
          </w:p>
        </w:tc>
        <w:tc>
          <w:tcPr>
            <w:tcW w:w="1696" w:type="dxa"/>
            <w:tcBorders>
              <w:top w:val="nil"/>
              <w:left w:val="nil"/>
              <w:bottom w:val="nil"/>
              <w:right w:val="nil"/>
            </w:tcBorders>
            <w:shd w:val="clear" w:color="auto" w:fill="FFFFFF"/>
            <w:tcMar>
              <w:left w:w="67" w:type="dxa"/>
              <w:right w:w="67" w:type="dxa"/>
            </w:tcMar>
          </w:tcPr>
          <w:p w14:paraId="30EE678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6412 (45.32%)</w:t>
            </w:r>
          </w:p>
        </w:tc>
        <w:tc>
          <w:tcPr>
            <w:tcW w:w="1567" w:type="dxa"/>
            <w:tcBorders>
              <w:top w:val="nil"/>
              <w:left w:val="nil"/>
              <w:bottom w:val="nil"/>
              <w:right w:val="nil"/>
            </w:tcBorders>
            <w:shd w:val="clear" w:color="auto" w:fill="FFFFFF"/>
            <w:tcMar>
              <w:left w:w="67" w:type="dxa"/>
              <w:right w:w="67" w:type="dxa"/>
            </w:tcMar>
          </w:tcPr>
          <w:p w14:paraId="4507559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5906 (45.61%)</w:t>
            </w:r>
          </w:p>
        </w:tc>
        <w:tc>
          <w:tcPr>
            <w:tcW w:w="1478" w:type="dxa"/>
            <w:tcBorders>
              <w:top w:val="nil"/>
              <w:left w:val="nil"/>
              <w:bottom w:val="nil"/>
              <w:right w:val="single" w:sz="11" w:space="0" w:color="000000"/>
            </w:tcBorders>
            <w:shd w:val="clear" w:color="auto" w:fill="FFFFFF"/>
            <w:tcMar>
              <w:left w:w="67" w:type="dxa"/>
              <w:right w:w="67" w:type="dxa"/>
            </w:tcMar>
          </w:tcPr>
          <w:p w14:paraId="456AE1F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34375 (45.21%)</w:t>
            </w:r>
          </w:p>
        </w:tc>
      </w:tr>
      <w:tr w:rsidR="00B77EA3" w:rsidRPr="0082484A" w14:paraId="3896DF62"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00A9CD4F"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05" w:type="dxa"/>
            <w:tcBorders>
              <w:top w:val="nil"/>
              <w:left w:val="nil"/>
              <w:bottom w:val="nil"/>
              <w:right w:val="nil"/>
            </w:tcBorders>
            <w:shd w:val="clear" w:color="auto" w:fill="FFFFFF"/>
            <w:tcMar>
              <w:left w:w="67" w:type="dxa"/>
              <w:right w:w="67" w:type="dxa"/>
            </w:tcMar>
          </w:tcPr>
          <w:p w14:paraId="0D35FC96"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34" w:type="dxa"/>
            <w:tcBorders>
              <w:top w:val="nil"/>
              <w:left w:val="nil"/>
              <w:bottom w:val="nil"/>
              <w:right w:val="nil"/>
            </w:tcBorders>
            <w:shd w:val="clear" w:color="auto" w:fill="FFFFFF"/>
            <w:tcMar>
              <w:left w:w="67" w:type="dxa"/>
              <w:right w:w="67" w:type="dxa"/>
            </w:tcMar>
          </w:tcPr>
          <w:p w14:paraId="6B27B266"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nil"/>
              <w:right w:val="nil"/>
            </w:tcBorders>
            <w:shd w:val="clear" w:color="auto" w:fill="FFFFFF"/>
            <w:tcMar>
              <w:left w:w="67" w:type="dxa"/>
              <w:right w:w="67" w:type="dxa"/>
            </w:tcMar>
          </w:tcPr>
          <w:p w14:paraId="6CF3E954"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6" w:type="dxa"/>
            <w:tcBorders>
              <w:top w:val="nil"/>
              <w:left w:val="nil"/>
              <w:bottom w:val="nil"/>
              <w:right w:val="nil"/>
            </w:tcBorders>
            <w:shd w:val="clear" w:color="auto" w:fill="FFFFFF"/>
            <w:tcMar>
              <w:left w:w="67" w:type="dxa"/>
              <w:right w:w="67" w:type="dxa"/>
            </w:tcMar>
          </w:tcPr>
          <w:p w14:paraId="644B1DE5"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7" w:type="dxa"/>
            <w:tcBorders>
              <w:top w:val="nil"/>
              <w:left w:val="nil"/>
              <w:bottom w:val="nil"/>
              <w:right w:val="nil"/>
            </w:tcBorders>
            <w:shd w:val="clear" w:color="auto" w:fill="FFFFFF"/>
            <w:tcMar>
              <w:left w:w="67" w:type="dxa"/>
              <w:right w:w="67" w:type="dxa"/>
            </w:tcMar>
          </w:tcPr>
          <w:p w14:paraId="30C6C710"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nil"/>
              <w:right w:val="single" w:sz="11" w:space="0" w:color="000000"/>
            </w:tcBorders>
            <w:shd w:val="clear" w:color="auto" w:fill="FFFFFF"/>
            <w:tcMar>
              <w:left w:w="67" w:type="dxa"/>
              <w:right w:w="67" w:type="dxa"/>
            </w:tcMar>
          </w:tcPr>
          <w:p w14:paraId="54CF87B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7CBBE99F"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0F049343"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Comorbidity</w:t>
            </w:r>
          </w:p>
        </w:tc>
        <w:tc>
          <w:tcPr>
            <w:tcW w:w="1605" w:type="dxa"/>
            <w:tcBorders>
              <w:top w:val="nil"/>
              <w:left w:val="nil"/>
              <w:bottom w:val="nil"/>
              <w:right w:val="nil"/>
            </w:tcBorders>
            <w:shd w:val="clear" w:color="auto" w:fill="FFFFFF"/>
            <w:tcMar>
              <w:left w:w="67" w:type="dxa"/>
              <w:right w:w="67" w:type="dxa"/>
            </w:tcMar>
          </w:tcPr>
          <w:p w14:paraId="3D9230F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34" w:type="dxa"/>
            <w:tcBorders>
              <w:top w:val="nil"/>
              <w:left w:val="nil"/>
              <w:bottom w:val="nil"/>
              <w:right w:val="nil"/>
            </w:tcBorders>
            <w:shd w:val="clear" w:color="auto" w:fill="FFFFFF"/>
            <w:tcMar>
              <w:left w:w="67" w:type="dxa"/>
              <w:right w:w="67" w:type="dxa"/>
            </w:tcMar>
          </w:tcPr>
          <w:p w14:paraId="2C6CE2A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nil"/>
            </w:tcBorders>
            <w:shd w:val="clear" w:color="auto" w:fill="FFFFFF"/>
            <w:tcMar>
              <w:left w:w="67" w:type="dxa"/>
              <w:right w:w="67" w:type="dxa"/>
            </w:tcMar>
          </w:tcPr>
          <w:p w14:paraId="683FC44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6" w:type="dxa"/>
            <w:tcBorders>
              <w:top w:val="nil"/>
              <w:left w:val="nil"/>
              <w:bottom w:val="nil"/>
              <w:right w:val="nil"/>
            </w:tcBorders>
            <w:shd w:val="clear" w:color="auto" w:fill="FFFFFF"/>
            <w:tcMar>
              <w:left w:w="67" w:type="dxa"/>
              <w:right w:w="67" w:type="dxa"/>
            </w:tcMar>
          </w:tcPr>
          <w:p w14:paraId="7158FC8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7" w:type="dxa"/>
            <w:tcBorders>
              <w:top w:val="nil"/>
              <w:left w:val="nil"/>
              <w:bottom w:val="nil"/>
              <w:right w:val="nil"/>
            </w:tcBorders>
            <w:shd w:val="clear" w:color="auto" w:fill="FFFFFF"/>
            <w:tcMar>
              <w:left w:w="67" w:type="dxa"/>
              <w:right w:w="67" w:type="dxa"/>
            </w:tcMar>
          </w:tcPr>
          <w:p w14:paraId="7DDCBE1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8" w:type="dxa"/>
            <w:tcBorders>
              <w:top w:val="nil"/>
              <w:left w:val="nil"/>
              <w:bottom w:val="nil"/>
              <w:right w:val="single" w:sz="11" w:space="0" w:color="000000"/>
            </w:tcBorders>
            <w:shd w:val="clear" w:color="auto" w:fill="FFFFFF"/>
            <w:tcMar>
              <w:left w:w="67" w:type="dxa"/>
              <w:right w:w="67" w:type="dxa"/>
            </w:tcMar>
          </w:tcPr>
          <w:p w14:paraId="1875DD6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02082E26"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4FFE68D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w:t>
            </w:r>
          </w:p>
        </w:tc>
        <w:tc>
          <w:tcPr>
            <w:tcW w:w="1605" w:type="dxa"/>
            <w:tcBorders>
              <w:top w:val="nil"/>
              <w:left w:val="nil"/>
              <w:bottom w:val="nil"/>
              <w:right w:val="nil"/>
            </w:tcBorders>
            <w:shd w:val="clear" w:color="auto" w:fill="FFFFFF"/>
            <w:tcMar>
              <w:left w:w="67" w:type="dxa"/>
              <w:right w:w="67" w:type="dxa"/>
            </w:tcMar>
          </w:tcPr>
          <w:p w14:paraId="6E09693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1003 (6.07%)</w:t>
            </w:r>
          </w:p>
        </w:tc>
        <w:tc>
          <w:tcPr>
            <w:tcW w:w="1534" w:type="dxa"/>
            <w:tcBorders>
              <w:top w:val="nil"/>
              <w:left w:val="nil"/>
              <w:bottom w:val="nil"/>
              <w:right w:val="nil"/>
            </w:tcBorders>
            <w:shd w:val="clear" w:color="auto" w:fill="FFFFFF"/>
            <w:tcMar>
              <w:left w:w="67" w:type="dxa"/>
              <w:right w:w="67" w:type="dxa"/>
            </w:tcMar>
          </w:tcPr>
          <w:p w14:paraId="7A15F35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989 (5.67%)</w:t>
            </w:r>
          </w:p>
        </w:tc>
        <w:tc>
          <w:tcPr>
            <w:tcW w:w="1478" w:type="dxa"/>
            <w:tcBorders>
              <w:top w:val="nil"/>
              <w:left w:val="nil"/>
              <w:bottom w:val="nil"/>
              <w:right w:val="nil"/>
            </w:tcBorders>
            <w:shd w:val="clear" w:color="auto" w:fill="FFFFFF"/>
            <w:tcMar>
              <w:left w:w="67" w:type="dxa"/>
              <w:right w:w="67" w:type="dxa"/>
            </w:tcMar>
          </w:tcPr>
          <w:p w14:paraId="372434F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972 (6.50%)</w:t>
            </w:r>
          </w:p>
        </w:tc>
        <w:tc>
          <w:tcPr>
            <w:tcW w:w="1696" w:type="dxa"/>
            <w:tcBorders>
              <w:top w:val="nil"/>
              <w:left w:val="nil"/>
              <w:bottom w:val="nil"/>
              <w:right w:val="nil"/>
            </w:tcBorders>
            <w:shd w:val="clear" w:color="auto" w:fill="FFFFFF"/>
            <w:tcMar>
              <w:left w:w="67" w:type="dxa"/>
              <w:right w:w="67" w:type="dxa"/>
            </w:tcMar>
          </w:tcPr>
          <w:p w14:paraId="031150D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961 (6.79%)</w:t>
            </w:r>
          </w:p>
        </w:tc>
        <w:tc>
          <w:tcPr>
            <w:tcW w:w="1567" w:type="dxa"/>
            <w:tcBorders>
              <w:top w:val="nil"/>
              <w:left w:val="nil"/>
              <w:bottom w:val="nil"/>
              <w:right w:val="nil"/>
            </w:tcBorders>
            <w:shd w:val="clear" w:color="auto" w:fill="FFFFFF"/>
            <w:tcMar>
              <w:left w:w="67" w:type="dxa"/>
              <w:right w:w="67" w:type="dxa"/>
            </w:tcMar>
          </w:tcPr>
          <w:p w14:paraId="4A56D87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873 (6.74%)</w:t>
            </w:r>
          </w:p>
        </w:tc>
        <w:tc>
          <w:tcPr>
            <w:tcW w:w="1478" w:type="dxa"/>
            <w:tcBorders>
              <w:top w:val="nil"/>
              <w:left w:val="nil"/>
              <w:bottom w:val="nil"/>
              <w:right w:val="single" w:sz="11" w:space="0" w:color="000000"/>
            </w:tcBorders>
            <w:shd w:val="clear" w:color="auto" w:fill="FFFFFF"/>
            <w:tcMar>
              <w:left w:w="67" w:type="dxa"/>
              <w:right w:w="67" w:type="dxa"/>
            </w:tcMar>
          </w:tcPr>
          <w:p w14:paraId="00BA317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4798 (6.31%)</w:t>
            </w:r>
          </w:p>
        </w:tc>
      </w:tr>
      <w:tr w:rsidR="00B77EA3" w:rsidRPr="0082484A" w14:paraId="6D954155"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0EDF16B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w:t>
            </w:r>
          </w:p>
        </w:tc>
        <w:tc>
          <w:tcPr>
            <w:tcW w:w="1605" w:type="dxa"/>
            <w:tcBorders>
              <w:top w:val="nil"/>
              <w:left w:val="nil"/>
              <w:bottom w:val="nil"/>
              <w:right w:val="nil"/>
            </w:tcBorders>
            <w:shd w:val="clear" w:color="auto" w:fill="FFFFFF"/>
            <w:tcMar>
              <w:left w:w="67" w:type="dxa"/>
              <w:right w:w="67" w:type="dxa"/>
            </w:tcMar>
          </w:tcPr>
          <w:p w14:paraId="1F771E3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2886 (17.46%)</w:t>
            </w:r>
          </w:p>
        </w:tc>
        <w:tc>
          <w:tcPr>
            <w:tcW w:w="1534" w:type="dxa"/>
            <w:tcBorders>
              <w:top w:val="nil"/>
              <w:left w:val="nil"/>
              <w:bottom w:val="nil"/>
              <w:right w:val="nil"/>
            </w:tcBorders>
            <w:shd w:val="clear" w:color="auto" w:fill="FFFFFF"/>
            <w:tcMar>
              <w:left w:w="67" w:type="dxa"/>
              <w:right w:w="67" w:type="dxa"/>
            </w:tcMar>
          </w:tcPr>
          <w:p w14:paraId="37CF0A3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2954 (16.92%)</w:t>
            </w:r>
          </w:p>
        </w:tc>
        <w:tc>
          <w:tcPr>
            <w:tcW w:w="1478" w:type="dxa"/>
            <w:tcBorders>
              <w:top w:val="nil"/>
              <w:left w:val="nil"/>
              <w:bottom w:val="nil"/>
              <w:right w:val="nil"/>
            </w:tcBorders>
            <w:shd w:val="clear" w:color="auto" w:fill="FFFFFF"/>
            <w:tcMar>
              <w:left w:w="67" w:type="dxa"/>
              <w:right w:w="67" w:type="dxa"/>
            </w:tcMar>
          </w:tcPr>
          <w:p w14:paraId="1CC7ED8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2926 (19.57%)</w:t>
            </w:r>
          </w:p>
        </w:tc>
        <w:tc>
          <w:tcPr>
            <w:tcW w:w="1696" w:type="dxa"/>
            <w:tcBorders>
              <w:top w:val="nil"/>
              <w:left w:val="nil"/>
              <w:bottom w:val="nil"/>
              <w:right w:val="nil"/>
            </w:tcBorders>
            <w:shd w:val="clear" w:color="auto" w:fill="FFFFFF"/>
            <w:tcMar>
              <w:left w:w="67" w:type="dxa"/>
              <w:right w:w="67" w:type="dxa"/>
            </w:tcMar>
          </w:tcPr>
          <w:p w14:paraId="3CF155A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2404 (16.99%)</w:t>
            </w:r>
          </w:p>
        </w:tc>
        <w:tc>
          <w:tcPr>
            <w:tcW w:w="1567" w:type="dxa"/>
            <w:tcBorders>
              <w:top w:val="nil"/>
              <w:left w:val="nil"/>
              <w:bottom w:val="nil"/>
              <w:right w:val="nil"/>
            </w:tcBorders>
            <w:shd w:val="clear" w:color="auto" w:fill="FFFFFF"/>
            <w:tcMar>
              <w:left w:w="67" w:type="dxa"/>
              <w:right w:w="67" w:type="dxa"/>
            </w:tcMar>
          </w:tcPr>
          <w:p w14:paraId="116EAA5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2149 (16.59%)</w:t>
            </w:r>
          </w:p>
        </w:tc>
        <w:tc>
          <w:tcPr>
            <w:tcW w:w="1478" w:type="dxa"/>
            <w:tcBorders>
              <w:top w:val="nil"/>
              <w:left w:val="nil"/>
              <w:bottom w:val="nil"/>
              <w:right w:val="single" w:sz="11" w:space="0" w:color="000000"/>
            </w:tcBorders>
            <w:shd w:val="clear" w:color="auto" w:fill="FFFFFF"/>
            <w:tcMar>
              <w:left w:w="67" w:type="dxa"/>
              <w:right w:w="67" w:type="dxa"/>
            </w:tcMar>
          </w:tcPr>
          <w:p w14:paraId="5D890BC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13319 (17.52%)</w:t>
            </w:r>
          </w:p>
        </w:tc>
      </w:tr>
      <w:tr w:rsidR="00B77EA3" w:rsidRPr="0082484A" w14:paraId="6169C951"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11F83FA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w:t>
            </w:r>
          </w:p>
        </w:tc>
        <w:tc>
          <w:tcPr>
            <w:tcW w:w="1605" w:type="dxa"/>
            <w:tcBorders>
              <w:top w:val="nil"/>
              <w:left w:val="nil"/>
              <w:bottom w:val="nil"/>
              <w:right w:val="nil"/>
            </w:tcBorders>
            <w:shd w:val="clear" w:color="auto" w:fill="FFFFFF"/>
            <w:tcMar>
              <w:left w:w="67" w:type="dxa"/>
              <w:right w:w="67" w:type="dxa"/>
            </w:tcMar>
          </w:tcPr>
          <w:p w14:paraId="7BADF71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3371 (20.39%)</w:t>
            </w:r>
          </w:p>
        </w:tc>
        <w:tc>
          <w:tcPr>
            <w:tcW w:w="1534" w:type="dxa"/>
            <w:tcBorders>
              <w:top w:val="nil"/>
              <w:left w:val="nil"/>
              <w:bottom w:val="nil"/>
              <w:right w:val="nil"/>
            </w:tcBorders>
            <w:shd w:val="clear" w:color="auto" w:fill="FFFFFF"/>
            <w:tcMar>
              <w:left w:w="67" w:type="dxa"/>
              <w:right w:w="67" w:type="dxa"/>
            </w:tcMar>
          </w:tcPr>
          <w:p w14:paraId="5BED84B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3479 (19.93%)</w:t>
            </w:r>
          </w:p>
        </w:tc>
        <w:tc>
          <w:tcPr>
            <w:tcW w:w="1478" w:type="dxa"/>
            <w:tcBorders>
              <w:top w:val="nil"/>
              <w:left w:val="nil"/>
              <w:bottom w:val="nil"/>
              <w:right w:val="nil"/>
            </w:tcBorders>
            <w:shd w:val="clear" w:color="auto" w:fill="FFFFFF"/>
            <w:tcMar>
              <w:left w:w="67" w:type="dxa"/>
              <w:right w:w="67" w:type="dxa"/>
            </w:tcMar>
          </w:tcPr>
          <w:p w14:paraId="4208A25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3038 (20.32%)</w:t>
            </w:r>
          </w:p>
        </w:tc>
        <w:tc>
          <w:tcPr>
            <w:tcW w:w="1696" w:type="dxa"/>
            <w:tcBorders>
              <w:top w:val="nil"/>
              <w:left w:val="nil"/>
              <w:bottom w:val="nil"/>
              <w:right w:val="nil"/>
            </w:tcBorders>
            <w:shd w:val="clear" w:color="auto" w:fill="FFFFFF"/>
            <w:tcMar>
              <w:left w:w="67" w:type="dxa"/>
              <w:right w:w="67" w:type="dxa"/>
            </w:tcMar>
          </w:tcPr>
          <w:p w14:paraId="6049B3B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2901 (20.51%)</w:t>
            </w:r>
          </w:p>
        </w:tc>
        <w:tc>
          <w:tcPr>
            <w:tcW w:w="1567" w:type="dxa"/>
            <w:tcBorders>
              <w:top w:val="nil"/>
              <w:left w:val="nil"/>
              <w:bottom w:val="nil"/>
              <w:right w:val="nil"/>
            </w:tcBorders>
            <w:shd w:val="clear" w:color="auto" w:fill="FFFFFF"/>
            <w:tcMar>
              <w:left w:w="67" w:type="dxa"/>
              <w:right w:w="67" w:type="dxa"/>
            </w:tcMar>
          </w:tcPr>
          <w:p w14:paraId="068106F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2570 (19.85%)</w:t>
            </w:r>
          </w:p>
        </w:tc>
        <w:tc>
          <w:tcPr>
            <w:tcW w:w="1478" w:type="dxa"/>
            <w:tcBorders>
              <w:top w:val="nil"/>
              <w:left w:val="nil"/>
              <w:bottom w:val="nil"/>
              <w:right w:val="single" w:sz="11" w:space="0" w:color="000000"/>
            </w:tcBorders>
            <w:shd w:val="clear" w:color="auto" w:fill="FFFFFF"/>
            <w:tcMar>
              <w:left w:w="67" w:type="dxa"/>
              <w:right w:w="67" w:type="dxa"/>
            </w:tcMar>
          </w:tcPr>
          <w:p w14:paraId="1EF613F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15359 (20.20%)</w:t>
            </w:r>
          </w:p>
        </w:tc>
      </w:tr>
      <w:tr w:rsidR="00B77EA3" w:rsidRPr="0082484A" w14:paraId="26EC3879"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325D24A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w:t>
            </w:r>
          </w:p>
        </w:tc>
        <w:tc>
          <w:tcPr>
            <w:tcW w:w="1605" w:type="dxa"/>
            <w:tcBorders>
              <w:top w:val="nil"/>
              <w:left w:val="nil"/>
              <w:bottom w:val="nil"/>
              <w:right w:val="nil"/>
            </w:tcBorders>
            <w:shd w:val="clear" w:color="auto" w:fill="FFFFFF"/>
            <w:tcMar>
              <w:left w:w="67" w:type="dxa"/>
              <w:right w:w="67" w:type="dxa"/>
            </w:tcMar>
          </w:tcPr>
          <w:p w14:paraId="3A54210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2773 (16.77%)</w:t>
            </w:r>
          </w:p>
        </w:tc>
        <w:tc>
          <w:tcPr>
            <w:tcW w:w="1534" w:type="dxa"/>
            <w:tcBorders>
              <w:top w:val="nil"/>
              <w:left w:val="nil"/>
              <w:bottom w:val="nil"/>
              <w:right w:val="nil"/>
            </w:tcBorders>
            <w:shd w:val="clear" w:color="auto" w:fill="FFFFFF"/>
            <w:tcMar>
              <w:left w:w="67" w:type="dxa"/>
              <w:right w:w="67" w:type="dxa"/>
            </w:tcMar>
          </w:tcPr>
          <w:p w14:paraId="4883641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2871 (16.45%)</w:t>
            </w:r>
          </w:p>
        </w:tc>
        <w:tc>
          <w:tcPr>
            <w:tcW w:w="1478" w:type="dxa"/>
            <w:tcBorders>
              <w:top w:val="nil"/>
              <w:left w:val="nil"/>
              <w:bottom w:val="nil"/>
              <w:right w:val="nil"/>
            </w:tcBorders>
            <w:shd w:val="clear" w:color="auto" w:fill="FFFFFF"/>
            <w:tcMar>
              <w:left w:w="67" w:type="dxa"/>
              <w:right w:w="67" w:type="dxa"/>
            </w:tcMar>
          </w:tcPr>
          <w:p w14:paraId="73A333F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2439 (16.31%)</w:t>
            </w:r>
          </w:p>
        </w:tc>
        <w:tc>
          <w:tcPr>
            <w:tcW w:w="1696" w:type="dxa"/>
            <w:tcBorders>
              <w:top w:val="nil"/>
              <w:left w:val="nil"/>
              <w:bottom w:val="nil"/>
              <w:right w:val="nil"/>
            </w:tcBorders>
            <w:shd w:val="clear" w:color="auto" w:fill="FFFFFF"/>
            <w:tcMar>
              <w:left w:w="67" w:type="dxa"/>
              <w:right w:w="67" w:type="dxa"/>
            </w:tcMar>
          </w:tcPr>
          <w:p w14:paraId="570EAA9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2352 (16.63%)</w:t>
            </w:r>
          </w:p>
        </w:tc>
        <w:tc>
          <w:tcPr>
            <w:tcW w:w="1567" w:type="dxa"/>
            <w:tcBorders>
              <w:top w:val="nil"/>
              <w:left w:val="nil"/>
              <w:bottom w:val="nil"/>
              <w:right w:val="nil"/>
            </w:tcBorders>
            <w:shd w:val="clear" w:color="auto" w:fill="FFFFFF"/>
            <w:tcMar>
              <w:left w:w="67" w:type="dxa"/>
              <w:right w:w="67" w:type="dxa"/>
            </w:tcMar>
          </w:tcPr>
          <w:p w14:paraId="68B2F42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2098 (16.20%)</w:t>
            </w:r>
          </w:p>
        </w:tc>
        <w:tc>
          <w:tcPr>
            <w:tcW w:w="1478" w:type="dxa"/>
            <w:tcBorders>
              <w:top w:val="nil"/>
              <w:left w:val="nil"/>
              <w:bottom w:val="nil"/>
              <w:right w:val="single" w:sz="11" w:space="0" w:color="000000"/>
            </w:tcBorders>
            <w:shd w:val="clear" w:color="auto" w:fill="FFFFFF"/>
            <w:tcMar>
              <w:left w:w="67" w:type="dxa"/>
              <w:right w:w="67" w:type="dxa"/>
            </w:tcMar>
          </w:tcPr>
          <w:p w14:paraId="344DC78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12533 (16.48%)</w:t>
            </w:r>
          </w:p>
        </w:tc>
      </w:tr>
      <w:tr w:rsidR="00B77EA3" w:rsidRPr="0082484A" w14:paraId="0003641E"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4F3F36C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w:t>
            </w:r>
          </w:p>
        </w:tc>
        <w:tc>
          <w:tcPr>
            <w:tcW w:w="1605" w:type="dxa"/>
            <w:tcBorders>
              <w:top w:val="nil"/>
              <w:left w:val="nil"/>
              <w:bottom w:val="nil"/>
              <w:right w:val="nil"/>
            </w:tcBorders>
            <w:shd w:val="clear" w:color="auto" w:fill="FFFFFF"/>
            <w:tcMar>
              <w:left w:w="67" w:type="dxa"/>
              <w:right w:w="67" w:type="dxa"/>
            </w:tcMar>
          </w:tcPr>
          <w:p w14:paraId="47261CD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2756 (16.67%)</w:t>
            </w:r>
          </w:p>
        </w:tc>
        <w:tc>
          <w:tcPr>
            <w:tcW w:w="1534" w:type="dxa"/>
            <w:tcBorders>
              <w:top w:val="nil"/>
              <w:left w:val="nil"/>
              <w:bottom w:val="nil"/>
              <w:right w:val="nil"/>
            </w:tcBorders>
            <w:shd w:val="clear" w:color="auto" w:fill="FFFFFF"/>
            <w:tcMar>
              <w:left w:w="67" w:type="dxa"/>
              <w:right w:w="67" w:type="dxa"/>
            </w:tcMar>
          </w:tcPr>
          <w:p w14:paraId="1C2CE05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2971 (17.02%)</w:t>
            </w:r>
          </w:p>
        </w:tc>
        <w:tc>
          <w:tcPr>
            <w:tcW w:w="1478" w:type="dxa"/>
            <w:tcBorders>
              <w:top w:val="nil"/>
              <w:left w:val="nil"/>
              <w:bottom w:val="nil"/>
              <w:right w:val="nil"/>
            </w:tcBorders>
            <w:shd w:val="clear" w:color="auto" w:fill="FFFFFF"/>
            <w:tcMar>
              <w:left w:w="67" w:type="dxa"/>
              <w:right w:w="67" w:type="dxa"/>
            </w:tcMar>
          </w:tcPr>
          <w:p w14:paraId="00A8001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2253 (15.07%)</w:t>
            </w:r>
          </w:p>
        </w:tc>
        <w:tc>
          <w:tcPr>
            <w:tcW w:w="1696" w:type="dxa"/>
            <w:tcBorders>
              <w:top w:val="nil"/>
              <w:left w:val="nil"/>
              <w:bottom w:val="nil"/>
              <w:right w:val="nil"/>
            </w:tcBorders>
            <w:shd w:val="clear" w:color="auto" w:fill="FFFFFF"/>
            <w:tcMar>
              <w:left w:w="67" w:type="dxa"/>
              <w:right w:w="67" w:type="dxa"/>
            </w:tcMar>
          </w:tcPr>
          <w:p w14:paraId="4819387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2358 (16.67%)</w:t>
            </w:r>
          </w:p>
        </w:tc>
        <w:tc>
          <w:tcPr>
            <w:tcW w:w="1567" w:type="dxa"/>
            <w:tcBorders>
              <w:top w:val="nil"/>
              <w:left w:val="nil"/>
              <w:bottom w:val="nil"/>
              <w:right w:val="nil"/>
            </w:tcBorders>
            <w:shd w:val="clear" w:color="auto" w:fill="FFFFFF"/>
            <w:tcMar>
              <w:left w:w="67" w:type="dxa"/>
              <w:right w:w="67" w:type="dxa"/>
            </w:tcMar>
          </w:tcPr>
          <w:p w14:paraId="0A97341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2182 (16.85%)</w:t>
            </w:r>
          </w:p>
        </w:tc>
        <w:tc>
          <w:tcPr>
            <w:tcW w:w="1478" w:type="dxa"/>
            <w:tcBorders>
              <w:top w:val="nil"/>
              <w:left w:val="nil"/>
              <w:bottom w:val="nil"/>
              <w:right w:val="single" w:sz="11" w:space="0" w:color="000000"/>
            </w:tcBorders>
            <w:shd w:val="clear" w:color="auto" w:fill="FFFFFF"/>
            <w:tcMar>
              <w:left w:w="67" w:type="dxa"/>
              <w:right w:w="67" w:type="dxa"/>
            </w:tcMar>
          </w:tcPr>
          <w:p w14:paraId="65B586D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12520 (16.47%)</w:t>
            </w:r>
          </w:p>
        </w:tc>
      </w:tr>
      <w:tr w:rsidR="00B77EA3" w:rsidRPr="0082484A" w14:paraId="3D47CB01"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1D247D3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w:t>
            </w:r>
          </w:p>
        </w:tc>
        <w:tc>
          <w:tcPr>
            <w:tcW w:w="1605" w:type="dxa"/>
            <w:tcBorders>
              <w:top w:val="nil"/>
              <w:left w:val="nil"/>
              <w:bottom w:val="nil"/>
              <w:right w:val="nil"/>
            </w:tcBorders>
            <w:shd w:val="clear" w:color="auto" w:fill="FFFFFF"/>
            <w:tcMar>
              <w:left w:w="67" w:type="dxa"/>
              <w:right w:w="67" w:type="dxa"/>
            </w:tcMar>
          </w:tcPr>
          <w:p w14:paraId="1BE5325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2004 (12.12%)</w:t>
            </w:r>
          </w:p>
        </w:tc>
        <w:tc>
          <w:tcPr>
            <w:tcW w:w="1534" w:type="dxa"/>
            <w:tcBorders>
              <w:top w:val="nil"/>
              <w:left w:val="nil"/>
              <w:bottom w:val="nil"/>
              <w:right w:val="nil"/>
            </w:tcBorders>
            <w:shd w:val="clear" w:color="auto" w:fill="FFFFFF"/>
            <w:tcMar>
              <w:left w:w="67" w:type="dxa"/>
              <w:right w:w="67" w:type="dxa"/>
            </w:tcMar>
          </w:tcPr>
          <w:p w14:paraId="42C8856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2149 (12.31%)</w:t>
            </w:r>
          </w:p>
        </w:tc>
        <w:tc>
          <w:tcPr>
            <w:tcW w:w="1478" w:type="dxa"/>
            <w:tcBorders>
              <w:top w:val="nil"/>
              <w:left w:val="nil"/>
              <w:bottom w:val="nil"/>
              <w:right w:val="nil"/>
            </w:tcBorders>
            <w:shd w:val="clear" w:color="auto" w:fill="FFFFFF"/>
            <w:tcMar>
              <w:left w:w="67" w:type="dxa"/>
              <w:right w:w="67" w:type="dxa"/>
            </w:tcMar>
          </w:tcPr>
          <w:p w14:paraId="21B2FAE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1762 (11.78%)</w:t>
            </w:r>
          </w:p>
        </w:tc>
        <w:tc>
          <w:tcPr>
            <w:tcW w:w="1696" w:type="dxa"/>
            <w:tcBorders>
              <w:top w:val="nil"/>
              <w:left w:val="nil"/>
              <w:bottom w:val="nil"/>
              <w:right w:val="nil"/>
            </w:tcBorders>
            <w:shd w:val="clear" w:color="auto" w:fill="FFFFFF"/>
            <w:tcMar>
              <w:left w:w="67" w:type="dxa"/>
              <w:right w:w="67" w:type="dxa"/>
            </w:tcMar>
          </w:tcPr>
          <w:p w14:paraId="6A4F50E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1696 (11.99%)</w:t>
            </w:r>
          </w:p>
        </w:tc>
        <w:tc>
          <w:tcPr>
            <w:tcW w:w="1567" w:type="dxa"/>
            <w:tcBorders>
              <w:top w:val="nil"/>
              <w:left w:val="nil"/>
              <w:bottom w:val="nil"/>
              <w:right w:val="nil"/>
            </w:tcBorders>
            <w:shd w:val="clear" w:color="auto" w:fill="FFFFFF"/>
            <w:tcMar>
              <w:left w:w="67" w:type="dxa"/>
              <w:right w:w="67" w:type="dxa"/>
            </w:tcMar>
          </w:tcPr>
          <w:p w14:paraId="7FE036A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1653 (12.76%)</w:t>
            </w:r>
          </w:p>
        </w:tc>
        <w:tc>
          <w:tcPr>
            <w:tcW w:w="1478" w:type="dxa"/>
            <w:tcBorders>
              <w:top w:val="nil"/>
              <w:left w:val="nil"/>
              <w:bottom w:val="nil"/>
              <w:right w:val="single" w:sz="11" w:space="0" w:color="000000"/>
            </w:tcBorders>
            <w:shd w:val="clear" w:color="auto" w:fill="FFFFFF"/>
            <w:tcMar>
              <w:left w:w="67" w:type="dxa"/>
              <w:right w:w="67" w:type="dxa"/>
            </w:tcMar>
          </w:tcPr>
          <w:p w14:paraId="579D014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9264 (12.18%)</w:t>
            </w:r>
          </w:p>
        </w:tc>
      </w:tr>
      <w:tr w:rsidR="00B77EA3" w:rsidRPr="0082484A" w14:paraId="6AF5982C"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0643ABA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w:t>
            </w:r>
          </w:p>
        </w:tc>
        <w:tc>
          <w:tcPr>
            <w:tcW w:w="1605" w:type="dxa"/>
            <w:tcBorders>
              <w:top w:val="nil"/>
              <w:left w:val="nil"/>
              <w:bottom w:val="nil"/>
              <w:right w:val="nil"/>
            </w:tcBorders>
            <w:shd w:val="clear" w:color="auto" w:fill="FFFFFF"/>
            <w:tcMar>
              <w:left w:w="67" w:type="dxa"/>
              <w:right w:w="67" w:type="dxa"/>
            </w:tcMar>
          </w:tcPr>
          <w:p w14:paraId="6D1CC15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1035 (6.26%)</w:t>
            </w:r>
          </w:p>
        </w:tc>
        <w:tc>
          <w:tcPr>
            <w:tcW w:w="1534" w:type="dxa"/>
            <w:tcBorders>
              <w:top w:val="nil"/>
              <w:left w:val="nil"/>
              <w:bottom w:val="nil"/>
              <w:right w:val="nil"/>
            </w:tcBorders>
            <w:shd w:val="clear" w:color="auto" w:fill="FFFFFF"/>
            <w:tcMar>
              <w:left w:w="67" w:type="dxa"/>
              <w:right w:w="67" w:type="dxa"/>
            </w:tcMar>
          </w:tcPr>
          <w:p w14:paraId="03311B3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1244 (7.13%)</w:t>
            </w:r>
          </w:p>
        </w:tc>
        <w:tc>
          <w:tcPr>
            <w:tcW w:w="1478" w:type="dxa"/>
            <w:tcBorders>
              <w:top w:val="nil"/>
              <w:left w:val="nil"/>
              <w:bottom w:val="nil"/>
              <w:right w:val="nil"/>
            </w:tcBorders>
            <w:shd w:val="clear" w:color="auto" w:fill="FFFFFF"/>
            <w:tcMar>
              <w:left w:w="67" w:type="dxa"/>
              <w:right w:w="67" w:type="dxa"/>
            </w:tcMar>
          </w:tcPr>
          <w:p w14:paraId="0DEED2B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955 (6.39%)</w:t>
            </w:r>
          </w:p>
        </w:tc>
        <w:tc>
          <w:tcPr>
            <w:tcW w:w="1696" w:type="dxa"/>
            <w:tcBorders>
              <w:top w:val="nil"/>
              <w:left w:val="nil"/>
              <w:bottom w:val="nil"/>
              <w:right w:val="nil"/>
            </w:tcBorders>
            <w:shd w:val="clear" w:color="auto" w:fill="FFFFFF"/>
            <w:tcMar>
              <w:left w:w="67" w:type="dxa"/>
              <w:right w:w="67" w:type="dxa"/>
            </w:tcMar>
          </w:tcPr>
          <w:p w14:paraId="1E15C0D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909 (6.43%)</w:t>
            </w:r>
          </w:p>
        </w:tc>
        <w:tc>
          <w:tcPr>
            <w:tcW w:w="1567" w:type="dxa"/>
            <w:tcBorders>
              <w:top w:val="nil"/>
              <w:left w:val="nil"/>
              <w:bottom w:val="nil"/>
              <w:right w:val="nil"/>
            </w:tcBorders>
            <w:shd w:val="clear" w:color="auto" w:fill="FFFFFF"/>
            <w:tcMar>
              <w:left w:w="67" w:type="dxa"/>
              <w:right w:w="67" w:type="dxa"/>
            </w:tcMar>
          </w:tcPr>
          <w:p w14:paraId="4394089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890 (6.87%)</w:t>
            </w:r>
          </w:p>
        </w:tc>
        <w:tc>
          <w:tcPr>
            <w:tcW w:w="1478" w:type="dxa"/>
            <w:tcBorders>
              <w:top w:val="nil"/>
              <w:left w:val="nil"/>
              <w:bottom w:val="nil"/>
              <w:right w:val="single" w:sz="11" w:space="0" w:color="000000"/>
            </w:tcBorders>
            <w:shd w:val="clear" w:color="auto" w:fill="FFFFFF"/>
            <w:tcMar>
              <w:left w:w="67" w:type="dxa"/>
              <w:right w:w="67" w:type="dxa"/>
            </w:tcMar>
          </w:tcPr>
          <w:p w14:paraId="211984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5033 (6.62%)</w:t>
            </w:r>
          </w:p>
        </w:tc>
      </w:tr>
      <w:tr w:rsidR="00B77EA3" w:rsidRPr="0082484A" w14:paraId="6EF6555F"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6ADBC92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w:t>
            </w:r>
          </w:p>
        </w:tc>
        <w:tc>
          <w:tcPr>
            <w:tcW w:w="1605" w:type="dxa"/>
            <w:tcBorders>
              <w:top w:val="nil"/>
              <w:left w:val="nil"/>
              <w:bottom w:val="nil"/>
              <w:right w:val="nil"/>
            </w:tcBorders>
            <w:shd w:val="clear" w:color="auto" w:fill="FFFFFF"/>
            <w:tcMar>
              <w:left w:w="67" w:type="dxa"/>
              <w:right w:w="67" w:type="dxa"/>
            </w:tcMar>
          </w:tcPr>
          <w:p w14:paraId="0CC05F5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483 (2.92%)</w:t>
            </w:r>
          </w:p>
        </w:tc>
        <w:tc>
          <w:tcPr>
            <w:tcW w:w="1534" w:type="dxa"/>
            <w:tcBorders>
              <w:top w:val="nil"/>
              <w:left w:val="nil"/>
              <w:bottom w:val="nil"/>
              <w:right w:val="nil"/>
            </w:tcBorders>
            <w:shd w:val="clear" w:color="auto" w:fill="FFFFFF"/>
            <w:tcMar>
              <w:left w:w="67" w:type="dxa"/>
              <w:right w:w="67" w:type="dxa"/>
            </w:tcMar>
          </w:tcPr>
          <w:p w14:paraId="4B1670C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536 (3.07%)</w:t>
            </w:r>
          </w:p>
        </w:tc>
        <w:tc>
          <w:tcPr>
            <w:tcW w:w="1478" w:type="dxa"/>
            <w:tcBorders>
              <w:top w:val="nil"/>
              <w:left w:val="nil"/>
              <w:bottom w:val="nil"/>
              <w:right w:val="nil"/>
            </w:tcBorders>
            <w:shd w:val="clear" w:color="auto" w:fill="FFFFFF"/>
            <w:tcMar>
              <w:left w:w="67" w:type="dxa"/>
              <w:right w:w="67" w:type="dxa"/>
            </w:tcMar>
          </w:tcPr>
          <w:p w14:paraId="36F1A33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429 (2.87%)</w:t>
            </w:r>
          </w:p>
        </w:tc>
        <w:tc>
          <w:tcPr>
            <w:tcW w:w="1696" w:type="dxa"/>
            <w:tcBorders>
              <w:top w:val="nil"/>
              <w:left w:val="nil"/>
              <w:bottom w:val="nil"/>
              <w:right w:val="nil"/>
            </w:tcBorders>
            <w:shd w:val="clear" w:color="auto" w:fill="FFFFFF"/>
            <w:tcMar>
              <w:left w:w="67" w:type="dxa"/>
              <w:right w:w="67" w:type="dxa"/>
            </w:tcMar>
          </w:tcPr>
          <w:p w14:paraId="6F103B4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396 (2.80%)</w:t>
            </w:r>
          </w:p>
        </w:tc>
        <w:tc>
          <w:tcPr>
            <w:tcW w:w="1567" w:type="dxa"/>
            <w:tcBorders>
              <w:top w:val="nil"/>
              <w:left w:val="nil"/>
              <w:bottom w:val="nil"/>
              <w:right w:val="nil"/>
            </w:tcBorders>
            <w:shd w:val="clear" w:color="auto" w:fill="FFFFFF"/>
            <w:tcMar>
              <w:left w:w="67" w:type="dxa"/>
              <w:right w:w="67" w:type="dxa"/>
            </w:tcMar>
          </w:tcPr>
          <w:p w14:paraId="5CBF87C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353 (2.73%)</w:t>
            </w:r>
          </w:p>
        </w:tc>
        <w:tc>
          <w:tcPr>
            <w:tcW w:w="1478" w:type="dxa"/>
            <w:tcBorders>
              <w:top w:val="nil"/>
              <w:left w:val="nil"/>
              <w:bottom w:val="nil"/>
              <w:right w:val="single" w:sz="11" w:space="0" w:color="000000"/>
            </w:tcBorders>
            <w:shd w:val="clear" w:color="auto" w:fill="FFFFFF"/>
            <w:tcMar>
              <w:left w:w="67" w:type="dxa"/>
              <w:right w:w="67" w:type="dxa"/>
            </w:tcMar>
          </w:tcPr>
          <w:p w14:paraId="3AC9E8D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2197 (2.89%)</w:t>
            </w:r>
          </w:p>
        </w:tc>
      </w:tr>
      <w:tr w:rsidR="00B77EA3" w:rsidRPr="0082484A" w14:paraId="1B57C717"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7B36127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w:t>
            </w:r>
          </w:p>
        </w:tc>
        <w:tc>
          <w:tcPr>
            <w:tcW w:w="1605" w:type="dxa"/>
            <w:tcBorders>
              <w:top w:val="nil"/>
              <w:left w:val="nil"/>
              <w:bottom w:val="nil"/>
              <w:right w:val="nil"/>
            </w:tcBorders>
            <w:shd w:val="clear" w:color="auto" w:fill="FFFFFF"/>
            <w:tcMar>
              <w:left w:w="67" w:type="dxa"/>
              <w:right w:w="67" w:type="dxa"/>
            </w:tcMar>
          </w:tcPr>
          <w:p w14:paraId="646F9AA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162 (0.98%)</w:t>
            </w:r>
          </w:p>
        </w:tc>
        <w:tc>
          <w:tcPr>
            <w:tcW w:w="1534" w:type="dxa"/>
            <w:tcBorders>
              <w:top w:val="nil"/>
              <w:left w:val="nil"/>
              <w:bottom w:val="nil"/>
              <w:right w:val="nil"/>
            </w:tcBorders>
            <w:shd w:val="clear" w:color="auto" w:fill="FFFFFF"/>
            <w:tcMar>
              <w:left w:w="67" w:type="dxa"/>
              <w:right w:w="67" w:type="dxa"/>
            </w:tcMar>
          </w:tcPr>
          <w:p w14:paraId="288BD0E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193 (1.11%)</w:t>
            </w:r>
          </w:p>
        </w:tc>
        <w:tc>
          <w:tcPr>
            <w:tcW w:w="1478" w:type="dxa"/>
            <w:tcBorders>
              <w:top w:val="nil"/>
              <w:left w:val="nil"/>
              <w:bottom w:val="nil"/>
              <w:right w:val="nil"/>
            </w:tcBorders>
            <w:shd w:val="clear" w:color="auto" w:fill="FFFFFF"/>
            <w:tcMar>
              <w:left w:w="67" w:type="dxa"/>
              <w:right w:w="67" w:type="dxa"/>
            </w:tcMar>
          </w:tcPr>
          <w:p w14:paraId="16DA138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129 (0.86%)</w:t>
            </w:r>
          </w:p>
        </w:tc>
        <w:tc>
          <w:tcPr>
            <w:tcW w:w="1696" w:type="dxa"/>
            <w:tcBorders>
              <w:top w:val="nil"/>
              <w:left w:val="nil"/>
              <w:bottom w:val="nil"/>
              <w:right w:val="nil"/>
            </w:tcBorders>
            <w:shd w:val="clear" w:color="auto" w:fill="FFFFFF"/>
            <w:tcMar>
              <w:left w:w="67" w:type="dxa"/>
              <w:right w:w="67" w:type="dxa"/>
            </w:tcMar>
          </w:tcPr>
          <w:p w14:paraId="472BBAD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121 (0.86%)</w:t>
            </w:r>
          </w:p>
        </w:tc>
        <w:tc>
          <w:tcPr>
            <w:tcW w:w="1567" w:type="dxa"/>
            <w:tcBorders>
              <w:top w:val="nil"/>
              <w:left w:val="nil"/>
              <w:bottom w:val="nil"/>
              <w:right w:val="nil"/>
            </w:tcBorders>
            <w:shd w:val="clear" w:color="auto" w:fill="FFFFFF"/>
            <w:tcMar>
              <w:left w:w="67" w:type="dxa"/>
              <w:right w:w="67" w:type="dxa"/>
            </w:tcMar>
          </w:tcPr>
          <w:p w14:paraId="73ABCF0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139 (1.07%)</w:t>
            </w:r>
          </w:p>
        </w:tc>
        <w:tc>
          <w:tcPr>
            <w:tcW w:w="1478" w:type="dxa"/>
            <w:tcBorders>
              <w:top w:val="nil"/>
              <w:left w:val="nil"/>
              <w:bottom w:val="nil"/>
              <w:right w:val="single" w:sz="11" w:space="0" w:color="000000"/>
            </w:tcBorders>
            <w:shd w:val="clear" w:color="auto" w:fill="FFFFFF"/>
            <w:tcMar>
              <w:left w:w="67" w:type="dxa"/>
              <w:right w:w="67" w:type="dxa"/>
            </w:tcMar>
          </w:tcPr>
          <w:p w14:paraId="2132223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744 (0.98%)</w:t>
            </w:r>
          </w:p>
        </w:tc>
      </w:tr>
      <w:tr w:rsidR="00B77EA3" w:rsidRPr="0082484A" w14:paraId="0B65C297"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117D83C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w:t>
            </w:r>
          </w:p>
        </w:tc>
        <w:tc>
          <w:tcPr>
            <w:tcW w:w="1605" w:type="dxa"/>
            <w:tcBorders>
              <w:top w:val="nil"/>
              <w:left w:val="nil"/>
              <w:bottom w:val="nil"/>
              <w:right w:val="nil"/>
            </w:tcBorders>
            <w:shd w:val="clear" w:color="auto" w:fill="FFFFFF"/>
            <w:tcMar>
              <w:left w:w="67" w:type="dxa"/>
              <w:right w:w="67" w:type="dxa"/>
            </w:tcMar>
          </w:tcPr>
          <w:p w14:paraId="1735AC5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42 (0.25%)</w:t>
            </w:r>
          </w:p>
        </w:tc>
        <w:tc>
          <w:tcPr>
            <w:tcW w:w="1534" w:type="dxa"/>
            <w:tcBorders>
              <w:top w:val="nil"/>
              <w:left w:val="nil"/>
              <w:bottom w:val="nil"/>
              <w:right w:val="nil"/>
            </w:tcBorders>
            <w:shd w:val="clear" w:color="auto" w:fill="FFFFFF"/>
            <w:tcMar>
              <w:left w:w="67" w:type="dxa"/>
              <w:right w:w="67" w:type="dxa"/>
            </w:tcMar>
          </w:tcPr>
          <w:p w14:paraId="01210B7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56 (0.32%)</w:t>
            </w:r>
          </w:p>
        </w:tc>
        <w:tc>
          <w:tcPr>
            <w:tcW w:w="1478" w:type="dxa"/>
            <w:tcBorders>
              <w:top w:val="nil"/>
              <w:left w:val="nil"/>
              <w:bottom w:val="nil"/>
              <w:right w:val="nil"/>
            </w:tcBorders>
            <w:shd w:val="clear" w:color="auto" w:fill="FFFFFF"/>
            <w:tcMar>
              <w:left w:w="67" w:type="dxa"/>
              <w:right w:w="67" w:type="dxa"/>
            </w:tcMar>
          </w:tcPr>
          <w:p w14:paraId="6BC11B0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43 (0.29%)</w:t>
            </w:r>
          </w:p>
        </w:tc>
        <w:tc>
          <w:tcPr>
            <w:tcW w:w="1696" w:type="dxa"/>
            <w:tcBorders>
              <w:top w:val="nil"/>
              <w:left w:val="nil"/>
              <w:bottom w:val="nil"/>
              <w:right w:val="nil"/>
            </w:tcBorders>
            <w:shd w:val="clear" w:color="auto" w:fill="FFFFFF"/>
            <w:tcMar>
              <w:left w:w="67" w:type="dxa"/>
              <w:right w:w="67" w:type="dxa"/>
            </w:tcMar>
          </w:tcPr>
          <w:p w14:paraId="6A37F7F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40 (0.28%)</w:t>
            </w:r>
          </w:p>
        </w:tc>
        <w:tc>
          <w:tcPr>
            <w:tcW w:w="1567" w:type="dxa"/>
            <w:tcBorders>
              <w:top w:val="nil"/>
              <w:left w:val="nil"/>
              <w:bottom w:val="nil"/>
              <w:right w:val="nil"/>
            </w:tcBorders>
            <w:shd w:val="clear" w:color="auto" w:fill="FFFFFF"/>
            <w:tcMar>
              <w:left w:w="67" w:type="dxa"/>
              <w:right w:w="67" w:type="dxa"/>
            </w:tcMar>
          </w:tcPr>
          <w:p w14:paraId="0030011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37 (0.29%)</w:t>
            </w:r>
          </w:p>
        </w:tc>
        <w:tc>
          <w:tcPr>
            <w:tcW w:w="1478" w:type="dxa"/>
            <w:tcBorders>
              <w:top w:val="nil"/>
              <w:left w:val="nil"/>
              <w:bottom w:val="nil"/>
              <w:right w:val="single" w:sz="11" w:space="0" w:color="000000"/>
            </w:tcBorders>
            <w:shd w:val="clear" w:color="auto" w:fill="FFFFFF"/>
            <w:tcMar>
              <w:left w:w="67" w:type="dxa"/>
              <w:right w:w="67" w:type="dxa"/>
            </w:tcMar>
          </w:tcPr>
          <w:p w14:paraId="4CA5B03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218 (0.29%)</w:t>
            </w:r>
          </w:p>
        </w:tc>
      </w:tr>
      <w:tr w:rsidR="00B77EA3" w:rsidRPr="0082484A" w14:paraId="3245238A"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59E6DAD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w:t>
            </w:r>
          </w:p>
        </w:tc>
        <w:tc>
          <w:tcPr>
            <w:tcW w:w="1605" w:type="dxa"/>
            <w:tcBorders>
              <w:top w:val="nil"/>
              <w:left w:val="nil"/>
              <w:bottom w:val="nil"/>
              <w:right w:val="nil"/>
            </w:tcBorders>
            <w:shd w:val="clear" w:color="auto" w:fill="FFFFFF"/>
            <w:tcMar>
              <w:left w:w="67" w:type="dxa"/>
              <w:right w:w="67" w:type="dxa"/>
            </w:tcMar>
          </w:tcPr>
          <w:p w14:paraId="08666EF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14 (0.08%)</w:t>
            </w:r>
          </w:p>
        </w:tc>
        <w:tc>
          <w:tcPr>
            <w:tcW w:w="1534" w:type="dxa"/>
            <w:tcBorders>
              <w:top w:val="nil"/>
              <w:left w:val="nil"/>
              <w:bottom w:val="nil"/>
              <w:right w:val="nil"/>
            </w:tcBorders>
            <w:shd w:val="clear" w:color="auto" w:fill="FFFFFF"/>
            <w:tcMar>
              <w:left w:w="67" w:type="dxa"/>
              <w:right w:w="67" w:type="dxa"/>
            </w:tcMar>
          </w:tcPr>
          <w:p w14:paraId="5CBB625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 (0.06%)</w:t>
            </w:r>
          </w:p>
        </w:tc>
        <w:tc>
          <w:tcPr>
            <w:tcW w:w="1478" w:type="dxa"/>
            <w:tcBorders>
              <w:top w:val="nil"/>
              <w:left w:val="nil"/>
              <w:bottom w:val="nil"/>
              <w:right w:val="nil"/>
            </w:tcBorders>
            <w:shd w:val="clear" w:color="auto" w:fill="FFFFFF"/>
            <w:tcMar>
              <w:left w:w="67" w:type="dxa"/>
              <w:right w:w="67" w:type="dxa"/>
            </w:tcMar>
          </w:tcPr>
          <w:p w14:paraId="1BB8FD2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 (0.05%)</w:t>
            </w:r>
          </w:p>
        </w:tc>
        <w:tc>
          <w:tcPr>
            <w:tcW w:w="1696" w:type="dxa"/>
            <w:tcBorders>
              <w:top w:val="nil"/>
              <w:left w:val="nil"/>
              <w:bottom w:val="nil"/>
              <w:right w:val="nil"/>
            </w:tcBorders>
            <w:shd w:val="clear" w:color="auto" w:fill="FFFFFF"/>
            <w:tcMar>
              <w:left w:w="67" w:type="dxa"/>
              <w:right w:w="67" w:type="dxa"/>
            </w:tcMar>
          </w:tcPr>
          <w:p w14:paraId="22D373B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 (0.04%)</w:t>
            </w:r>
          </w:p>
        </w:tc>
        <w:tc>
          <w:tcPr>
            <w:tcW w:w="1567" w:type="dxa"/>
            <w:tcBorders>
              <w:top w:val="nil"/>
              <w:left w:val="nil"/>
              <w:bottom w:val="nil"/>
              <w:right w:val="nil"/>
            </w:tcBorders>
            <w:shd w:val="clear" w:color="auto" w:fill="FFFFFF"/>
            <w:tcMar>
              <w:left w:w="67" w:type="dxa"/>
              <w:right w:w="67" w:type="dxa"/>
            </w:tcMar>
          </w:tcPr>
          <w:p w14:paraId="250B0B1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 (0.04%)</w:t>
            </w:r>
          </w:p>
        </w:tc>
        <w:tc>
          <w:tcPr>
            <w:tcW w:w="1478" w:type="dxa"/>
            <w:tcBorders>
              <w:top w:val="nil"/>
              <w:left w:val="nil"/>
              <w:bottom w:val="nil"/>
              <w:right w:val="single" w:sz="11" w:space="0" w:color="000000"/>
            </w:tcBorders>
            <w:shd w:val="clear" w:color="auto" w:fill="FFFFFF"/>
            <w:tcMar>
              <w:left w:w="67" w:type="dxa"/>
              <w:right w:w="67" w:type="dxa"/>
            </w:tcMar>
          </w:tcPr>
          <w:p w14:paraId="33B4985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43 (0.06%)</w:t>
            </w:r>
          </w:p>
        </w:tc>
      </w:tr>
      <w:tr w:rsidR="00B77EA3" w:rsidRPr="0082484A" w14:paraId="7A7C2948" w14:textId="77777777" w:rsidTr="0082484A">
        <w:trPr>
          <w:cantSplit/>
          <w:jc w:val="center"/>
        </w:trPr>
        <w:tc>
          <w:tcPr>
            <w:tcW w:w="1404" w:type="dxa"/>
            <w:tcBorders>
              <w:top w:val="nil"/>
              <w:left w:val="single" w:sz="11" w:space="0" w:color="000000"/>
              <w:bottom w:val="nil"/>
              <w:right w:val="nil"/>
            </w:tcBorders>
            <w:shd w:val="clear" w:color="auto" w:fill="FFFFFF"/>
            <w:tcMar>
              <w:left w:w="67" w:type="dxa"/>
              <w:right w:w="67" w:type="dxa"/>
            </w:tcMar>
          </w:tcPr>
          <w:p w14:paraId="2171281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w:t>
            </w:r>
          </w:p>
        </w:tc>
        <w:tc>
          <w:tcPr>
            <w:tcW w:w="1605" w:type="dxa"/>
            <w:tcBorders>
              <w:top w:val="nil"/>
              <w:left w:val="nil"/>
              <w:bottom w:val="nil"/>
              <w:right w:val="nil"/>
            </w:tcBorders>
            <w:shd w:val="clear" w:color="auto" w:fill="FFFFFF"/>
            <w:tcMar>
              <w:left w:w="67" w:type="dxa"/>
              <w:right w:w="67" w:type="dxa"/>
            </w:tcMar>
          </w:tcPr>
          <w:p w14:paraId="0D1CEF9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 (0.02%)</w:t>
            </w:r>
          </w:p>
        </w:tc>
        <w:tc>
          <w:tcPr>
            <w:tcW w:w="1534" w:type="dxa"/>
            <w:tcBorders>
              <w:top w:val="nil"/>
              <w:left w:val="nil"/>
              <w:bottom w:val="nil"/>
              <w:right w:val="nil"/>
            </w:tcBorders>
            <w:shd w:val="clear" w:color="auto" w:fill="FFFFFF"/>
            <w:tcMar>
              <w:left w:w="67" w:type="dxa"/>
              <w:right w:w="67" w:type="dxa"/>
            </w:tcMar>
          </w:tcPr>
          <w:p w14:paraId="2A1FAAB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(0.01%)</w:t>
            </w:r>
          </w:p>
        </w:tc>
        <w:tc>
          <w:tcPr>
            <w:tcW w:w="1478" w:type="dxa"/>
            <w:tcBorders>
              <w:top w:val="nil"/>
              <w:left w:val="nil"/>
              <w:bottom w:val="nil"/>
              <w:right w:val="nil"/>
            </w:tcBorders>
            <w:shd w:val="clear" w:color="auto" w:fill="FFFFFF"/>
            <w:tcMar>
              <w:left w:w="67" w:type="dxa"/>
              <w:right w:w="67" w:type="dxa"/>
            </w:tcMar>
          </w:tcPr>
          <w:p w14:paraId="1BE5709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 (0.00%)</w:t>
            </w:r>
          </w:p>
        </w:tc>
        <w:tc>
          <w:tcPr>
            <w:tcW w:w="1696" w:type="dxa"/>
            <w:tcBorders>
              <w:top w:val="nil"/>
              <w:left w:val="nil"/>
              <w:bottom w:val="nil"/>
              <w:right w:val="nil"/>
            </w:tcBorders>
            <w:shd w:val="clear" w:color="auto" w:fill="FFFFFF"/>
            <w:tcMar>
              <w:left w:w="67" w:type="dxa"/>
              <w:right w:w="67" w:type="dxa"/>
            </w:tcMar>
          </w:tcPr>
          <w:p w14:paraId="4C1E4F7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 (0.02%)</w:t>
            </w:r>
          </w:p>
        </w:tc>
        <w:tc>
          <w:tcPr>
            <w:tcW w:w="1567" w:type="dxa"/>
            <w:tcBorders>
              <w:top w:val="nil"/>
              <w:left w:val="nil"/>
              <w:bottom w:val="nil"/>
              <w:right w:val="nil"/>
            </w:tcBorders>
            <w:shd w:val="clear" w:color="auto" w:fill="FFFFFF"/>
            <w:tcMar>
              <w:left w:w="67" w:type="dxa"/>
              <w:right w:w="67" w:type="dxa"/>
            </w:tcMar>
          </w:tcPr>
          <w:p w14:paraId="41DA670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(0.01%)</w:t>
            </w:r>
          </w:p>
        </w:tc>
        <w:tc>
          <w:tcPr>
            <w:tcW w:w="1478" w:type="dxa"/>
            <w:tcBorders>
              <w:top w:val="nil"/>
              <w:left w:val="nil"/>
              <w:bottom w:val="nil"/>
              <w:right w:val="single" w:sz="11" w:space="0" w:color="000000"/>
            </w:tcBorders>
            <w:shd w:val="clear" w:color="auto" w:fill="FFFFFF"/>
            <w:tcMar>
              <w:left w:w="67" w:type="dxa"/>
              <w:right w:w="67" w:type="dxa"/>
            </w:tcMar>
          </w:tcPr>
          <w:p w14:paraId="72B08F7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 (0.01%)</w:t>
            </w:r>
          </w:p>
        </w:tc>
      </w:tr>
      <w:tr w:rsidR="00B77EA3" w:rsidRPr="0082484A" w14:paraId="029B4CBA" w14:textId="77777777" w:rsidTr="0082484A">
        <w:trPr>
          <w:cantSplit/>
          <w:jc w:val="center"/>
        </w:trPr>
        <w:tc>
          <w:tcPr>
            <w:tcW w:w="1404" w:type="dxa"/>
            <w:tcBorders>
              <w:top w:val="nil"/>
              <w:left w:val="single" w:sz="11" w:space="0" w:color="000000"/>
              <w:bottom w:val="single" w:sz="11" w:space="0" w:color="000000"/>
              <w:right w:val="nil"/>
            </w:tcBorders>
            <w:shd w:val="clear" w:color="auto" w:fill="FFFFFF"/>
            <w:tcMar>
              <w:left w:w="67" w:type="dxa"/>
              <w:right w:w="67" w:type="dxa"/>
            </w:tcMar>
          </w:tcPr>
          <w:p w14:paraId="0848AEC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05" w:type="dxa"/>
            <w:tcBorders>
              <w:top w:val="nil"/>
              <w:left w:val="nil"/>
              <w:bottom w:val="single" w:sz="11" w:space="0" w:color="000000"/>
              <w:right w:val="nil"/>
            </w:tcBorders>
            <w:shd w:val="clear" w:color="auto" w:fill="FFFFFF"/>
            <w:tcMar>
              <w:left w:w="67" w:type="dxa"/>
              <w:right w:w="67" w:type="dxa"/>
            </w:tcMar>
          </w:tcPr>
          <w:p w14:paraId="67652F3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34" w:type="dxa"/>
            <w:tcBorders>
              <w:top w:val="nil"/>
              <w:left w:val="nil"/>
              <w:bottom w:val="single" w:sz="11" w:space="0" w:color="000000"/>
              <w:right w:val="nil"/>
            </w:tcBorders>
            <w:shd w:val="clear" w:color="auto" w:fill="FFFFFF"/>
            <w:tcMar>
              <w:left w:w="67" w:type="dxa"/>
              <w:right w:w="67" w:type="dxa"/>
            </w:tcMar>
          </w:tcPr>
          <w:p w14:paraId="2FD0B8D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single" w:sz="11" w:space="0" w:color="000000"/>
              <w:right w:val="nil"/>
            </w:tcBorders>
            <w:shd w:val="clear" w:color="auto" w:fill="FFFFFF"/>
            <w:tcMar>
              <w:left w:w="67" w:type="dxa"/>
              <w:right w:w="67" w:type="dxa"/>
            </w:tcMar>
          </w:tcPr>
          <w:p w14:paraId="755070A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6" w:type="dxa"/>
            <w:tcBorders>
              <w:top w:val="nil"/>
              <w:left w:val="nil"/>
              <w:bottom w:val="single" w:sz="11" w:space="0" w:color="000000"/>
              <w:right w:val="nil"/>
            </w:tcBorders>
            <w:shd w:val="clear" w:color="auto" w:fill="FFFFFF"/>
            <w:tcMar>
              <w:left w:w="67" w:type="dxa"/>
              <w:right w:w="67" w:type="dxa"/>
            </w:tcMar>
          </w:tcPr>
          <w:p w14:paraId="29FF120F"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7" w:type="dxa"/>
            <w:tcBorders>
              <w:top w:val="nil"/>
              <w:left w:val="nil"/>
              <w:bottom w:val="single" w:sz="11" w:space="0" w:color="000000"/>
              <w:right w:val="nil"/>
            </w:tcBorders>
            <w:shd w:val="clear" w:color="auto" w:fill="FFFFFF"/>
            <w:tcMar>
              <w:left w:w="67" w:type="dxa"/>
              <w:right w:w="67" w:type="dxa"/>
            </w:tcMar>
          </w:tcPr>
          <w:p w14:paraId="39649D4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8" w:type="dxa"/>
            <w:tcBorders>
              <w:top w:val="nil"/>
              <w:left w:val="nil"/>
              <w:bottom w:val="single" w:sz="11" w:space="0" w:color="000000"/>
              <w:right w:val="single" w:sz="11" w:space="0" w:color="000000"/>
            </w:tcBorders>
            <w:shd w:val="clear" w:color="auto" w:fill="FFFFFF"/>
            <w:tcMar>
              <w:left w:w="67" w:type="dxa"/>
              <w:right w:w="67" w:type="dxa"/>
            </w:tcMar>
          </w:tcPr>
          <w:p w14:paraId="63F329E6"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bl>
    <w:p w14:paraId="1ADB2BD4" w14:textId="77777777" w:rsidR="00B77EA3" w:rsidRPr="0082484A" w:rsidRDefault="00B77EA3" w:rsidP="00B77EA3">
      <w:pPr>
        <w:contextualSpacing/>
        <w:rPr>
          <w:bCs/>
          <w:color w:val="FF0000"/>
          <w:sz w:val="22"/>
          <w:szCs w:val="22"/>
        </w:rPr>
      </w:pPr>
      <w:r w:rsidRPr="0082484A">
        <w:rPr>
          <w:bCs/>
          <w:color w:val="FF0000"/>
          <w:sz w:val="22"/>
          <w:szCs w:val="22"/>
        </w:rPr>
        <w:br w:type="page"/>
      </w:r>
    </w:p>
    <w:p w14:paraId="652D1698" w14:textId="0AD092D7" w:rsidR="00B77EA3" w:rsidRPr="0082484A" w:rsidRDefault="00B77EA3" w:rsidP="00B77EA3">
      <w:pPr>
        <w:pStyle w:val="Caption"/>
        <w:rPr>
          <w:b w:val="0"/>
          <w:sz w:val="22"/>
          <w:szCs w:val="22"/>
        </w:rPr>
      </w:pPr>
      <w:bookmarkStart w:id="39" w:name="_Ref501103673"/>
      <w:bookmarkStart w:id="40" w:name="_Toc8728081"/>
      <w:bookmarkStart w:id="41" w:name="_Toc19526740"/>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11</w:t>
      </w:r>
      <w:r w:rsidRPr="0082484A">
        <w:rPr>
          <w:b w:val="0"/>
          <w:noProof/>
          <w:sz w:val="22"/>
          <w:szCs w:val="22"/>
        </w:rPr>
        <w:fldChar w:fldCharType="end"/>
      </w:r>
      <w:bookmarkEnd w:id="39"/>
      <w:r w:rsidRPr="0082484A">
        <w:rPr>
          <w:b w:val="0"/>
          <w:bCs w:val="0"/>
          <w:sz w:val="22"/>
          <w:szCs w:val="22"/>
        </w:rPr>
        <w:t xml:space="preserve">: </w:t>
      </w:r>
      <w:r w:rsidRPr="0082484A">
        <w:rPr>
          <w:b w:val="0"/>
          <w:sz w:val="22"/>
          <w:szCs w:val="22"/>
        </w:rPr>
        <w:t>Cluster-randomised evaluation: patient characteristics at baseline by trial arm (population relevant to the blood pressure control primary outcome) (WP4a)</w:t>
      </w:r>
      <w:bookmarkEnd w:id="40"/>
      <w:bookmarkEnd w:id="41"/>
    </w:p>
    <w:tbl>
      <w:tblPr>
        <w:tblW w:w="10783" w:type="dxa"/>
        <w:jc w:val="center"/>
        <w:tblLayout w:type="fixed"/>
        <w:tblCellMar>
          <w:left w:w="0" w:type="dxa"/>
          <w:right w:w="0" w:type="dxa"/>
        </w:tblCellMar>
        <w:tblLook w:val="0000" w:firstRow="0" w:lastRow="0" w:firstColumn="0" w:lastColumn="0" w:noHBand="0" w:noVBand="0"/>
      </w:tblPr>
      <w:tblGrid>
        <w:gridCol w:w="1533"/>
        <w:gridCol w:w="1473"/>
        <w:gridCol w:w="1530"/>
        <w:gridCol w:w="1472"/>
        <w:gridCol w:w="1695"/>
        <w:gridCol w:w="1564"/>
        <w:gridCol w:w="1516"/>
      </w:tblGrid>
      <w:tr w:rsidR="00B77EA3" w:rsidRPr="0082484A" w14:paraId="5A6FEDFA" w14:textId="77777777" w:rsidTr="00B77EA3">
        <w:trPr>
          <w:cantSplit/>
          <w:tblHeader/>
          <w:jc w:val="center"/>
        </w:trPr>
        <w:tc>
          <w:tcPr>
            <w:tcW w:w="1531" w:type="dxa"/>
            <w:tcBorders>
              <w:top w:val="single" w:sz="11" w:space="0" w:color="000000"/>
              <w:left w:val="single" w:sz="11" w:space="0" w:color="000000"/>
              <w:bottom w:val="single" w:sz="4" w:space="0" w:color="FFFFFF" w:themeColor="background1"/>
              <w:right w:val="nil"/>
            </w:tcBorders>
            <w:shd w:val="clear" w:color="auto" w:fill="FFFFFF"/>
            <w:tcMar>
              <w:left w:w="67" w:type="dxa"/>
              <w:right w:w="67" w:type="dxa"/>
            </w:tcMar>
            <w:vAlign w:val="bottom"/>
          </w:tcPr>
          <w:p w14:paraId="0DC8A701" w14:textId="03052651" w:rsidR="00B77EA3" w:rsidRPr="0082484A" w:rsidRDefault="006309F7"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1</w:t>
            </w:r>
          </w:p>
        </w:tc>
        <w:tc>
          <w:tcPr>
            <w:tcW w:w="3000"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65BB8669"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rFonts w:eastAsia="Times New Roman"/>
                <w:bCs/>
                <w:sz w:val="22"/>
                <w:szCs w:val="22"/>
                <w:lang w:eastAsia="en-GB"/>
              </w:rPr>
              <w:t>Trial 1</w:t>
            </w:r>
          </w:p>
        </w:tc>
        <w:tc>
          <w:tcPr>
            <w:tcW w:w="3165"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66205B0F" w14:textId="77777777" w:rsidR="00B77EA3" w:rsidRPr="0082484A" w:rsidRDefault="00B77EA3" w:rsidP="00B77EA3">
            <w:pPr>
              <w:autoSpaceDE w:val="0"/>
              <w:autoSpaceDN w:val="0"/>
              <w:adjustRightInd w:val="0"/>
              <w:spacing w:before="67" w:after="67"/>
              <w:contextualSpacing/>
              <w:jc w:val="center"/>
              <w:rPr>
                <w:rFonts w:eastAsia="Times New Roman"/>
                <w:bCs/>
                <w:sz w:val="22"/>
                <w:szCs w:val="22"/>
                <w:lang w:eastAsia="en-GB"/>
              </w:rPr>
            </w:pPr>
            <w:r w:rsidRPr="0082484A">
              <w:rPr>
                <w:rFonts w:eastAsia="Times New Roman"/>
                <w:bCs/>
                <w:sz w:val="22"/>
                <w:szCs w:val="22"/>
                <w:lang w:eastAsia="en-GB"/>
              </w:rPr>
              <w:t>Trial 2</w:t>
            </w:r>
          </w:p>
        </w:tc>
        <w:tc>
          <w:tcPr>
            <w:tcW w:w="1563" w:type="dxa"/>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02524464"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515" w:type="dxa"/>
            <w:tcBorders>
              <w:top w:val="single" w:sz="11" w:space="0" w:color="000000"/>
              <w:left w:val="nil"/>
              <w:bottom w:val="single" w:sz="4" w:space="0" w:color="FFFFFF" w:themeColor="background1"/>
              <w:right w:val="single" w:sz="11" w:space="0" w:color="000000"/>
            </w:tcBorders>
            <w:shd w:val="clear" w:color="auto" w:fill="FFFFFF"/>
            <w:tcMar>
              <w:left w:w="67" w:type="dxa"/>
              <w:right w:w="67" w:type="dxa"/>
            </w:tcMar>
            <w:vAlign w:val="bottom"/>
          </w:tcPr>
          <w:p w14:paraId="2916600F"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r>
      <w:tr w:rsidR="00B77EA3" w:rsidRPr="0082484A" w14:paraId="0E87CFE3" w14:textId="77777777" w:rsidTr="00B77EA3">
        <w:trPr>
          <w:cantSplit/>
          <w:tblHeader/>
          <w:jc w:val="center"/>
        </w:trPr>
        <w:tc>
          <w:tcPr>
            <w:tcW w:w="1531" w:type="dxa"/>
            <w:tcBorders>
              <w:top w:val="single" w:sz="4" w:space="0" w:color="FFFFFF" w:themeColor="background1"/>
              <w:left w:val="single" w:sz="11" w:space="0" w:color="000000"/>
              <w:bottom w:val="single" w:sz="4" w:space="0" w:color="000000"/>
              <w:right w:val="nil"/>
            </w:tcBorders>
            <w:shd w:val="clear" w:color="auto" w:fill="FFFFFF"/>
            <w:tcMar>
              <w:left w:w="67" w:type="dxa"/>
              <w:right w:w="67" w:type="dxa"/>
            </w:tcMar>
            <w:vAlign w:val="bottom"/>
          </w:tcPr>
          <w:p w14:paraId="13096817"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p>
        </w:tc>
        <w:tc>
          <w:tcPr>
            <w:tcW w:w="1471"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6AEAECC8"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Diabetes control (n=50649)</w:t>
            </w:r>
          </w:p>
        </w:tc>
        <w:tc>
          <w:tcPr>
            <w:tcW w:w="152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518A97DC"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Risky prescribing (n=53323)</w:t>
            </w:r>
          </w:p>
        </w:tc>
        <w:tc>
          <w:tcPr>
            <w:tcW w:w="1471"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CF0BFA4"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Blood pressure control (n=46811)</w:t>
            </w:r>
          </w:p>
        </w:tc>
        <w:tc>
          <w:tcPr>
            <w:tcW w:w="169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AF4E5EC"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Anticoagulation in AF (n=44597)</w:t>
            </w:r>
          </w:p>
        </w:tc>
        <w:tc>
          <w:tcPr>
            <w:tcW w:w="1563"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3025656D"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Non-intervention (n=40950)</w:t>
            </w:r>
          </w:p>
        </w:tc>
        <w:tc>
          <w:tcPr>
            <w:tcW w:w="1515" w:type="dxa"/>
            <w:tcBorders>
              <w:top w:val="single" w:sz="4" w:space="0" w:color="FFFFFF" w:themeColor="background1"/>
              <w:left w:val="nil"/>
              <w:bottom w:val="single" w:sz="4" w:space="0" w:color="000000"/>
              <w:right w:val="single" w:sz="11" w:space="0" w:color="000000"/>
            </w:tcBorders>
            <w:shd w:val="clear" w:color="auto" w:fill="FFFFFF"/>
            <w:tcMar>
              <w:left w:w="67" w:type="dxa"/>
              <w:right w:w="67" w:type="dxa"/>
            </w:tcMar>
            <w:vAlign w:val="bottom"/>
          </w:tcPr>
          <w:p w14:paraId="25B0E682"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Total (n=236330)</w:t>
            </w:r>
          </w:p>
        </w:tc>
      </w:tr>
      <w:tr w:rsidR="00B77EA3" w:rsidRPr="0082484A" w14:paraId="5F666E26"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B3EF5F5"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Age</w:t>
            </w:r>
          </w:p>
        </w:tc>
        <w:tc>
          <w:tcPr>
            <w:tcW w:w="1471" w:type="dxa"/>
            <w:tcBorders>
              <w:top w:val="nil"/>
              <w:left w:val="nil"/>
              <w:bottom w:val="nil"/>
              <w:right w:val="nil"/>
            </w:tcBorders>
            <w:shd w:val="clear" w:color="auto" w:fill="FFFFFF"/>
            <w:tcMar>
              <w:left w:w="67" w:type="dxa"/>
              <w:right w:w="67" w:type="dxa"/>
            </w:tcMar>
          </w:tcPr>
          <w:p w14:paraId="096E7E3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9" w:type="dxa"/>
            <w:tcBorders>
              <w:top w:val="nil"/>
              <w:left w:val="nil"/>
              <w:bottom w:val="nil"/>
              <w:right w:val="nil"/>
            </w:tcBorders>
            <w:shd w:val="clear" w:color="auto" w:fill="FFFFFF"/>
            <w:tcMar>
              <w:left w:w="67" w:type="dxa"/>
              <w:right w:w="67" w:type="dxa"/>
            </w:tcMar>
          </w:tcPr>
          <w:p w14:paraId="6EECBF0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0B69281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4" w:type="dxa"/>
            <w:tcBorders>
              <w:top w:val="nil"/>
              <w:left w:val="nil"/>
              <w:bottom w:val="nil"/>
              <w:right w:val="nil"/>
            </w:tcBorders>
            <w:shd w:val="clear" w:color="auto" w:fill="FFFFFF"/>
            <w:tcMar>
              <w:left w:w="67" w:type="dxa"/>
              <w:right w:w="67" w:type="dxa"/>
            </w:tcMar>
          </w:tcPr>
          <w:p w14:paraId="5C34BFC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3" w:type="dxa"/>
            <w:tcBorders>
              <w:top w:val="nil"/>
              <w:left w:val="nil"/>
              <w:bottom w:val="nil"/>
              <w:right w:val="nil"/>
            </w:tcBorders>
            <w:shd w:val="clear" w:color="auto" w:fill="FFFFFF"/>
            <w:tcMar>
              <w:left w:w="67" w:type="dxa"/>
              <w:right w:w="67" w:type="dxa"/>
            </w:tcMar>
          </w:tcPr>
          <w:p w14:paraId="6EADBD3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15" w:type="dxa"/>
            <w:tcBorders>
              <w:top w:val="nil"/>
              <w:left w:val="nil"/>
              <w:bottom w:val="nil"/>
              <w:right w:val="single" w:sz="11" w:space="0" w:color="000000"/>
            </w:tcBorders>
            <w:shd w:val="clear" w:color="auto" w:fill="FFFFFF"/>
            <w:tcMar>
              <w:left w:w="67" w:type="dxa"/>
              <w:right w:w="67" w:type="dxa"/>
            </w:tcMar>
          </w:tcPr>
          <w:p w14:paraId="1A418A6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4DB58B2E"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79C898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Mean (SD)</w:t>
            </w:r>
          </w:p>
        </w:tc>
        <w:tc>
          <w:tcPr>
            <w:tcW w:w="1471" w:type="dxa"/>
            <w:tcBorders>
              <w:top w:val="nil"/>
              <w:left w:val="nil"/>
              <w:bottom w:val="nil"/>
              <w:right w:val="nil"/>
            </w:tcBorders>
            <w:shd w:val="clear" w:color="auto" w:fill="FFFFFF"/>
            <w:tcMar>
              <w:left w:w="67" w:type="dxa"/>
              <w:right w:w="67" w:type="dxa"/>
            </w:tcMar>
          </w:tcPr>
          <w:p w14:paraId="4B543B0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65.87 (13.15)</w:t>
            </w:r>
          </w:p>
        </w:tc>
        <w:tc>
          <w:tcPr>
            <w:tcW w:w="1529" w:type="dxa"/>
            <w:tcBorders>
              <w:top w:val="nil"/>
              <w:left w:val="nil"/>
              <w:bottom w:val="nil"/>
              <w:right w:val="nil"/>
            </w:tcBorders>
            <w:shd w:val="clear" w:color="auto" w:fill="FFFFFF"/>
            <w:tcMar>
              <w:left w:w="67" w:type="dxa"/>
              <w:right w:w="67" w:type="dxa"/>
            </w:tcMar>
          </w:tcPr>
          <w:p w14:paraId="7969970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65.14 (13.36)</w:t>
            </w:r>
          </w:p>
        </w:tc>
        <w:tc>
          <w:tcPr>
            <w:tcW w:w="1471" w:type="dxa"/>
            <w:tcBorders>
              <w:top w:val="nil"/>
              <w:left w:val="nil"/>
              <w:bottom w:val="nil"/>
              <w:right w:val="nil"/>
            </w:tcBorders>
            <w:shd w:val="clear" w:color="auto" w:fill="FFFFFF"/>
            <w:tcMar>
              <w:left w:w="67" w:type="dxa"/>
              <w:right w:w="67" w:type="dxa"/>
            </w:tcMar>
          </w:tcPr>
          <w:p w14:paraId="62D370F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66.11 (12.81)</w:t>
            </w:r>
          </w:p>
        </w:tc>
        <w:tc>
          <w:tcPr>
            <w:tcW w:w="1694" w:type="dxa"/>
            <w:tcBorders>
              <w:top w:val="nil"/>
              <w:left w:val="nil"/>
              <w:bottom w:val="nil"/>
              <w:right w:val="nil"/>
            </w:tcBorders>
            <w:shd w:val="clear" w:color="auto" w:fill="FFFFFF"/>
            <w:tcMar>
              <w:left w:w="67" w:type="dxa"/>
              <w:right w:w="67" w:type="dxa"/>
            </w:tcMar>
          </w:tcPr>
          <w:p w14:paraId="64A2493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65.96 (12.92)</w:t>
            </w:r>
          </w:p>
        </w:tc>
        <w:tc>
          <w:tcPr>
            <w:tcW w:w="1563" w:type="dxa"/>
            <w:tcBorders>
              <w:top w:val="nil"/>
              <w:left w:val="nil"/>
              <w:bottom w:val="nil"/>
              <w:right w:val="nil"/>
            </w:tcBorders>
            <w:shd w:val="clear" w:color="auto" w:fill="FFFFFF"/>
            <w:tcMar>
              <w:left w:w="67" w:type="dxa"/>
              <w:right w:w="67" w:type="dxa"/>
            </w:tcMar>
          </w:tcPr>
          <w:p w14:paraId="40DEA7E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65.19 (13.28)</w:t>
            </w:r>
          </w:p>
        </w:tc>
        <w:tc>
          <w:tcPr>
            <w:tcW w:w="1515" w:type="dxa"/>
            <w:tcBorders>
              <w:top w:val="nil"/>
              <w:left w:val="nil"/>
              <w:bottom w:val="nil"/>
              <w:right w:val="single" w:sz="11" w:space="0" w:color="000000"/>
            </w:tcBorders>
            <w:shd w:val="clear" w:color="auto" w:fill="FFFFFF"/>
            <w:tcMar>
              <w:left w:w="67" w:type="dxa"/>
              <w:right w:w="67" w:type="dxa"/>
            </w:tcMar>
          </w:tcPr>
          <w:p w14:paraId="38DB3CB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65.65 (13.11)</w:t>
            </w:r>
          </w:p>
        </w:tc>
      </w:tr>
      <w:tr w:rsidR="00B77EA3" w:rsidRPr="0082484A" w14:paraId="623661E4"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8A934D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Median (Range)</w:t>
            </w:r>
          </w:p>
        </w:tc>
        <w:tc>
          <w:tcPr>
            <w:tcW w:w="1471" w:type="dxa"/>
            <w:tcBorders>
              <w:top w:val="nil"/>
              <w:left w:val="nil"/>
              <w:bottom w:val="nil"/>
              <w:right w:val="nil"/>
            </w:tcBorders>
            <w:shd w:val="clear" w:color="auto" w:fill="FFFFFF"/>
            <w:tcMar>
              <w:left w:w="67" w:type="dxa"/>
              <w:right w:w="67" w:type="dxa"/>
            </w:tcMar>
          </w:tcPr>
          <w:p w14:paraId="1E5DAAE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67.00 (0.00, 106.00)</w:t>
            </w:r>
          </w:p>
        </w:tc>
        <w:tc>
          <w:tcPr>
            <w:tcW w:w="1529" w:type="dxa"/>
            <w:tcBorders>
              <w:top w:val="nil"/>
              <w:left w:val="nil"/>
              <w:bottom w:val="nil"/>
              <w:right w:val="nil"/>
            </w:tcBorders>
            <w:shd w:val="clear" w:color="auto" w:fill="FFFFFF"/>
            <w:tcMar>
              <w:left w:w="67" w:type="dxa"/>
              <w:right w:w="67" w:type="dxa"/>
            </w:tcMar>
          </w:tcPr>
          <w:p w14:paraId="0A71FE4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66.00 (0.00, 105.00)</w:t>
            </w:r>
          </w:p>
        </w:tc>
        <w:tc>
          <w:tcPr>
            <w:tcW w:w="1471" w:type="dxa"/>
            <w:tcBorders>
              <w:top w:val="nil"/>
              <w:left w:val="nil"/>
              <w:bottom w:val="nil"/>
              <w:right w:val="nil"/>
            </w:tcBorders>
            <w:shd w:val="clear" w:color="auto" w:fill="FFFFFF"/>
            <w:tcMar>
              <w:left w:w="67" w:type="dxa"/>
              <w:right w:w="67" w:type="dxa"/>
            </w:tcMar>
          </w:tcPr>
          <w:p w14:paraId="52343FD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67.00 (0.00, 104.00)</w:t>
            </w:r>
          </w:p>
        </w:tc>
        <w:tc>
          <w:tcPr>
            <w:tcW w:w="1694" w:type="dxa"/>
            <w:tcBorders>
              <w:top w:val="nil"/>
              <w:left w:val="nil"/>
              <w:bottom w:val="nil"/>
              <w:right w:val="nil"/>
            </w:tcBorders>
            <w:shd w:val="clear" w:color="auto" w:fill="FFFFFF"/>
            <w:tcMar>
              <w:left w:w="67" w:type="dxa"/>
              <w:right w:w="67" w:type="dxa"/>
            </w:tcMar>
          </w:tcPr>
          <w:p w14:paraId="3981B30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67.00 (0.00, 107.00)</w:t>
            </w:r>
          </w:p>
        </w:tc>
        <w:tc>
          <w:tcPr>
            <w:tcW w:w="1563" w:type="dxa"/>
            <w:tcBorders>
              <w:top w:val="nil"/>
              <w:left w:val="nil"/>
              <w:bottom w:val="nil"/>
              <w:right w:val="nil"/>
            </w:tcBorders>
            <w:shd w:val="clear" w:color="auto" w:fill="FFFFFF"/>
            <w:tcMar>
              <w:left w:w="67" w:type="dxa"/>
              <w:right w:w="67" w:type="dxa"/>
            </w:tcMar>
          </w:tcPr>
          <w:p w14:paraId="3FBD2B6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66.00 (0.00, 108.00)</w:t>
            </w:r>
          </w:p>
        </w:tc>
        <w:tc>
          <w:tcPr>
            <w:tcW w:w="1515" w:type="dxa"/>
            <w:tcBorders>
              <w:top w:val="nil"/>
              <w:left w:val="nil"/>
              <w:bottom w:val="nil"/>
              <w:right w:val="single" w:sz="11" w:space="0" w:color="000000"/>
            </w:tcBorders>
            <w:shd w:val="clear" w:color="auto" w:fill="FFFFFF"/>
            <w:tcMar>
              <w:left w:w="67" w:type="dxa"/>
              <w:right w:w="67" w:type="dxa"/>
            </w:tcMar>
          </w:tcPr>
          <w:p w14:paraId="5736891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67.00 (0.00, 108.00)</w:t>
            </w:r>
          </w:p>
        </w:tc>
      </w:tr>
      <w:tr w:rsidR="00B77EA3" w:rsidRPr="0082484A" w14:paraId="57C848DF"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5B56518D"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19837361"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9" w:type="dxa"/>
            <w:tcBorders>
              <w:top w:val="nil"/>
              <w:left w:val="nil"/>
              <w:bottom w:val="nil"/>
              <w:right w:val="nil"/>
            </w:tcBorders>
            <w:shd w:val="clear" w:color="auto" w:fill="FFFFFF"/>
            <w:tcMar>
              <w:left w:w="67" w:type="dxa"/>
              <w:right w:w="67" w:type="dxa"/>
            </w:tcMar>
          </w:tcPr>
          <w:p w14:paraId="62EE0BF4"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614D86ED"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4" w:type="dxa"/>
            <w:tcBorders>
              <w:top w:val="nil"/>
              <w:left w:val="nil"/>
              <w:bottom w:val="nil"/>
              <w:right w:val="nil"/>
            </w:tcBorders>
            <w:shd w:val="clear" w:color="auto" w:fill="FFFFFF"/>
            <w:tcMar>
              <w:left w:w="67" w:type="dxa"/>
              <w:right w:w="67" w:type="dxa"/>
            </w:tcMar>
          </w:tcPr>
          <w:p w14:paraId="763E128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3" w:type="dxa"/>
            <w:tcBorders>
              <w:top w:val="nil"/>
              <w:left w:val="nil"/>
              <w:bottom w:val="nil"/>
              <w:right w:val="nil"/>
            </w:tcBorders>
            <w:shd w:val="clear" w:color="auto" w:fill="FFFFFF"/>
            <w:tcMar>
              <w:left w:w="67" w:type="dxa"/>
              <w:right w:w="67" w:type="dxa"/>
            </w:tcMar>
          </w:tcPr>
          <w:p w14:paraId="4659BC7B"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15" w:type="dxa"/>
            <w:tcBorders>
              <w:top w:val="nil"/>
              <w:left w:val="nil"/>
              <w:bottom w:val="nil"/>
              <w:right w:val="single" w:sz="11" w:space="0" w:color="000000"/>
            </w:tcBorders>
            <w:shd w:val="clear" w:color="auto" w:fill="FFFFFF"/>
            <w:tcMar>
              <w:left w:w="67" w:type="dxa"/>
              <w:right w:w="67" w:type="dxa"/>
            </w:tcMar>
          </w:tcPr>
          <w:p w14:paraId="7BA082D6"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75BDADA4"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9A07A0A"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Gender</w:t>
            </w:r>
          </w:p>
        </w:tc>
        <w:tc>
          <w:tcPr>
            <w:tcW w:w="1471" w:type="dxa"/>
            <w:tcBorders>
              <w:top w:val="nil"/>
              <w:left w:val="nil"/>
              <w:bottom w:val="nil"/>
              <w:right w:val="nil"/>
            </w:tcBorders>
            <w:shd w:val="clear" w:color="auto" w:fill="FFFFFF"/>
            <w:tcMar>
              <w:left w:w="67" w:type="dxa"/>
              <w:right w:w="67" w:type="dxa"/>
            </w:tcMar>
          </w:tcPr>
          <w:p w14:paraId="5C76A21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9" w:type="dxa"/>
            <w:tcBorders>
              <w:top w:val="nil"/>
              <w:left w:val="nil"/>
              <w:bottom w:val="nil"/>
              <w:right w:val="nil"/>
            </w:tcBorders>
            <w:shd w:val="clear" w:color="auto" w:fill="FFFFFF"/>
            <w:tcMar>
              <w:left w:w="67" w:type="dxa"/>
              <w:right w:w="67" w:type="dxa"/>
            </w:tcMar>
          </w:tcPr>
          <w:p w14:paraId="4E35C2C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7F7ECF8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4" w:type="dxa"/>
            <w:tcBorders>
              <w:top w:val="nil"/>
              <w:left w:val="nil"/>
              <w:bottom w:val="nil"/>
              <w:right w:val="nil"/>
            </w:tcBorders>
            <w:shd w:val="clear" w:color="auto" w:fill="FFFFFF"/>
            <w:tcMar>
              <w:left w:w="67" w:type="dxa"/>
              <w:right w:w="67" w:type="dxa"/>
            </w:tcMar>
          </w:tcPr>
          <w:p w14:paraId="3EECF39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3" w:type="dxa"/>
            <w:tcBorders>
              <w:top w:val="nil"/>
              <w:left w:val="nil"/>
              <w:bottom w:val="nil"/>
              <w:right w:val="nil"/>
            </w:tcBorders>
            <w:shd w:val="clear" w:color="auto" w:fill="FFFFFF"/>
            <w:tcMar>
              <w:left w:w="67" w:type="dxa"/>
              <w:right w:w="67" w:type="dxa"/>
            </w:tcMar>
          </w:tcPr>
          <w:p w14:paraId="234AD26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15" w:type="dxa"/>
            <w:tcBorders>
              <w:top w:val="nil"/>
              <w:left w:val="nil"/>
              <w:bottom w:val="nil"/>
              <w:right w:val="single" w:sz="11" w:space="0" w:color="000000"/>
            </w:tcBorders>
            <w:shd w:val="clear" w:color="auto" w:fill="FFFFFF"/>
            <w:tcMar>
              <w:left w:w="67" w:type="dxa"/>
              <w:right w:w="67" w:type="dxa"/>
            </w:tcMar>
          </w:tcPr>
          <w:p w14:paraId="0877C49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7DD59166"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8BB762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Female</w:t>
            </w:r>
          </w:p>
        </w:tc>
        <w:tc>
          <w:tcPr>
            <w:tcW w:w="1471" w:type="dxa"/>
            <w:tcBorders>
              <w:top w:val="nil"/>
              <w:left w:val="nil"/>
              <w:bottom w:val="nil"/>
              <w:right w:val="nil"/>
            </w:tcBorders>
            <w:shd w:val="clear" w:color="auto" w:fill="FFFFFF"/>
            <w:tcMar>
              <w:left w:w="67" w:type="dxa"/>
              <w:right w:w="67" w:type="dxa"/>
            </w:tcMar>
          </w:tcPr>
          <w:p w14:paraId="1AB0562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23764 (46.92%)</w:t>
            </w:r>
          </w:p>
        </w:tc>
        <w:tc>
          <w:tcPr>
            <w:tcW w:w="1529" w:type="dxa"/>
            <w:tcBorders>
              <w:top w:val="nil"/>
              <w:left w:val="nil"/>
              <w:bottom w:val="nil"/>
              <w:right w:val="nil"/>
            </w:tcBorders>
            <w:shd w:val="clear" w:color="auto" w:fill="FFFFFF"/>
            <w:tcMar>
              <w:left w:w="67" w:type="dxa"/>
              <w:right w:w="67" w:type="dxa"/>
            </w:tcMar>
          </w:tcPr>
          <w:p w14:paraId="79E6523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25460 (47.75%)</w:t>
            </w:r>
          </w:p>
        </w:tc>
        <w:tc>
          <w:tcPr>
            <w:tcW w:w="1471" w:type="dxa"/>
            <w:tcBorders>
              <w:top w:val="nil"/>
              <w:left w:val="nil"/>
              <w:bottom w:val="nil"/>
              <w:right w:val="nil"/>
            </w:tcBorders>
            <w:shd w:val="clear" w:color="auto" w:fill="FFFFFF"/>
            <w:tcMar>
              <w:left w:w="67" w:type="dxa"/>
              <w:right w:w="67" w:type="dxa"/>
            </w:tcMar>
          </w:tcPr>
          <w:p w14:paraId="13EDC4D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21658 (46.27%)</w:t>
            </w:r>
          </w:p>
        </w:tc>
        <w:tc>
          <w:tcPr>
            <w:tcW w:w="1694" w:type="dxa"/>
            <w:tcBorders>
              <w:top w:val="nil"/>
              <w:left w:val="nil"/>
              <w:bottom w:val="nil"/>
              <w:right w:val="nil"/>
            </w:tcBorders>
            <w:shd w:val="clear" w:color="auto" w:fill="FFFFFF"/>
            <w:tcMar>
              <w:left w:w="67" w:type="dxa"/>
              <w:right w:w="67" w:type="dxa"/>
            </w:tcMar>
          </w:tcPr>
          <w:p w14:paraId="23A5BF2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20787 (46.61%)</w:t>
            </w:r>
          </w:p>
        </w:tc>
        <w:tc>
          <w:tcPr>
            <w:tcW w:w="1563" w:type="dxa"/>
            <w:tcBorders>
              <w:top w:val="nil"/>
              <w:left w:val="nil"/>
              <w:bottom w:val="nil"/>
              <w:right w:val="nil"/>
            </w:tcBorders>
            <w:shd w:val="clear" w:color="auto" w:fill="FFFFFF"/>
            <w:tcMar>
              <w:left w:w="67" w:type="dxa"/>
              <w:right w:w="67" w:type="dxa"/>
            </w:tcMar>
          </w:tcPr>
          <w:p w14:paraId="28A4155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19297 (47.12%)</w:t>
            </w:r>
          </w:p>
        </w:tc>
        <w:tc>
          <w:tcPr>
            <w:tcW w:w="1515" w:type="dxa"/>
            <w:tcBorders>
              <w:top w:val="nil"/>
              <w:left w:val="nil"/>
              <w:bottom w:val="nil"/>
              <w:right w:val="single" w:sz="11" w:space="0" w:color="000000"/>
            </w:tcBorders>
            <w:shd w:val="clear" w:color="auto" w:fill="FFFFFF"/>
            <w:tcMar>
              <w:left w:w="67" w:type="dxa"/>
              <w:right w:w="67" w:type="dxa"/>
            </w:tcMar>
          </w:tcPr>
          <w:p w14:paraId="39D364F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110966 (46.95%)</w:t>
            </w:r>
          </w:p>
        </w:tc>
      </w:tr>
      <w:tr w:rsidR="00B77EA3" w:rsidRPr="0082484A" w14:paraId="0FE8F8D3"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537FA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Male</w:t>
            </w:r>
          </w:p>
        </w:tc>
        <w:tc>
          <w:tcPr>
            <w:tcW w:w="1471" w:type="dxa"/>
            <w:tcBorders>
              <w:top w:val="nil"/>
              <w:left w:val="nil"/>
              <w:bottom w:val="nil"/>
              <w:right w:val="nil"/>
            </w:tcBorders>
            <w:shd w:val="clear" w:color="auto" w:fill="FFFFFF"/>
            <w:tcMar>
              <w:left w:w="67" w:type="dxa"/>
              <w:right w:w="67" w:type="dxa"/>
            </w:tcMar>
          </w:tcPr>
          <w:p w14:paraId="4F8A4CB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26885 (53.08%)</w:t>
            </w:r>
          </w:p>
        </w:tc>
        <w:tc>
          <w:tcPr>
            <w:tcW w:w="1529" w:type="dxa"/>
            <w:tcBorders>
              <w:top w:val="nil"/>
              <w:left w:val="nil"/>
              <w:bottom w:val="nil"/>
              <w:right w:val="nil"/>
            </w:tcBorders>
            <w:shd w:val="clear" w:color="auto" w:fill="FFFFFF"/>
            <w:tcMar>
              <w:left w:w="67" w:type="dxa"/>
              <w:right w:w="67" w:type="dxa"/>
            </w:tcMar>
          </w:tcPr>
          <w:p w14:paraId="07AED6A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27863 (52.25%)</w:t>
            </w:r>
          </w:p>
        </w:tc>
        <w:tc>
          <w:tcPr>
            <w:tcW w:w="1471" w:type="dxa"/>
            <w:tcBorders>
              <w:top w:val="nil"/>
              <w:left w:val="nil"/>
              <w:bottom w:val="nil"/>
              <w:right w:val="nil"/>
            </w:tcBorders>
            <w:shd w:val="clear" w:color="auto" w:fill="FFFFFF"/>
            <w:tcMar>
              <w:left w:w="67" w:type="dxa"/>
              <w:right w:w="67" w:type="dxa"/>
            </w:tcMar>
          </w:tcPr>
          <w:p w14:paraId="596DEFB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25153 (53.73%)</w:t>
            </w:r>
          </w:p>
        </w:tc>
        <w:tc>
          <w:tcPr>
            <w:tcW w:w="1694" w:type="dxa"/>
            <w:tcBorders>
              <w:top w:val="nil"/>
              <w:left w:val="nil"/>
              <w:bottom w:val="nil"/>
              <w:right w:val="nil"/>
            </w:tcBorders>
            <w:shd w:val="clear" w:color="auto" w:fill="FFFFFF"/>
            <w:tcMar>
              <w:left w:w="67" w:type="dxa"/>
              <w:right w:w="67" w:type="dxa"/>
            </w:tcMar>
          </w:tcPr>
          <w:p w14:paraId="6992A6B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23810 (53.39%)</w:t>
            </w:r>
          </w:p>
        </w:tc>
        <w:tc>
          <w:tcPr>
            <w:tcW w:w="1563" w:type="dxa"/>
            <w:tcBorders>
              <w:top w:val="nil"/>
              <w:left w:val="nil"/>
              <w:bottom w:val="nil"/>
              <w:right w:val="nil"/>
            </w:tcBorders>
            <w:shd w:val="clear" w:color="auto" w:fill="FFFFFF"/>
            <w:tcMar>
              <w:left w:w="67" w:type="dxa"/>
              <w:right w:w="67" w:type="dxa"/>
            </w:tcMar>
          </w:tcPr>
          <w:p w14:paraId="3A125C6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21653 (52.88%)</w:t>
            </w:r>
          </w:p>
        </w:tc>
        <w:tc>
          <w:tcPr>
            <w:tcW w:w="1515" w:type="dxa"/>
            <w:tcBorders>
              <w:top w:val="nil"/>
              <w:left w:val="nil"/>
              <w:bottom w:val="nil"/>
              <w:right w:val="single" w:sz="11" w:space="0" w:color="000000"/>
            </w:tcBorders>
            <w:shd w:val="clear" w:color="auto" w:fill="FFFFFF"/>
            <w:tcMar>
              <w:left w:w="67" w:type="dxa"/>
              <w:right w:w="67" w:type="dxa"/>
            </w:tcMar>
          </w:tcPr>
          <w:p w14:paraId="6D707FF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125364 (53.05%)</w:t>
            </w:r>
          </w:p>
        </w:tc>
      </w:tr>
      <w:tr w:rsidR="00B77EA3" w:rsidRPr="0082484A" w14:paraId="1FF6CAB3"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79E7A0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15BBAA3F"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9" w:type="dxa"/>
            <w:tcBorders>
              <w:top w:val="nil"/>
              <w:left w:val="nil"/>
              <w:bottom w:val="nil"/>
              <w:right w:val="nil"/>
            </w:tcBorders>
            <w:shd w:val="clear" w:color="auto" w:fill="FFFFFF"/>
            <w:tcMar>
              <w:left w:w="67" w:type="dxa"/>
              <w:right w:w="67" w:type="dxa"/>
            </w:tcMar>
          </w:tcPr>
          <w:p w14:paraId="5B7EEEC1"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2F9A40F9"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4" w:type="dxa"/>
            <w:tcBorders>
              <w:top w:val="nil"/>
              <w:left w:val="nil"/>
              <w:bottom w:val="nil"/>
              <w:right w:val="nil"/>
            </w:tcBorders>
            <w:shd w:val="clear" w:color="auto" w:fill="FFFFFF"/>
            <w:tcMar>
              <w:left w:w="67" w:type="dxa"/>
              <w:right w:w="67" w:type="dxa"/>
            </w:tcMar>
          </w:tcPr>
          <w:p w14:paraId="4BBB68A6"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3" w:type="dxa"/>
            <w:tcBorders>
              <w:top w:val="nil"/>
              <w:left w:val="nil"/>
              <w:bottom w:val="nil"/>
              <w:right w:val="nil"/>
            </w:tcBorders>
            <w:shd w:val="clear" w:color="auto" w:fill="FFFFFF"/>
            <w:tcMar>
              <w:left w:w="67" w:type="dxa"/>
              <w:right w:w="67" w:type="dxa"/>
            </w:tcMar>
          </w:tcPr>
          <w:p w14:paraId="6FAA7A20"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15" w:type="dxa"/>
            <w:tcBorders>
              <w:top w:val="nil"/>
              <w:left w:val="nil"/>
              <w:bottom w:val="nil"/>
              <w:right w:val="single" w:sz="11" w:space="0" w:color="000000"/>
            </w:tcBorders>
            <w:shd w:val="clear" w:color="auto" w:fill="FFFFFF"/>
            <w:tcMar>
              <w:left w:w="67" w:type="dxa"/>
              <w:right w:w="67" w:type="dxa"/>
            </w:tcMar>
          </w:tcPr>
          <w:p w14:paraId="7A1C04F3"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r w:rsidR="00B77EA3" w:rsidRPr="0082484A" w14:paraId="3D0A2A14"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59CB0892" w14:textId="77777777" w:rsidR="00B77EA3" w:rsidRPr="0082484A" w:rsidRDefault="00B77EA3" w:rsidP="00B77EA3">
            <w:pPr>
              <w:autoSpaceDE w:val="0"/>
              <w:autoSpaceDN w:val="0"/>
              <w:adjustRightInd w:val="0"/>
              <w:spacing w:before="67" w:after="67"/>
              <w:contextualSpacing/>
              <w:rPr>
                <w:rFonts w:eastAsia="Times New Roman"/>
                <w:bCs/>
                <w:sz w:val="22"/>
                <w:szCs w:val="22"/>
                <w:lang w:eastAsia="en-GB"/>
              </w:rPr>
            </w:pPr>
            <w:r w:rsidRPr="0082484A">
              <w:rPr>
                <w:rFonts w:eastAsia="Times New Roman"/>
                <w:bCs/>
                <w:sz w:val="22"/>
                <w:szCs w:val="22"/>
                <w:lang w:eastAsia="en-GB"/>
              </w:rPr>
              <w:t>Comorbidity</w:t>
            </w:r>
          </w:p>
        </w:tc>
        <w:tc>
          <w:tcPr>
            <w:tcW w:w="1471" w:type="dxa"/>
            <w:tcBorders>
              <w:top w:val="nil"/>
              <w:left w:val="nil"/>
              <w:bottom w:val="nil"/>
              <w:right w:val="nil"/>
            </w:tcBorders>
            <w:shd w:val="clear" w:color="auto" w:fill="FFFFFF"/>
            <w:tcMar>
              <w:left w:w="67" w:type="dxa"/>
              <w:right w:w="67" w:type="dxa"/>
            </w:tcMar>
          </w:tcPr>
          <w:p w14:paraId="5D14B72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29" w:type="dxa"/>
            <w:tcBorders>
              <w:top w:val="nil"/>
              <w:left w:val="nil"/>
              <w:bottom w:val="nil"/>
              <w:right w:val="nil"/>
            </w:tcBorders>
            <w:shd w:val="clear" w:color="auto" w:fill="FFFFFF"/>
            <w:tcMar>
              <w:left w:w="67" w:type="dxa"/>
              <w:right w:w="67" w:type="dxa"/>
            </w:tcMar>
          </w:tcPr>
          <w:p w14:paraId="7EC4605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471" w:type="dxa"/>
            <w:tcBorders>
              <w:top w:val="nil"/>
              <w:left w:val="nil"/>
              <w:bottom w:val="nil"/>
              <w:right w:val="nil"/>
            </w:tcBorders>
            <w:shd w:val="clear" w:color="auto" w:fill="FFFFFF"/>
            <w:tcMar>
              <w:left w:w="67" w:type="dxa"/>
              <w:right w:w="67" w:type="dxa"/>
            </w:tcMar>
          </w:tcPr>
          <w:p w14:paraId="4EB1A4E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694" w:type="dxa"/>
            <w:tcBorders>
              <w:top w:val="nil"/>
              <w:left w:val="nil"/>
              <w:bottom w:val="nil"/>
              <w:right w:val="nil"/>
            </w:tcBorders>
            <w:shd w:val="clear" w:color="auto" w:fill="FFFFFF"/>
            <w:tcMar>
              <w:left w:w="67" w:type="dxa"/>
              <w:right w:w="67" w:type="dxa"/>
            </w:tcMar>
          </w:tcPr>
          <w:p w14:paraId="101018F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63" w:type="dxa"/>
            <w:tcBorders>
              <w:top w:val="nil"/>
              <w:left w:val="nil"/>
              <w:bottom w:val="nil"/>
              <w:right w:val="nil"/>
            </w:tcBorders>
            <w:shd w:val="clear" w:color="auto" w:fill="FFFFFF"/>
            <w:tcMar>
              <w:left w:w="67" w:type="dxa"/>
              <w:right w:w="67" w:type="dxa"/>
            </w:tcMar>
          </w:tcPr>
          <w:p w14:paraId="5499CC6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c>
          <w:tcPr>
            <w:tcW w:w="1515" w:type="dxa"/>
            <w:tcBorders>
              <w:top w:val="nil"/>
              <w:left w:val="nil"/>
              <w:bottom w:val="nil"/>
              <w:right w:val="single" w:sz="11" w:space="0" w:color="000000"/>
            </w:tcBorders>
            <w:shd w:val="clear" w:color="auto" w:fill="FFFFFF"/>
            <w:tcMar>
              <w:left w:w="67" w:type="dxa"/>
              <w:right w:w="67" w:type="dxa"/>
            </w:tcMar>
          </w:tcPr>
          <w:p w14:paraId="2B42CEF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p>
        </w:tc>
      </w:tr>
      <w:tr w:rsidR="00B77EA3" w:rsidRPr="0082484A" w14:paraId="5327B43A"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9FD070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w:t>
            </w:r>
          </w:p>
        </w:tc>
        <w:tc>
          <w:tcPr>
            <w:tcW w:w="1471" w:type="dxa"/>
            <w:tcBorders>
              <w:top w:val="nil"/>
              <w:left w:val="nil"/>
              <w:bottom w:val="nil"/>
              <w:right w:val="nil"/>
            </w:tcBorders>
            <w:shd w:val="clear" w:color="auto" w:fill="FFFFFF"/>
            <w:tcMar>
              <w:left w:w="67" w:type="dxa"/>
              <w:right w:w="67" w:type="dxa"/>
            </w:tcMar>
          </w:tcPr>
          <w:p w14:paraId="0B034F2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6898 (13.62%)</w:t>
            </w:r>
          </w:p>
        </w:tc>
        <w:tc>
          <w:tcPr>
            <w:tcW w:w="1529" w:type="dxa"/>
            <w:tcBorders>
              <w:top w:val="nil"/>
              <w:left w:val="nil"/>
              <w:bottom w:val="nil"/>
              <w:right w:val="nil"/>
            </w:tcBorders>
            <w:shd w:val="clear" w:color="auto" w:fill="FFFFFF"/>
            <w:tcMar>
              <w:left w:w="67" w:type="dxa"/>
              <w:right w:w="67" w:type="dxa"/>
            </w:tcMar>
          </w:tcPr>
          <w:p w14:paraId="18FFE96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7099 (13.31%)</w:t>
            </w:r>
          </w:p>
        </w:tc>
        <w:tc>
          <w:tcPr>
            <w:tcW w:w="1471" w:type="dxa"/>
            <w:tcBorders>
              <w:top w:val="nil"/>
              <w:left w:val="nil"/>
              <w:bottom w:val="nil"/>
              <w:right w:val="nil"/>
            </w:tcBorders>
            <w:shd w:val="clear" w:color="auto" w:fill="FFFFFF"/>
            <w:tcMar>
              <w:left w:w="67" w:type="dxa"/>
              <w:right w:w="67" w:type="dxa"/>
            </w:tcMar>
          </w:tcPr>
          <w:p w14:paraId="2CA8E4C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6562 (14.02%)</w:t>
            </w:r>
          </w:p>
        </w:tc>
        <w:tc>
          <w:tcPr>
            <w:tcW w:w="1694" w:type="dxa"/>
            <w:tcBorders>
              <w:top w:val="nil"/>
              <w:left w:val="nil"/>
              <w:bottom w:val="nil"/>
              <w:right w:val="nil"/>
            </w:tcBorders>
            <w:shd w:val="clear" w:color="auto" w:fill="FFFFFF"/>
            <w:tcMar>
              <w:left w:w="67" w:type="dxa"/>
              <w:right w:w="67" w:type="dxa"/>
            </w:tcMar>
          </w:tcPr>
          <w:p w14:paraId="665DD5D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6227 (13.96%)</w:t>
            </w:r>
          </w:p>
        </w:tc>
        <w:tc>
          <w:tcPr>
            <w:tcW w:w="1563" w:type="dxa"/>
            <w:tcBorders>
              <w:top w:val="nil"/>
              <w:left w:val="nil"/>
              <w:bottom w:val="nil"/>
              <w:right w:val="nil"/>
            </w:tcBorders>
            <w:shd w:val="clear" w:color="auto" w:fill="FFFFFF"/>
            <w:tcMar>
              <w:left w:w="67" w:type="dxa"/>
              <w:right w:w="67" w:type="dxa"/>
            </w:tcMar>
          </w:tcPr>
          <w:p w14:paraId="38E1D61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5688 (13.89%)</w:t>
            </w:r>
          </w:p>
        </w:tc>
        <w:tc>
          <w:tcPr>
            <w:tcW w:w="1515" w:type="dxa"/>
            <w:tcBorders>
              <w:top w:val="nil"/>
              <w:left w:val="nil"/>
              <w:bottom w:val="nil"/>
              <w:right w:val="single" w:sz="11" w:space="0" w:color="000000"/>
            </w:tcBorders>
            <w:shd w:val="clear" w:color="auto" w:fill="FFFFFF"/>
            <w:tcMar>
              <w:left w:w="67" w:type="dxa"/>
              <w:right w:w="67" w:type="dxa"/>
            </w:tcMar>
          </w:tcPr>
          <w:p w14:paraId="4ADE747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32474 (13.74%)</w:t>
            </w:r>
          </w:p>
        </w:tc>
      </w:tr>
      <w:tr w:rsidR="00B77EA3" w:rsidRPr="0082484A" w14:paraId="05442139"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53A069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w:t>
            </w:r>
          </w:p>
        </w:tc>
        <w:tc>
          <w:tcPr>
            <w:tcW w:w="1471" w:type="dxa"/>
            <w:tcBorders>
              <w:top w:val="nil"/>
              <w:left w:val="nil"/>
              <w:bottom w:val="nil"/>
              <w:right w:val="nil"/>
            </w:tcBorders>
            <w:shd w:val="clear" w:color="auto" w:fill="FFFFFF"/>
            <w:tcMar>
              <w:left w:w="67" w:type="dxa"/>
              <w:right w:w="67" w:type="dxa"/>
            </w:tcMar>
          </w:tcPr>
          <w:p w14:paraId="0E1B897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13987 (27.62%)</w:t>
            </w:r>
          </w:p>
        </w:tc>
        <w:tc>
          <w:tcPr>
            <w:tcW w:w="1529" w:type="dxa"/>
            <w:tcBorders>
              <w:top w:val="nil"/>
              <w:left w:val="nil"/>
              <w:bottom w:val="nil"/>
              <w:right w:val="nil"/>
            </w:tcBorders>
            <w:shd w:val="clear" w:color="auto" w:fill="FFFFFF"/>
            <w:tcMar>
              <w:left w:w="67" w:type="dxa"/>
              <w:right w:w="67" w:type="dxa"/>
            </w:tcMar>
          </w:tcPr>
          <w:p w14:paraId="5174DC4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13903 (26.07%)</w:t>
            </w:r>
          </w:p>
        </w:tc>
        <w:tc>
          <w:tcPr>
            <w:tcW w:w="1471" w:type="dxa"/>
            <w:tcBorders>
              <w:top w:val="nil"/>
              <w:left w:val="nil"/>
              <w:bottom w:val="nil"/>
              <w:right w:val="nil"/>
            </w:tcBorders>
            <w:shd w:val="clear" w:color="auto" w:fill="FFFFFF"/>
            <w:tcMar>
              <w:left w:w="67" w:type="dxa"/>
              <w:right w:w="67" w:type="dxa"/>
            </w:tcMar>
          </w:tcPr>
          <w:p w14:paraId="0B32EE3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13819 (29.52%)</w:t>
            </w:r>
          </w:p>
        </w:tc>
        <w:tc>
          <w:tcPr>
            <w:tcW w:w="1694" w:type="dxa"/>
            <w:tcBorders>
              <w:top w:val="nil"/>
              <w:left w:val="nil"/>
              <w:bottom w:val="nil"/>
              <w:right w:val="nil"/>
            </w:tcBorders>
            <w:shd w:val="clear" w:color="auto" w:fill="FFFFFF"/>
            <w:tcMar>
              <w:left w:w="67" w:type="dxa"/>
              <w:right w:w="67" w:type="dxa"/>
            </w:tcMar>
          </w:tcPr>
          <w:p w14:paraId="3BE9F28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12408 (27.82%)</w:t>
            </w:r>
          </w:p>
        </w:tc>
        <w:tc>
          <w:tcPr>
            <w:tcW w:w="1563" w:type="dxa"/>
            <w:tcBorders>
              <w:top w:val="nil"/>
              <w:left w:val="nil"/>
              <w:bottom w:val="nil"/>
              <w:right w:val="nil"/>
            </w:tcBorders>
            <w:shd w:val="clear" w:color="auto" w:fill="FFFFFF"/>
            <w:tcMar>
              <w:left w:w="67" w:type="dxa"/>
              <w:right w:w="67" w:type="dxa"/>
            </w:tcMar>
          </w:tcPr>
          <w:p w14:paraId="1909D52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11043 (26.97%)</w:t>
            </w:r>
          </w:p>
        </w:tc>
        <w:tc>
          <w:tcPr>
            <w:tcW w:w="1515" w:type="dxa"/>
            <w:tcBorders>
              <w:top w:val="nil"/>
              <w:left w:val="nil"/>
              <w:bottom w:val="nil"/>
              <w:right w:val="single" w:sz="11" w:space="0" w:color="000000"/>
            </w:tcBorders>
            <w:shd w:val="clear" w:color="auto" w:fill="FFFFFF"/>
            <w:tcMar>
              <w:left w:w="67" w:type="dxa"/>
              <w:right w:w="67" w:type="dxa"/>
            </w:tcMar>
          </w:tcPr>
          <w:p w14:paraId="2942DDC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65160 (27.57%)</w:t>
            </w:r>
          </w:p>
        </w:tc>
      </w:tr>
      <w:tr w:rsidR="00B77EA3" w:rsidRPr="0082484A" w14:paraId="266B1D01"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21BB451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w:t>
            </w:r>
          </w:p>
        </w:tc>
        <w:tc>
          <w:tcPr>
            <w:tcW w:w="1471" w:type="dxa"/>
            <w:tcBorders>
              <w:top w:val="nil"/>
              <w:left w:val="nil"/>
              <w:bottom w:val="nil"/>
              <w:right w:val="nil"/>
            </w:tcBorders>
            <w:shd w:val="clear" w:color="auto" w:fill="FFFFFF"/>
            <w:tcMar>
              <w:left w:w="67" w:type="dxa"/>
              <w:right w:w="67" w:type="dxa"/>
            </w:tcMar>
          </w:tcPr>
          <w:p w14:paraId="2855BAA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10958 (21.64%)</w:t>
            </w:r>
          </w:p>
        </w:tc>
        <w:tc>
          <w:tcPr>
            <w:tcW w:w="1529" w:type="dxa"/>
            <w:tcBorders>
              <w:top w:val="nil"/>
              <w:left w:val="nil"/>
              <w:bottom w:val="nil"/>
              <w:right w:val="nil"/>
            </w:tcBorders>
            <w:shd w:val="clear" w:color="auto" w:fill="FFFFFF"/>
            <w:tcMar>
              <w:left w:w="67" w:type="dxa"/>
              <w:right w:w="67" w:type="dxa"/>
            </w:tcMar>
          </w:tcPr>
          <w:p w14:paraId="7BE7515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11546 (21.65%)</w:t>
            </w:r>
          </w:p>
        </w:tc>
        <w:tc>
          <w:tcPr>
            <w:tcW w:w="1471" w:type="dxa"/>
            <w:tcBorders>
              <w:top w:val="nil"/>
              <w:left w:val="nil"/>
              <w:bottom w:val="nil"/>
              <w:right w:val="nil"/>
            </w:tcBorders>
            <w:shd w:val="clear" w:color="auto" w:fill="FFFFFF"/>
            <w:tcMar>
              <w:left w:w="67" w:type="dxa"/>
              <w:right w:w="67" w:type="dxa"/>
            </w:tcMar>
          </w:tcPr>
          <w:p w14:paraId="7428764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9883 (21.11%)</w:t>
            </w:r>
          </w:p>
        </w:tc>
        <w:tc>
          <w:tcPr>
            <w:tcW w:w="1694" w:type="dxa"/>
            <w:tcBorders>
              <w:top w:val="nil"/>
              <w:left w:val="nil"/>
              <w:bottom w:val="nil"/>
              <w:right w:val="nil"/>
            </w:tcBorders>
            <w:shd w:val="clear" w:color="auto" w:fill="FFFFFF"/>
            <w:tcMar>
              <w:left w:w="67" w:type="dxa"/>
              <w:right w:w="67" w:type="dxa"/>
            </w:tcMar>
          </w:tcPr>
          <w:p w14:paraId="4F4E95C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9878 (22.15%)</w:t>
            </w:r>
          </w:p>
        </w:tc>
        <w:tc>
          <w:tcPr>
            <w:tcW w:w="1563" w:type="dxa"/>
            <w:tcBorders>
              <w:top w:val="nil"/>
              <w:left w:val="nil"/>
              <w:bottom w:val="nil"/>
              <w:right w:val="nil"/>
            </w:tcBorders>
            <w:shd w:val="clear" w:color="auto" w:fill="FFFFFF"/>
            <w:tcMar>
              <w:left w:w="67" w:type="dxa"/>
              <w:right w:w="67" w:type="dxa"/>
            </w:tcMar>
          </w:tcPr>
          <w:p w14:paraId="14D4C33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8659 (21.15%)</w:t>
            </w:r>
          </w:p>
        </w:tc>
        <w:tc>
          <w:tcPr>
            <w:tcW w:w="1515" w:type="dxa"/>
            <w:tcBorders>
              <w:top w:val="nil"/>
              <w:left w:val="nil"/>
              <w:bottom w:val="nil"/>
              <w:right w:val="single" w:sz="11" w:space="0" w:color="000000"/>
            </w:tcBorders>
            <w:shd w:val="clear" w:color="auto" w:fill="FFFFFF"/>
            <w:tcMar>
              <w:left w:w="67" w:type="dxa"/>
              <w:right w:w="67" w:type="dxa"/>
            </w:tcMar>
          </w:tcPr>
          <w:p w14:paraId="4152F41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50924 (21.55%)</w:t>
            </w:r>
          </w:p>
        </w:tc>
      </w:tr>
      <w:tr w:rsidR="00B77EA3" w:rsidRPr="0082484A" w14:paraId="12BF11F5"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644727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w:t>
            </w:r>
          </w:p>
        </w:tc>
        <w:tc>
          <w:tcPr>
            <w:tcW w:w="1471" w:type="dxa"/>
            <w:tcBorders>
              <w:top w:val="nil"/>
              <w:left w:val="nil"/>
              <w:bottom w:val="nil"/>
              <w:right w:val="nil"/>
            </w:tcBorders>
            <w:shd w:val="clear" w:color="auto" w:fill="FFFFFF"/>
            <w:tcMar>
              <w:left w:w="67" w:type="dxa"/>
              <w:right w:w="67" w:type="dxa"/>
            </w:tcMar>
          </w:tcPr>
          <w:p w14:paraId="3AE968C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7947 (15.69%)</w:t>
            </w:r>
          </w:p>
        </w:tc>
        <w:tc>
          <w:tcPr>
            <w:tcW w:w="1529" w:type="dxa"/>
            <w:tcBorders>
              <w:top w:val="nil"/>
              <w:left w:val="nil"/>
              <w:bottom w:val="nil"/>
              <w:right w:val="nil"/>
            </w:tcBorders>
            <w:shd w:val="clear" w:color="auto" w:fill="FFFFFF"/>
            <w:tcMar>
              <w:left w:w="67" w:type="dxa"/>
              <w:right w:w="67" w:type="dxa"/>
            </w:tcMar>
          </w:tcPr>
          <w:p w14:paraId="276455E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8625 (16.18%)</w:t>
            </w:r>
          </w:p>
        </w:tc>
        <w:tc>
          <w:tcPr>
            <w:tcW w:w="1471" w:type="dxa"/>
            <w:tcBorders>
              <w:top w:val="nil"/>
              <w:left w:val="nil"/>
              <w:bottom w:val="nil"/>
              <w:right w:val="nil"/>
            </w:tcBorders>
            <w:shd w:val="clear" w:color="auto" w:fill="FFFFFF"/>
            <w:tcMar>
              <w:left w:w="67" w:type="dxa"/>
              <w:right w:w="67" w:type="dxa"/>
            </w:tcMar>
          </w:tcPr>
          <w:p w14:paraId="4F407C0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7112 (15.19%)</w:t>
            </w:r>
          </w:p>
        </w:tc>
        <w:tc>
          <w:tcPr>
            <w:tcW w:w="1694" w:type="dxa"/>
            <w:tcBorders>
              <w:top w:val="nil"/>
              <w:left w:val="nil"/>
              <w:bottom w:val="nil"/>
              <w:right w:val="nil"/>
            </w:tcBorders>
            <w:shd w:val="clear" w:color="auto" w:fill="FFFFFF"/>
            <w:tcMar>
              <w:left w:w="67" w:type="dxa"/>
              <w:right w:w="67" w:type="dxa"/>
            </w:tcMar>
          </w:tcPr>
          <w:p w14:paraId="77E3BF3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6800 (15.25%)</w:t>
            </w:r>
          </w:p>
        </w:tc>
        <w:tc>
          <w:tcPr>
            <w:tcW w:w="1563" w:type="dxa"/>
            <w:tcBorders>
              <w:top w:val="nil"/>
              <w:left w:val="nil"/>
              <w:bottom w:val="nil"/>
              <w:right w:val="nil"/>
            </w:tcBorders>
            <w:shd w:val="clear" w:color="auto" w:fill="FFFFFF"/>
            <w:tcMar>
              <w:left w:w="67" w:type="dxa"/>
              <w:right w:w="67" w:type="dxa"/>
            </w:tcMar>
          </w:tcPr>
          <w:p w14:paraId="772C49B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6591 (16.10%)</w:t>
            </w:r>
          </w:p>
        </w:tc>
        <w:tc>
          <w:tcPr>
            <w:tcW w:w="1515" w:type="dxa"/>
            <w:tcBorders>
              <w:top w:val="nil"/>
              <w:left w:val="nil"/>
              <w:bottom w:val="nil"/>
              <w:right w:val="single" w:sz="11" w:space="0" w:color="000000"/>
            </w:tcBorders>
            <w:shd w:val="clear" w:color="auto" w:fill="FFFFFF"/>
            <w:tcMar>
              <w:left w:w="67" w:type="dxa"/>
              <w:right w:w="67" w:type="dxa"/>
            </w:tcMar>
          </w:tcPr>
          <w:p w14:paraId="791416E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37075 (15.69%)</w:t>
            </w:r>
          </w:p>
        </w:tc>
      </w:tr>
      <w:tr w:rsidR="00B77EA3" w:rsidRPr="0082484A" w14:paraId="39FB4564"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720917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w:t>
            </w:r>
          </w:p>
        </w:tc>
        <w:tc>
          <w:tcPr>
            <w:tcW w:w="1471" w:type="dxa"/>
            <w:tcBorders>
              <w:top w:val="nil"/>
              <w:left w:val="nil"/>
              <w:bottom w:val="nil"/>
              <w:right w:val="nil"/>
            </w:tcBorders>
            <w:shd w:val="clear" w:color="auto" w:fill="FFFFFF"/>
            <w:tcMar>
              <w:left w:w="67" w:type="dxa"/>
              <w:right w:w="67" w:type="dxa"/>
            </w:tcMar>
          </w:tcPr>
          <w:p w14:paraId="477A25B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5771 (11.39%)</w:t>
            </w:r>
          </w:p>
        </w:tc>
        <w:tc>
          <w:tcPr>
            <w:tcW w:w="1529" w:type="dxa"/>
            <w:tcBorders>
              <w:top w:val="nil"/>
              <w:left w:val="nil"/>
              <w:bottom w:val="nil"/>
              <w:right w:val="nil"/>
            </w:tcBorders>
            <w:shd w:val="clear" w:color="auto" w:fill="FFFFFF"/>
            <w:tcMar>
              <w:left w:w="67" w:type="dxa"/>
              <w:right w:w="67" w:type="dxa"/>
            </w:tcMar>
          </w:tcPr>
          <w:p w14:paraId="3405343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6438 (12.07%)</w:t>
            </w:r>
          </w:p>
        </w:tc>
        <w:tc>
          <w:tcPr>
            <w:tcW w:w="1471" w:type="dxa"/>
            <w:tcBorders>
              <w:top w:val="nil"/>
              <w:left w:val="nil"/>
              <w:bottom w:val="nil"/>
              <w:right w:val="nil"/>
            </w:tcBorders>
            <w:shd w:val="clear" w:color="auto" w:fill="FFFFFF"/>
            <w:tcMar>
              <w:left w:w="67" w:type="dxa"/>
              <w:right w:w="67" w:type="dxa"/>
            </w:tcMar>
          </w:tcPr>
          <w:p w14:paraId="46B038C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4979 (10.64%)</w:t>
            </w:r>
          </w:p>
        </w:tc>
        <w:tc>
          <w:tcPr>
            <w:tcW w:w="1694" w:type="dxa"/>
            <w:tcBorders>
              <w:top w:val="nil"/>
              <w:left w:val="nil"/>
              <w:bottom w:val="nil"/>
              <w:right w:val="nil"/>
            </w:tcBorders>
            <w:shd w:val="clear" w:color="auto" w:fill="FFFFFF"/>
            <w:tcMar>
              <w:left w:w="67" w:type="dxa"/>
              <w:right w:w="67" w:type="dxa"/>
            </w:tcMar>
          </w:tcPr>
          <w:p w14:paraId="717F299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4936 (11.07%)</w:t>
            </w:r>
          </w:p>
        </w:tc>
        <w:tc>
          <w:tcPr>
            <w:tcW w:w="1563" w:type="dxa"/>
            <w:tcBorders>
              <w:top w:val="nil"/>
              <w:left w:val="nil"/>
              <w:bottom w:val="nil"/>
              <w:right w:val="nil"/>
            </w:tcBorders>
            <w:shd w:val="clear" w:color="auto" w:fill="FFFFFF"/>
            <w:tcMar>
              <w:left w:w="67" w:type="dxa"/>
              <w:right w:w="67" w:type="dxa"/>
            </w:tcMar>
          </w:tcPr>
          <w:p w14:paraId="366B9D5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4698 (11.47%)</w:t>
            </w:r>
          </w:p>
        </w:tc>
        <w:tc>
          <w:tcPr>
            <w:tcW w:w="1515" w:type="dxa"/>
            <w:tcBorders>
              <w:top w:val="nil"/>
              <w:left w:val="nil"/>
              <w:bottom w:val="nil"/>
              <w:right w:val="single" w:sz="11" w:space="0" w:color="000000"/>
            </w:tcBorders>
            <w:shd w:val="clear" w:color="auto" w:fill="FFFFFF"/>
            <w:tcMar>
              <w:left w:w="67" w:type="dxa"/>
              <w:right w:w="67" w:type="dxa"/>
            </w:tcMar>
          </w:tcPr>
          <w:p w14:paraId="5980B70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26822 (11.35%)</w:t>
            </w:r>
          </w:p>
        </w:tc>
      </w:tr>
      <w:tr w:rsidR="00B77EA3" w:rsidRPr="0082484A" w14:paraId="77FE3DEC"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7A1D4B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w:t>
            </w:r>
          </w:p>
        </w:tc>
        <w:tc>
          <w:tcPr>
            <w:tcW w:w="1471" w:type="dxa"/>
            <w:tcBorders>
              <w:top w:val="nil"/>
              <w:left w:val="nil"/>
              <w:bottom w:val="nil"/>
              <w:right w:val="nil"/>
            </w:tcBorders>
            <w:shd w:val="clear" w:color="auto" w:fill="FFFFFF"/>
            <w:tcMar>
              <w:left w:w="67" w:type="dxa"/>
              <w:right w:w="67" w:type="dxa"/>
            </w:tcMar>
          </w:tcPr>
          <w:p w14:paraId="166B0E1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3007 (5.94%)</w:t>
            </w:r>
          </w:p>
        </w:tc>
        <w:tc>
          <w:tcPr>
            <w:tcW w:w="1529" w:type="dxa"/>
            <w:tcBorders>
              <w:top w:val="nil"/>
              <w:left w:val="nil"/>
              <w:bottom w:val="nil"/>
              <w:right w:val="nil"/>
            </w:tcBorders>
            <w:shd w:val="clear" w:color="auto" w:fill="FFFFFF"/>
            <w:tcMar>
              <w:left w:w="67" w:type="dxa"/>
              <w:right w:w="67" w:type="dxa"/>
            </w:tcMar>
          </w:tcPr>
          <w:p w14:paraId="24090B8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3333 (6.25%)</w:t>
            </w:r>
          </w:p>
        </w:tc>
        <w:tc>
          <w:tcPr>
            <w:tcW w:w="1471" w:type="dxa"/>
            <w:tcBorders>
              <w:top w:val="nil"/>
              <w:left w:val="nil"/>
              <w:bottom w:val="nil"/>
              <w:right w:val="nil"/>
            </w:tcBorders>
            <w:shd w:val="clear" w:color="auto" w:fill="FFFFFF"/>
            <w:tcMar>
              <w:left w:w="67" w:type="dxa"/>
              <w:right w:w="67" w:type="dxa"/>
            </w:tcMar>
          </w:tcPr>
          <w:p w14:paraId="0A0C459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2652 (5.67%)</w:t>
            </w:r>
          </w:p>
        </w:tc>
        <w:tc>
          <w:tcPr>
            <w:tcW w:w="1694" w:type="dxa"/>
            <w:tcBorders>
              <w:top w:val="nil"/>
              <w:left w:val="nil"/>
              <w:bottom w:val="nil"/>
              <w:right w:val="nil"/>
            </w:tcBorders>
            <w:shd w:val="clear" w:color="auto" w:fill="FFFFFF"/>
            <w:tcMar>
              <w:left w:w="67" w:type="dxa"/>
              <w:right w:w="67" w:type="dxa"/>
            </w:tcMar>
          </w:tcPr>
          <w:p w14:paraId="13D56109"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2602 (5.83%)</w:t>
            </w:r>
          </w:p>
        </w:tc>
        <w:tc>
          <w:tcPr>
            <w:tcW w:w="1563" w:type="dxa"/>
            <w:tcBorders>
              <w:top w:val="nil"/>
              <w:left w:val="nil"/>
              <w:bottom w:val="nil"/>
              <w:right w:val="nil"/>
            </w:tcBorders>
            <w:shd w:val="clear" w:color="auto" w:fill="FFFFFF"/>
            <w:tcMar>
              <w:left w:w="67" w:type="dxa"/>
              <w:right w:w="67" w:type="dxa"/>
            </w:tcMar>
          </w:tcPr>
          <w:p w14:paraId="7BF840D3"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2558 (6.25%)</w:t>
            </w:r>
          </w:p>
        </w:tc>
        <w:tc>
          <w:tcPr>
            <w:tcW w:w="1515" w:type="dxa"/>
            <w:tcBorders>
              <w:top w:val="nil"/>
              <w:left w:val="nil"/>
              <w:bottom w:val="nil"/>
              <w:right w:val="single" w:sz="11" w:space="0" w:color="000000"/>
            </w:tcBorders>
            <w:shd w:val="clear" w:color="auto" w:fill="FFFFFF"/>
            <w:tcMar>
              <w:left w:w="67" w:type="dxa"/>
              <w:right w:w="67" w:type="dxa"/>
            </w:tcMar>
          </w:tcPr>
          <w:p w14:paraId="7DDBE57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14152 (5.99%)</w:t>
            </w:r>
          </w:p>
        </w:tc>
      </w:tr>
      <w:tr w:rsidR="00B77EA3" w:rsidRPr="0082484A" w14:paraId="23EB0D3B"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6F9A7C2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w:t>
            </w:r>
          </w:p>
        </w:tc>
        <w:tc>
          <w:tcPr>
            <w:tcW w:w="1471" w:type="dxa"/>
            <w:tcBorders>
              <w:top w:val="nil"/>
              <w:left w:val="nil"/>
              <w:bottom w:val="nil"/>
              <w:right w:val="nil"/>
            </w:tcBorders>
            <w:shd w:val="clear" w:color="auto" w:fill="FFFFFF"/>
            <w:tcMar>
              <w:left w:w="67" w:type="dxa"/>
              <w:right w:w="67" w:type="dxa"/>
            </w:tcMar>
          </w:tcPr>
          <w:p w14:paraId="1499898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1329 (2.62%)</w:t>
            </w:r>
          </w:p>
        </w:tc>
        <w:tc>
          <w:tcPr>
            <w:tcW w:w="1529" w:type="dxa"/>
            <w:tcBorders>
              <w:top w:val="nil"/>
              <w:left w:val="nil"/>
              <w:bottom w:val="nil"/>
              <w:right w:val="nil"/>
            </w:tcBorders>
            <w:shd w:val="clear" w:color="auto" w:fill="FFFFFF"/>
            <w:tcMar>
              <w:left w:w="67" w:type="dxa"/>
              <w:right w:w="67" w:type="dxa"/>
            </w:tcMar>
          </w:tcPr>
          <w:p w14:paraId="613EFF0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1524 (2.86%)</w:t>
            </w:r>
          </w:p>
        </w:tc>
        <w:tc>
          <w:tcPr>
            <w:tcW w:w="1471" w:type="dxa"/>
            <w:tcBorders>
              <w:top w:val="nil"/>
              <w:left w:val="nil"/>
              <w:bottom w:val="nil"/>
              <w:right w:val="nil"/>
            </w:tcBorders>
            <w:shd w:val="clear" w:color="auto" w:fill="FFFFFF"/>
            <w:tcMar>
              <w:left w:w="67" w:type="dxa"/>
              <w:right w:w="67" w:type="dxa"/>
            </w:tcMar>
          </w:tcPr>
          <w:p w14:paraId="48C98AD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1158 (2.47%)</w:t>
            </w:r>
          </w:p>
        </w:tc>
        <w:tc>
          <w:tcPr>
            <w:tcW w:w="1694" w:type="dxa"/>
            <w:tcBorders>
              <w:top w:val="nil"/>
              <w:left w:val="nil"/>
              <w:bottom w:val="nil"/>
              <w:right w:val="nil"/>
            </w:tcBorders>
            <w:shd w:val="clear" w:color="auto" w:fill="FFFFFF"/>
            <w:tcMar>
              <w:left w:w="67" w:type="dxa"/>
              <w:right w:w="67" w:type="dxa"/>
            </w:tcMar>
          </w:tcPr>
          <w:p w14:paraId="76E09D9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1136 (2.55%)</w:t>
            </w:r>
          </w:p>
        </w:tc>
        <w:tc>
          <w:tcPr>
            <w:tcW w:w="1563" w:type="dxa"/>
            <w:tcBorders>
              <w:top w:val="nil"/>
              <w:left w:val="nil"/>
              <w:bottom w:val="nil"/>
              <w:right w:val="nil"/>
            </w:tcBorders>
            <w:shd w:val="clear" w:color="auto" w:fill="FFFFFF"/>
            <w:tcMar>
              <w:left w:w="67" w:type="dxa"/>
              <w:right w:w="67" w:type="dxa"/>
            </w:tcMar>
          </w:tcPr>
          <w:p w14:paraId="220AA63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1110 (2.71%)</w:t>
            </w:r>
          </w:p>
        </w:tc>
        <w:tc>
          <w:tcPr>
            <w:tcW w:w="1515" w:type="dxa"/>
            <w:tcBorders>
              <w:top w:val="nil"/>
              <w:left w:val="nil"/>
              <w:bottom w:val="nil"/>
              <w:right w:val="single" w:sz="11" w:space="0" w:color="000000"/>
            </w:tcBorders>
            <w:shd w:val="clear" w:color="auto" w:fill="FFFFFF"/>
            <w:tcMar>
              <w:left w:w="67" w:type="dxa"/>
              <w:right w:w="67" w:type="dxa"/>
            </w:tcMar>
          </w:tcPr>
          <w:p w14:paraId="0D9839B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6257 (2.65%)</w:t>
            </w:r>
          </w:p>
        </w:tc>
      </w:tr>
      <w:tr w:rsidR="00B77EA3" w:rsidRPr="0082484A" w14:paraId="4362F691"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B674B8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w:t>
            </w:r>
          </w:p>
        </w:tc>
        <w:tc>
          <w:tcPr>
            <w:tcW w:w="1471" w:type="dxa"/>
            <w:tcBorders>
              <w:top w:val="nil"/>
              <w:left w:val="nil"/>
              <w:bottom w:val="nil"/>
              <w:right w:val="nil"/>
            </w:tcBorders>
            <w:shd w:val="clear" w:color="auto" w:fill="FFFFFF"/>
            <w:tcMar>
              <w:left w:w="67" w:type="dxa"/>
              <w:right w:w="67" w:type="dxa"/>
            </w:tcMar>
          </w:tcPr>
          <w:p w14:paraId="14CA462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532 (1.05%)</w:t>
            </w:r>
          </w:p>
        </w:tc>
        <w:tc>
          <w:tcPr>
            <w:tcW w:w="1529" w:type="dxa"/>
            <w:tcBorders>
              <w:top w:val="nil"/>
              <w:left w:val="nil"/>
              <w:bottom w:val="nil"/>
              <w:right w:val="nil"/>
            </w:tcBorders>
            <w:shd w:val="clear" w:color="auto" w:fill="FFFFFF"/>
            <w:tcMar>
              <w:left w:w="67" w:type="dxa"/>
              <w:right w:w="67" w:type="dxa"/>
            </w:tcMar>
          </w:tcPr>
          <w:p w14:paraId="2EF114A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590 (1.11%)</w:t>
            </w:r>
          </w:p>
        </w:tc>
        <w:tc>
          <w:tcPr>
            <w:tcW w:w="1471" w:type="dxa"/>
            <w:tcBorders>
              <w:top w:val="nil"/>
              <w:left w:val="nil"/>
              <w:bottom w:val="nil"/>
              <w:right w:val="nil"/>
            </w:tcBorders>
            <w:shd w:val="clear" w:color="auto" w:fill="FFFFFF"/>
            <w:tcMar>
              <w:left w:w="67" w:type="dxa"/>
              <w:right w:w="67" w:type="dxa"/>
            </w:tcMar>
          </w:tcPr>
          <w:p w14:paraId="71B28BD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460 (0.98%)</w:t>
            </w:r>
          </w:p>
        </w:tc>
        <w:tc>
          <w:tcPr>
            <w:tcW w:w="1694" w:type="dxa"/>
            <w:tcBorders>
              <w:top w:val="nil"/>
              <w:left w:val="nil"/>
              <w:bottom w:val="nil"/>
              <w:right w:val="nil"/>
            </w:tcBorders>
            <w:shd w:val="clear" w:color="auto" w:fill="FFFFFF"/>
            <w:tcMar>
              <w:left w:w="67" w:type="dxa"/>
              <w:right w:w="67" w:type="dxa"/>
            </w:tcMar>
          </w:tcPr>
          <w:p w14:paraId="69AB4E8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434 (0.97%)</w:t>
            </w:r>
          </w:p>
        </w:tc>
        <w:tc>
          <w:tcPr>
            <w:tcW w:w="1563" w:type="dxa"/>
            <w:tcBorders>
              <w:top w:val="nil"/>
              <w:left w:val="nil"/>
              <w:bottom w:val="nil"/>
              <w:right w:val="nil"/>
            </w:tcBorders>
            <w:shd w:val="clear" w:color="auto" w:fill="FFFFFF"/>
            <w:tcMar>
              <w:left w:w="67" w:type="dxa"/>
              <w:right w:w="67" w:type="dxa"/>
            </w:tcMar>
          </w:tcPr>
          <w:p w14:paraId="6BF1983E"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410 (1.00%)</w:t>
            </w:r>
          </w:p>
        </w:tc>
        <w:tc>
          <w:tcPr>
            <w:tcW w:w="1515" w:type="dxa"/>
            <w:tcBorders>
              <w:top w:val="nil"/>
              <w:left w:val="nil"/>
              <w:bottom w:val="nil"/>
              <w:right w:val="single" w:sz="11" w:space="0" w:color="000000"/>
            </w:tcBorders>
            <w:shd w:val="clear" w:color="auto" w:fill="FFFFFF"/>
            <w:tcMar>
              <w:left w:w="67" w:type="dxa"/>
              <w:right w:w="67" w:type="dxa"/>
            </w:tcMar>
          </w:tcPr>
          <w:p w14:paraId="2E6A69A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2426 (1.03%)</w:t>
            </w:r>
          </w:p>
        </w:tc>
      </w:tr>
      <w:tr w:rsidR="00B77EA3" w:rsidRPr="0082484A" w14:paraId="3C9C063C"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699F18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w:t>
            </w:r>
          </w:p>
        </w:tc>
        <w:tc>
          <w:tcPr>
            <w:tcW w:w="1471" w:type="dxa"/>
            <w:tcBorders>
              <w:top w:val="nil"/>
              <w:left w:val="nil"/>
              <w:bottom w:val="nil"/>
              <w:right w:val="nil"/>
            </w:tcBorders>
            <w:shd w:val="clear" w:color="auto" w:fill="FFFFFF"/>
            <w:tcMar>
              <w:left w:w="67" w:type="dxa"/>
              <w:right w:w="67" w:type="dxa"/>
            </w:tcMar>
          </w:tcPr>
          <w:p w14:paraId="1AD425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161 (0.32%)</w:t>
            </w:r>
          </w:p>
        </w:tc>
        <w:tc>
          <w:tcPr>
            <w:tcW w:w="1529" w:type="dxa"/>
            <w:tcBorders>
              <w:top w:val="nil"/>
              <w:left w:val="nil"/>
              <w:bottom w:val="nil"/>
              <w:right w:val="nil"/>
            </w:tcBorders>
            <w:shd w:val="clear" w:color="auto" w:fill="FFFFFF"/>
            <w:tcMar>
              <w:left w:w="67" w:type="dxa"/>
              <w:right w:w="67" w:type="dxa"/>
            </w:tcMar>
          </w:tcPr>
          <w:p w14:paraId="57A809E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198 (0.37%)</w:t>
            </w:r>
          </w:p>
        </w:tc>
        <w:tc>
          <w:tcPr>
            <w:tcW w:w="1471" w:type="dxa"/>
            <w:tcBorders>
              <w:top w:val="nil"/>
              <w:left w:val="nil"/>
              <w:bottom w:val="nil"/>
              <w:right w:val="nil"/>
            </w:tcBorders>
            <w:shd w:val="clear" w:color="auto" w:fill="FFFFFF"/>
            <w:tcMar>
              <w:left w:w="67" w:type="dxa"/>
              <w:right w:w="67" w:type="dxa"/>
            </w:tcMar>
          </w:tcPr>
          <w:p w14:paraId="6492058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136 (0.29%)</w:t>
            </w:r>
          </w:p>
        </w:tc>
        <w:tc>
          <w:tcPr>
            <w:tcW w:w="1694" w:type="dxa"/>
            <w:tcBorders>
              <w:top w:val="nil"/>
              <w:left w:val="nil"/>
              <w:bottom w:val="nil"/>
              <w:right w:val="nil"/>
            </w:tcBorders>
            <w:shd w:val="clear" w:color="auto" w:fill="FFFFFF"/>
            <w:tcMar>
              <w:left w:w="67" w:type="dxa"/>
              <w:right w:w="67" w:type="dxa"/>
            </w:tcMar>
          </w:tcPr>
          <w:p w14:paraId="50EB78A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128 (0.29%)</w:t>
            </w:r>
          </w:p>
        </w:tc>
        <w:tc>
          <w:tcPr>
            <w:tcW w:w="1563" w:type="dxa"/>
            <w:tcBorders>
              <w:top w:val="nil"/>
              <w:left w:val="nil"/>
              <w:bottom w:val="nil"/>
              <w:right w:val="nil"/>
            </w:tcBorders>
            <w:shd w:val="clear" w:color="auto" w:fill="FFFFFF"/>
            <w:tcMar>
              <w:left w:w="67" w:type="dxa"/>
              <w:right w:w="67" w:type="dxa"/>
            </w:tcMar>
          </w:tcPr>
          <w:p w14:paraId="7481036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149 (0.36%)</w:t>
            </w:r>
          </w:p>
        </w:tc>
        <w:tc>
          <w:tcPr>
            <w:tcW w:w="1515" w:type="dxa"/>
            <w:tcBorders>
              <w:top w:val="nil"/>
              <w:left w:val="nil"/>
              <w:bottom w:val="nil"/>
              <w:right w:val="single" w:sz="11" w:space="0" w:color="000000"/>
            </w:tcBorders>
            <w:shd w:val="clear" w:color="auto" w:fill="FFFFFF"/>
            <w:tcMar>
              <w:left w:w="67" w:type="dxa"/>
              <w:right w:w="67" w:type="dxa"/>
            </w:tcMar>
          </w:tcPr>
          <w:p w14:paraId="146D352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772 (0.33%)</w:t>
            </w:r>
          </w:p>
        </w:tc>
      </w:tr>
      <w:tr w:rsidR="00B77EA3" w:rsidRPr="0082484A" w14:paraId="7C392FD6"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8A7FE1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9</w:t>
            </w:r>
          </w:p>
        </w:tc>
        <w:tc>
          <w:tcPr>
            <w:tcW w:w="1471" w:type="dxa"/>
            <w:tcBorders>
              <w:top w:val="nil"/>
              <w:left w:val="nil"/>
              <w:bottom w:val="nil"/>
              <w:right w:val="nil"/>
            </w:tcBorders>
            <w:shd w:val="clear" w:color="auto" w:fill="FFFFFF"/>
            <w:tcMar>
              <w:left w:w="67" w:type="dxa"/>
              <w:right w:w="67" w:type="dxa"/>
            </w:tcMar>
          </w:tcPr>
          <w:p w14:paraId="6FCABCF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42 (0.08%)</w:t>
            </w:r>
          </w:p>
        </w:tc>
        <w:tc>
          <w:tcPr>
            <w:tcW w:w="1529" w:type="dxa"/>
            <w:tcBorders>
              <w:top w:val="nil"/>
              <w:left w:val="nil"/>
              <w:bottom w:val="nil"/>
              <w:right w:val="nil"/>
            </w:tcBorders>
            <w:shd w:val="clear" w:color="auto" w:fill="FFFFFF"/>
            <w:tcMar>
              <w:left w:w="67" w:type="dxa"/>
              <w:right w:w="67" w:type="dxa"/>
            </w:tcMar>
          </w:tcPr>
          <w:p w14:paraId="4FBF89E6"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55 (0.10%)</w:t>
            </w:r>
          </w:p>
        </w:tc>
        <w:tc>
          <w:tcPr>
            <w:tcW w:w="1471" w:type="dxa"/>
            <w:tcBorders>
              <w:top w:val="nil"/>
              <w:left w:val="nil"/>
              <w:bottom w:val="nil"/>
              <w:right w:val="nil"/>
            </w:tcBorders>
            <w:shd w:val="clear" w:color="auto" w:fill="FFFFFF"/>
            <w:tcMar>
              <w:left w:w="67" w:type="dxa"/>
              <w:right w:w="67" w:type="dxa"/>
            </w:tcMar>
          </w:tcPr>
          <w:p w14:paraId="021A0B4F"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43 (0.09%)</w:t>
            </w:r>
          </w:p>
        </w:tc>
        <w:tc>
          <w:tcPr>
            <w:tcW w:w="1694" w:type="dxa"/>
            <w:tcBorders>
              <w:top w:val="nil"/>
              <w:left w:val="nil"/>
              <w:bottom w:val="nil"/>
              <w:right w:val="nil"/>
            </w:tcBorders>
            <w:shd w:val="clear" w:color="auto" w:fill="FFFFFF"/>
            <w:tcMar>
              <w:left w:w="67" w:type="dxa"/>
              <w:right w:w="67" w:type="dxa"/>
            </w:tcMar>
          </w:tcPr>
          <w:p w14:paraId="3C30858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39 (0.09%)</w:t>
            </w:r>
          </w:p>
        </w:tc>
        <w:tc>
          <w:tcPr>
            <w:tcW w:w="1563" w:type="dxa"/>
            <w:tcBorders>
              <w:top w:val="nil"/>
              <w:left w:val="nil"/>
              <w:bottom w:val="nil"/>
              <w:right w:val="nil"/>
            </w:tcBorders>
            <w:shd w:val="clear" w:color="auto" w:fill="FFFFFF"/>
            <w:tcMar>
              <w:left w:w="67" w:type="dxa"/>
              <w:right w:w="67" w:type="dxa"/>
            </w:tcMar>
          </w:tcPr>
          <w:p w14:paraId="2C7E7B5C"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37 (0.09%)</w:t>
            </w:r>
          </w:p>
        </w:tc>
        <w:tc>
          <w:tcPr>
            <w:tcW w:w="1515" w:type="dxa"/>
            <w:tcBorders>
              <w:top w:val="nil"/>
              <w:left w:val="nil"/>
              <w:bottom w:val="nil"/>
              <w:right w:val="single" w:sz="11" w:space="0" w:color="000000"/>
            </w:tcBorders>
            <w:shd w:val="clear" w:color="auto" w:fill="FFFFFF"/>
            <w:tcMar>
              <w:left w:w="67" w:type="dxa"/>
              <w:right w:w="67" w:type="dxa"/>
            </w:tcMar>
          </w:tcPr>
          <w:p w14:paraId="0B4F4C9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216 (0.09%)</w:t>
            </w:r>
          </w:p>
        </w:tc>
      </w:tr>
      <w:tr w:rsidR="00B77EA3" w:rsidRPr="0082484A" w14:paraId="7D75BE6B"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8ED2AC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10</w:t>
            </w:r>
          </w:p>
        </w:tc>
        <w:tc>
          <w:tcPr>
            <w:tcW w:w="1471" w:type="dxa"/>
            <w:tcBorders>
              <w:top w:val="nil"/>
              <w:left w:val="nil"/>
              <w:bottom w:val="nil"/>
              <w:right w:val="nil"/>
            </w:tcBorders>
            <w:shd w:val="clear" w:color="auto" w:fill="FFFFFF"/>
            <w:tcMar>
              <w:left w:w="67" w:type="dxa"/>
              <w:right w:w="67" w:type="dxa"/>
            </w:tcMar>
          </w:tcPr>
          <w:p w14:paraId="7D8F5F92"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14 (0.03%)</w:t>
            </w:r>
          </w:p>
        </w:tc>
        <w:tc>
          <w:tcPr>
            <w:tcW w:w="1529" w:type="dxa"/>
            <w:tcBorders>
              <w:top w:val="nil"/>
              <w:left w:val="nil"/>
              <w:bottom w:val="nil"/>
              <w:right w:val="nil"/>
            </w:tcBorders>
            <w:shd w:val="clear" w:color="auto" w:fill="FFFFFF"/>
            <w:tcMar>
              <w:left w:w="67" w:type="dxa"/>
              <w:right w:w="67" w:type="dxa"/>
            </w:tcMar>
          </w:tcPr>
          <w:p w14:paraId="00525C3A"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 (0.02%)</w:t>
            </w:r>
          </w:p>
        </w:tc>
        <w:tc>
          <w:tcPr>
            <w:tcW w:w="1471" w:type="dxa"/>
            <w:tcBorders>
              <w:top w:val="nil"/>
              <w:left w:val="nil"/>
              <w:bottom w:val="nil"/>
              <w:right w:val="nil"/>
            </w:tcBorders>
            <w:shd w:val="clear" w:color="auto" w:fill="FFFFFF"/>
            <w:tcMar>
              <w:left w:w="67" w:type="dxa"/>
              <w:right w:w="67" w:type="dxa"/>
            </w:tcMar>
          </w:tcPr>
          <w:p w14:paraId="72A8DE08"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7 (0.01%)</w:t>
            </w:r>
          </w:p>
        </w:tc>
        <w:tc>
          <w:tcPr>
            <w:tcW w:w="1694" w:type="dxa"/>
            <w:tcBorders>
              <w:top w:val="nil"/>
              <w:left w:val="nil"/>
              <w:bottom w:val="nil"/>
              <w:right w:val="nil"/>
            </w:tcBorders>
            <w:shd w:val="clear" w:color="auto" w:fill="FFFFFF"/>
            <w:tcMar>
              <w:left w:w="67" w:type="dxa"/>
              <w:right w:w="67" w:type="dxa"/>
            </w:tcMar>
          </w:tcPr>
          <w:p w14:paraId="535AC54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 (0.01%)</w:t>
            </w:r>
          </w:p>
        </w:tc>
        <w:tc>
          <w:tcPr>
            <w:tcW w:w="1563" w:type="dxa"/>
            <w:tcBorders>
              <w:top w:val="nil"/>
              <w:left w:val="nil"/>
              <w:bottom w:val="nil"/>
              <w:right w:val="nil"/>
            </w:tcBorders>
            <w:shd w:val="clear" w:color="auto" w:fill="FFFFFF"/>
            <w:tcMar>
              <w:left w:w="67" w:type="dxa"/>
              <w:right w:w="67" w:type="dxa"/>
            </w:tcMar>
          </w:tcPr>
          <w:p w14:paraId="5C4E2980"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6 (0.01%)</w:t>
            </w:r>
          </w:p>
        </w:tc>
        <w:tc>
          <w:tcPr>
            <w:tcW w:w="1515" w:type="dxa"/>
            <w:tcBorders>
              <w:top w:val="nil"/>
              <w:left w:val="nil"/>
              <w:bottom w:val="nil"/>
              <w:right w:val="single" w:sz="11" w:space="0" w:color="000000"/>
            </w:tcBorders>
            <w:shd w:val="clear" w:color="auto" w:fill="FFFFFF"/>
            <w:tcMar>
              <w:left w:w="67" w:type="dxa"/>
              <w:right w:w="67" w:type="dxa"/>
            </w:tcMar>
          </w:tcPr>
          <w:p w14:paraId="3D9AFA0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44 (0.02%)</w:t>
            </w:r>
          </w:p>
        </w:tc>
      </w:tr>
      <w:tr w:rsidR="00B77EA3" w:rsidRPr="0082484A" w14:paraId="0234EB6C"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291708B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11</w:t>
            </w:r>
          </w:p>
        </w:tc>
        <w:tc>
          <w:tcPr>
            <w:tcW w:w="1471" w:type="dxa"/>
            <w:tcBorders>
              <w:top w:val="nil"/>
              <w:left w:val="nil"/>
              <w:bottom w:val="nil"/>
              <w:right w:val="nil"/>
            </w:tcBorders>
            <w:shd w:val="clear" w:color="auto" w:fill="FFFFFF"/>
            <w:tcMar>
              <w:left w:w="67" w:type="dxa"/>
              <w:right w:w="67" w:type="dxa"/>
            </w:tcMar>
          </w:tcPr>
          <w:p w14:paraId="73B5C8B7"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 (0.01%)</w:t>
            </w:r>
          </w:p>
        </w:tc>
        <w:tc>
          <w:tcPr>
            <w:tcW w:w="1529" w:type="dxa"/>
            <w:tcBorders>
              <w:top w:val="nil"/>
              <w:left w:val="nil"/>
              <w:bottom w:val="nil"/>
              <w:right w:val="nil"/>
            </w:tcBorders>
            <w:shd w:val="clear" w:color="auto" w:fill="FFFFFF"/>
            <w:tcMar>
              <w:left w:w="67" w:type="dxa"/>
              <w:right w:w="67" w:type="dxa"/>
            </w:tcMar>
          </w:tcPr>
          <w:p w14:paraId="1FE200D4"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(0.00%)</w:t>
            </w:r>
          </w:p>
        </w:tc>
        <w:tc>
          <w:tcPr>
            <w:tcW w:w="1471" w:type="dxa"/>
            <w:tcBorders>
              <w:top w:val="nil"/>
              <w:left w:val="nil"/>
              <w:bottom w:val="nil"/>
              <w:right w:val="nil"/>
            </w:tcBorders>
            <w:shd w:val="clear" w:color="auto" w:fill="FFFFFF"/>
            <w:tcMar>
              <w:left w:w="67" w:type="dxa"/>
              <w:right w:w="67" w:type="dxa"/>
            </w:tcMar>
          </w:tcPr>
          <w:p w14:paraId="3C4691AB"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0 (0.00%)</w:t>
            </w:r>
          </w:p>
        </w:tc>
        <w:tc>
          <w:tcPr>
            <w:tcW w:w="1694" w:type="dxa"/>
            <w:tcBorders>
              <w:top w:val="nil"/>
              <w:left w:val="nil"/>
              <w:bottom w:val="nil"/>
              <w:right w:val="nil"/>
            </w:tcBorders>
            <w:shd w:val="clear" w:color="auto" w:fill="FFFFFF"/>
            <w:tcMar>
              <w:left w:w="67" w:type="dxa"/>
              <w:right w:w="67" w:type="dxa"/>
            </w:tcMar>
          </w:tcPr>
          <w:p w14:paraId="7A4F1FFD"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3 (0.01%)</w:t>
            </w:r>
          </w:p>
        </w:tc>
        <w:tc>
          <w:tcPr>
            <w:tcW w:w="1563" w:type="dxa"/>
            <w:tcBorders>
              <w:top w:val="nil"/>
              <w:left w:val="nil"/>
              <w:bottom w:val="nil"/>
              <w:right w:val="nil"/>
            </w:tcBorders>
            <w:shd w:val="clear" w:color="auto" w:fill="FFFFFF"/>
            <w:tcMar>
              <w:left w:w="67" w:type="dxa"/>
              <w:right w:w="67" w:type="dxa"/>
            </w:tcMar>
          </w:tcPr>
          <w:p w14:paraId="488B2911"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1 (0.00%)</w:t>
            </w:r>
          </w:p>
        </w:tc>
        <w:tc>
          <w:tcPr>
            <w:tcW w:w="1515" w:type="dxa"/>
            <w:tcBorders>
              <w:top w:val="nil"/>
              <w:left w:val="nil"/>
              <w:bottom w:val="nil"/>
              <w:right w:val="single" w:sz="11" w:space="0" w:color="000000"/>
            </w:tcBorders>
            <w:shd w:val="clear" w:color="auto" w:fill="FFFFFF"/>
            <w:tcMar>
              <w:left w:w="67" w:type="dxa"/>
              <w:right w:w="67" w:type="dxa"/>
            </w:tcMar>
          </w:tcPr>
          <w:p w14:paraId="1DB34A45" w14:textId="77777777" w:rsidR="00B77EA3" w:rsidRPr="0082484A" w:rsidRDefault="00B77EA3" w:rsidP="00B77EA3">
            <w:pPr>
              <w:autoSpaceDE w:val="0"/>
              <w:autoSpaceDN w:val="0"/>
              <w:adjustRightInd w:val="0"/>
              <w:spacing w:before="67" w:after="67"/>
              <w:contextualSpacing/>
              <w:rPr>
                <w:rFonts w:eastAsia="Times New Roman"/>
                <w:sz w:val="22"/>
                <w:szCs w:val="22"/>
                <w:lang w:eastAsia="en-GB"/>
              </w:rPr>
            </w:pPr>
            <w:r w:rsidRPr="0082484A">
              <w:rPr>
                <w:rFonts w:eastAsia="Times New Roman"/>
                <w:sz w:val="22"/>
                <w:szCs w:val="22"/>
                <w:lang w:eastAsia="en-GB"/>
              </w:rPr>
              <w:t>8 (0.00%)</w:t>
            </w:r>
          </w:p>
        </w:tc>
      </w:tr>
      <w:tr w:rsidR="00B77EA3" w:rsidRPr="0082484A" w14:paraId="2DDD9196" w14:textId="77777777" w:rsidTr="00B77EA3">
        <w:trPr>
          <w:cantSplit/>
          <w:jc w:val="center"/>
        </w:trPr>
        <w:tc>
          <w:tcPr>
            <w:tcW w:w="1531" w:type="dxa"/>
            <w:tcBorders>
              <w:top w:val="nil"/>
              <w:left w:val="single" w:sz="11" w:space="0" w:color="000000"/>
              <w:bottom w:val="single" w:sz="11" w:space="0" w:color="000000"/>
              <w:right w:val="nil"/>
            </w:tcBorders>
            <w:shd w:val="clear" w:color="auto" w:fill="FFFFFF"/>
            <w:tcMar>
              <w:left w:w="67" w:type="dxa"/>
              <w:right w:w="67" w:type="dxa"/>
            </w:tcMar>
          </w:tcPr>
          <w:p w14:paraId="4338441C"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single" w:sz="11" w:space="0" w:color="000000"/>
              <w:right w:val="nil"/>
            </w:tcBorders>
            <w:shd w:val="clear" w:color="auto" w:fill="FFFFFF"/>
            <w:tcMar>
              <w:left w:w="67" w:type="dxa"/>
              <w:right w:w="67" w:type="dxa"/>
            </w:tcMar>
          </w:tcPr>
          <w:p w14:paraId="6099B0A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29" w:type="dxa"/>
            <w:tcBorders>
              <w:top w:val="nil"/>
              <w:left w:val="nil"/>
              <w:bottom w:val="single" w:sz="11" w:space="0" w:color="000000"/>
              <w:right w:val="nil"/>
            </w:tcBorders>
            <w:shd w:val="clear" w:color="auto" w:fill="FFFFFF"/>
            <w:tcMar>
              <w:left w:w="67" w:type="dxa"/>
              <w:right w:w="67" w:type="dxa"/>
            </w:tcMar>
          </w:tcPr>
          <w:p w14:paraId="031AD648"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471" w:type="dxa"/>
            <w:tcBorders>
              <w:top w:val="nil"/>
              <w:left w:val="nil"/>
              <w:bottom w:val="single" w:sz="11" w:space="0" w:color="000000"/>
              <w:right w:val="nil"/>
            </w:tcBorders>
            <w:shd w:val="clear" w:color="auto" w:fill="FFFFFF"/>
            <w:tcMar>
              <w:left w:w="67" w:type="dxa"/>
              <w:right w:w="67" w:type="dxa"/>
            </w:tcMar>
          </w:tcPr>
          <w:p w14:paraId="379B32F1"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694" w:type="dxa"/>
            <w:tcBorders>
              <w:top w:val="nil"/>
              <w:left w:val="nil"/>
              <w:bottom w:val="single" w:sz="11" w:space="0" w:color="000000"/>
              <w:right w:val="nil"/>
            </w:tcBorders>
            <w:shd w:val="clear" w:color="auto" w:fill="FFFFFF"/>
            <w:tcMar>
              <w:left w:w="67" w:type="dxa"/>
              <w:right w:w="67" w:type="dxa"/>
            </w:tcMar>
          </w:tcPr>
          <w:p w14:paraId="57FE1687"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63" w:type="dxa"/>
            <w:tcBorders>
              <w:top w:val="nil"/>
              <w:left w:val="nil"/>
              <w:bottom w:val="single" w:sz="11" w:space="0" w:color="000000"/>
              <w:right w:val="nil"/>
            </w:tcBorders>
            <w:shd w:val="clear" w:color="auto" w:fill="FFFFFF"/>
            <w:tcMar>
              <w:left w:w="67" w:type="dxa"/>
              <w:right w:w="67" w:type="dxa"/>
            </w:tcMar>
          </w:tcPr>
          <w:p w14:paraId="49B314C1"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c>
          <w:tcPr>
            <w:tcW w:w="1515" w:type="dxa"/>
            <w:tcBorders>
              <w:top w:val="nil"/>
              <w:left w:val="nil"/>
              <w:bottom w:val="single" w:sz="11" w:space="0" w:color="000000"/>
              <w:right w:val="single" w:sz="11" w:space="0" w:color="000000"/>
            </w:tcBorders>
            <w:shd w:val="clear" w:color="auto" w:fill="FFFFFF"/>
            <w:tcMar>
              <w:left w:w="67" w:type="dxa"/>
              <w:right w:w="67" w:type="dxa"/>
            </w:tcMar>
          </w:tcPr>
          <w:p w14:paraId="7630168A" w14:textId="77777777" w:rsidR="00B77EA3" w:rsidRPr="0082484A" w:rsidRDefault="00B77EA3" w:rsidP="00B77EA3">
            <w:pPr>
              <w:autoSpaceDE w:val="0"/>
              <w:autoSpaceDN w:val="0"/>
              <w:adjustRightInd w:val="0"/>
              <w:spacing w:before="67" w:after="67"/>
              <w:contextualSpacing/>
              <w:rPr>
                <w:rFonts w:eastAsia="Times New Roman"/>
                <w:color w:val="FF0000"/>
                <w:sz w:val="22"/>
                <w:szCs w:val="22"/>
                <w:lang w:eastAsia="en-GB"/>
              </w:rPr>
            </w:pPr>
          </w:p>
        </w:tc>
      </w:tr>
    </w:tbl>
    <w:p w14:paraId="2826FF3C" w14:textId="77777777" w:rsidR="00B77EA3" w:rsidRPr="0082484A" w:rsidRDefault="00B77EA3" w:rsidP="00B77EA3">
      <w:pPr>
        <w:contextualSpacing/>
        <w:rPr>
          <w:bCs/>
          <w:color w:val="FF0000"/>
          <w:sz w:val="22"/>
          <w:szCs w:val="22"/>
        </w:rPr>
      </w:pPr>
    </w:p>
    <w:p w14:paraId="7B1A6F2B" w14:textId="77777777" w:rsidR="00B77EA3" w:rsidRPr="0082484A" w:rsidRDefault="00B77EA3" w:rsidP="00B77EA3">
      <w:pPr>
        <w:contextualSpacing/>
        <w:rPr>
          <w:bCs/>
          <w:color w:val="FF0000"/>
          <w:sz w:val="22"/>
          <w:szCs w:val="22"/>
        </w:rPr>
      </w:pPr>
      <w:r w:rsidRPr="0082484A">
        <w:rPr>
          <w:bCs/>
          <w:color w:val="FF0000"/>
          <w:sz w:val="22"/>
          <w:szCs w:val="22"/>
        </w:rPr>
        <w:br w:type="page"/>
      </w:r>
    </w:p>
    <w:p w14:paraId="50B0E4A8" w14:textId="5ACCF2CA" w:rsidR="00B77EA3" w:rsidRPr="0082484A" w:rsidRDefault="00B77EA3" w:rsidP="00B77EA3">
      <w:pPr>
        <w:pStyle w:val="Caption"/>
        <w:rPr>
          <w:b w:val="0"/>
          <w:sz w:val="22"/>
          <w:szCs w:val="22"/>
        </w:rPr>
      </w:pPr>
      <w:bookmarkStart w:id="42" w:name="_Ref501103675"/>
      <w:bookmarkStart w:id="43" w:name="_Toc8728082"/>
      <w:bookmarkStart w:id="44" w:name="_Toc19526741"/>
      <w:r w:rsidRPr="0082484A">
        <w:rPr>
          <w:b w:val="0"/>
          <w:sz w:val="22"/>
          <w:szCs w:val="22"/>
        </w:rPr>
        <w:lastRenderedPageBreak/>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12</w:t>
      </w:r>
      <w:r w:rsidRPr="0082484A">
        <w:rPr>
          <w:b w:val="0"/>
          <w:noProof/>
          <w:sz w:val="22"/>
          <w:szCs w:val="22"/>
        </w:rPr>
        <w:fldChar w:fldCharType="end"/>
      </w:r>
      <w:bookmarkEnd w:id="42"/>
      <w:r w:rsidRPr="0082484A">
        <w:rPr>
          <w:b w:val="0"/>
          <w:sz w:val="22"/>
          <w:szCs w:val="22"/>
        </w:rPr>
        <w:t>: Cluster-randomised evaluation: patient characteristics at baseline by trial arm (population relevant to the anticoagulation in atrial fibrillation primary outcome) (WP4a)</w:t>
      </w:r>
      <w:bookmarkEnd w:id="43"/>
      <w:bookmarkEnd w:id="44"/>
    </w:p>
    <w:tbl>
      <w:tblPr>
        <w:tblW w:w="10910" w:type="dxa"/>
        <w:jc w:val="center"/>
        <w:tblLayout w:type="fixed"/>
        <w:tblCellMar>
          <w:left w:w="0" w:type="dxa"/>
          <w:right w:w="0" w:type="dxa"/>
        </w:tblCellMar>
        <w:tblLook w:val="0000" w:firstRow="0" w:lastRow="0" w:firstColumn="0" w:lastColumn="0" w:noHBand="0" w:noVBand="0"/>
      </w:tblPr>
      <w:tblGrid>
        <w:gridCol w:w="1553"/>
        <w:gridCol w:w="1460"/>
        <w:gridCol w:w="1619"/>
        <w:gridCol w:w="1460"/>
        <w:gridCol w:w="1723"/>
        <w:gridCol w:w="1593"/>
        <w:gridCol w:w="1502"/>
      </w:tblGrid>
      <w:tr w:rsidR="00B77EA3" w:rsidRPr="0082484A" w14:paraId="7C65D605" w14:textId="77777777" w:rsidTr="00B77EA3">
        <w:trPr>
          <w:cantSplit/>
          <w:tblHeader/>
          <w:jc w:val="center"/>
        </w:trPr>
        <w:tc>
          <w:tcPr>
            <w:tcW w:w="1531" w:type="dxa"/>
            <w:tcBorders>
              <w:top w:val="single" w:sz="11" w:space="0" w:color="000000"/>
              <w:left w:val="single" w:sz="11" w:space="0" w:color="000000"/>
              <w:bottom w:val="single" w:sz="4" w:space="0" w:color="FFFFFF" w:themeColor="background1"/>
              <w:right w:val="nil"/>
            </w:tcBorders>
            <w:shd w:val="clear" w:color="auto" w:fill="FFFFFF"/>
            <w:tcMar>
              <w:left w:w="67" w:type="dxa"/>
              <w:right w:w="67" w:type="dxa"/>
            </w:tcMar>
            <w:vAlign w:val="bottom"/>
          </w:tcPr>
          <w:p w14:paraId="2D40E9A2"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bookmarkStart w:id="45" w:name="IDX9"/>
            <w:bookmarkEnd w:id="45"/>
          </w:p>
        </w:tc>
        <w:tc>
          <w:tcPr>
            <w:tcW w:w="3035"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2E4FB535" w14:textId="77777777" w:rsidR="00B77EA3" w:rsidRPr="0082484A" w:rsidRDefault="00B77EA3" w:rsidP="00B77EA3">
            <w:pPr>
              <w:autoSpaceDE w:val="0"/>
              <w:autoSpaceDN w:val="0"/>
              <w:adjustRightInd w:val="0"/>
              <w:spacing w:before="67" w:after="67"/>
              <w:contextualSpacing/>
              <w:jc w:val="center"/>
              <w:rPr>
                <w:rFonts w:eastAsiaTheme="minorEastAsia"/>
                <w:bCs/>
                <w:sz w:val="22"/>
                <w:szCs w:val="22"/>
                <w:lang w:eastAsia="en-GB"/>
              </w:rPr>
            </w:pPr>
            <w:r w:rsidRPr="0082484A">
              <w:rPr>
                <w:rFonts w:eastAsiaTheme="minorEastAsia"/>
                <w:bCs/>
                <w:sz w:val="22"/>
                <w:szCs w:val="22"/>
                <w:lang w:eastAsia="en-GB"/>
              </w:rPr>
              <w:t>Trial 1</w:t>
            </w:r>
          </w:p>
        </w:tc>
        <w:tc>
          <w:tcPr>
            <w:tcW w:w="3137" w:type="dxa"/>
            <w:gridSpan w:val="2"/>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42E7856D" w14:textId="77777777" w:rsidR="00B77EA3" w:rsidRPr="0082484A" w:rsidRDefault="00B77EA3" w:rsidP="00B77EA3">
            <w:pPr>
              <w:autoSpaceDE w:val="0"/>
              <w:autoSpaceDN w:val="0"/>
              <w:adjustRightInd w:val="0"/>
              <w:spacing w:before="67" w:after="67"/>
              <w:contextualSpacing/>
              <w:jc w:val="center"/>
              <w:rPr>
                <w:rFonts w:eastAsiaTheme="minorEastAsia"/>
                <w:bCs/>
                <w:sz w:val="22"/>
                <w:szCs w:val="22"/>
                <w:lang w:eastAsia="en-GB"/>
              </w:rPr>
            </w:pPr>
            <w:r w:rsidRPr="0082484A">
              <w:rPr>
                <w:rFonts w:eastAsiaTheme="minorEastAsia"/>
                <w:bCs/>
                <w:sz w:val="22"/>
                <w:szCs w:val="22"/>
                <w:lang w:eastAsia="en-GB"/>
              </w:rPr>
              <w:t>Trial 2</w:t>
            </w:r>
          </w:p>
        </w:tc>
        <w:tc>
          <w:tcPr>
            <w:tcW w:w="1570" w:type="dxa"/>
            <w:tcBorders>
              <w:top w:val="single" w:sz="11" w:space="0" w:color="000000"/>
              <w:left w:val="nil"/>
              <w:bottom w:val="single" w:sz="4" w:space="0" w:color="FFFFFF" w:themeColor="background1"/>
              <w:right w:val="nil"/>
            </w:tcBorders>
            <w:shd w:val="clear" w:color="auto" w:fill="FFFFFF"/>
            <w:tcMar>
              <w:left w:w="67" w:type="dxa"/>
              <w:right w:w="67" w:type="dxa"/>
            </w:tcMar>
            <w:vAlign w:val="bottom"/>
          </w:tcPr>
          <w:p w14:paraId="46F671E7"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p>
        </w:tc>
        <w:tc>
          <w:tcPr>
            <w:tcW w:w="1481" w:type="dxa"/>
            <w:tcBorders>
              <w:top w:val="single" w:sz="11" w:space="0" w:color="000000"/>
              <w:left w:val="nil"/>
              <w:bottom w:val="single" w:sz="4" w:space="0" w:color="FFFFFF" w:themeColor="background1"/>
              <w:right w:val="single" w:sz="11" w:space="0" w:color="000000"/>
            </w:tcBorders>
            <w:shd w:val="clear" w:color="auto" w:fill="FFFFFF"/>
            <w:tcMar>
              <w:left w:w="67" w:type="dxa"/>
              <w:right w:w="67" w:type="dxa"/>
            </w:tcMar>
            <w:vAlign w:val="bottom"/>
          </w:tcPr>
          <w:p w14:paraId="777C7372"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p>
        </w:tc>
      </w:tr>
      <w:tr w:rsidR="00B77EA3" w:rsidRPr="0082484A" w14:paraId="64A4F165" w14:textId="77777777" w:rsidTr="00B77EA3">
        <w:trPr>
          <w:cantSplit/>
          <w:tblHeader/>
          <w:jc w:val="center"/>
        </w:trPr>
        <w:tc>
          <w:tcPr>
            <w:tcW w:w="1531" w:type="dxa"/>
            <w:tcBorders>
              <w:top w:val="single" w:sz="4" w:space="0" w:color="FFFFFF" w:themeColor="background1"/>
              <w:left w:val="single" w:sz="11" w:space="0" w:color="000000"/>
              <w:bottom w:val="single" w:sz="4" w:space="0" w:color="000000"/>
              <w:right w:val="nil"/>
            </w:tcBorders>
            <w:shd w:val="clear" w:color="auto" w:fill="FFFFFF"/>
            <w:tcMar>
              <w:left w:w="67" w:type="dxa"/>
              <w:right w:w="67" w:type="dxa"/>
            </w:tcMar>
            <w:vAlign w:val="bottom"/>
          </w:tcPr>
          <w:p w14:paraId="69D07686"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p>
        </w:tc>
        <w:tc>
          <w:tcPr>
            <w:tcW w:w="143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7D5FE47E"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Diabetes control (n=3897)</w:t>
            </w:r>
          </w:p>
        </w:tc>
        <w:tc>
          <w:tcPr>
            <w:tcW w:w="1596"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62CDB29A"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Risky prescribing (n=3755)</w:t>
            </w:r>
          </w:p>
        </w:tc>
        <w:tc>
          <w:tcPr>
            <w:tcW w:w="1439"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0849AF77"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Blood pressure control (n=3654)</w:t>
            </w:r>
          </w:p>
        </w:tc>
        <w:tc>
          <w:tcPr>
            <w:tcW w:w="1698"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0DDD22D4"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Anticoagulation in AF (n=3401)</w:t>
            </w:r>
          </w:p>
        </w:tc>
        <w:tc>
          <w:tcPr>
            <w:tcW w:w="1570"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778DD423"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Non-intervention (n=2820)</w:t>
            </w:r>
          </w:p>
        </w:tc>
        <w:tc>
          <w:tcPr>
            <w:tcW w:w="1481" w:type="dxa"/>
            <w:tcBorders>
              <w:top w:val="single" w:sz="4" w:space="0" w:color="FFFFFF" w:themeColor="background1"/>
              <w:left w:val="nil"/>
              <w:bottom w:val="single" w:sz="4" w:space="0" w:color="000000"/>
              <w:right w:val="single" w:sz="11" w:space="0" w:color="000000"/>
            </w:tcBorders>
            <w:shd w:val="clear" w:color="auto" w:fill="FFFFFF"/>
            <w:tcMar>
              <w:left w:w="67" w:type="dxa"/>
              <w:right w:w="67" w:type="dxa"/>
            </w:tcMar>
            <w:vAlign w:val="bottom"/>
          </w:tcPr>
          <w:p w14:paraId="17103A9A"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Total (n=17527)</w:t>
            </w:r>
          </w:p>
        </w:tc>
      </w:tr>
      <w:tr w:rsidR="00B77EA3" w:rsidRPr="0082484A" w14:paraId="61689ABE"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26CDAC86"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Age</w:t>
            </w:r>
          </w:p>
        </w:tc>
        <w:tc>
          <w:tcPr>
            <w:tcW w:w="1439" w:type="dxa"/>
            <w:tcBorders>
              <w:top w:val="nil"/>
              <w:left w:val="nil"/>
              <w:bottom w:val="nil"/>
              <w:right w:val="nil"/>
            </w:tcBorders>
            <w:shd w:val="clear" w:color="auto" w:fill="FFFFFF"/>
            <w:tcMar>
              <w:left w:w="67" w:type="dxa"/>
              <w:right w:w="67" w:type="dxa"/>
            </w:tcMar>
          </w:tcPr>
          <w:p w14:paraId="3B605BA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96" w:type="dxa"/>
            <w:tcBorders>
              <w:top w:val="nil"/>
              <w:left w:val="nil"/>
              <w:bottom w:val="nil"/>
              <w:right w:val="nil"/>
            </w:tcBorders>
            <w:shd w:val="clear" w:color="auto" w:fill="FFFFFF"/>
            <w:tcMar>
              <w:left w:w="67" w:type="dxa"/>
              <w:right w:w="67" w:type="dxa"/>
            </w:tcMar>
          </w:tcPr>
          <w:p w14:paraId="7AAA1B9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6AF179F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698" w:type="dxa"/>
            <w:tcBorders>
              <w:top w:val="nil"/>
              <w:left w:val="nil"/>
              <w:bottom w:val="nil"/>
              <w:right w:val="nil"/>
            </w:tcBorders>
            <w:shd w:val="clear" w:color="auto" w:fill="FFFFFF"/>
            <w:tcMar>
              <w:left w:w="67" w:type="dxa"/>
              <w:right w:w="67" w:type="dxa"/>
            </w:tcMar>
          </w:tcPr>
          <w:p w14:paraId="4CE0302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70" w:type="dxa"/>
            <w:tcBorders>
              <w:top w:val="nil"/>
              <w:left w:val="nil"/>
              <w:bottom w:val="nil"/>
              <w:right w:val="nil"/>
            </w:tcBorders>
            <w:shd w:val="clear" w:color="auto" w:fill="FFFFFF"/>
            <w:tcMar>
              <w:left w:w="67" w:type="dxa"/>
              <w:right w:w="67" w:type="dxa"/>
            </w:tcMar>
          </w:tcPr>
          <w:p w14:paraId="4FA3152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81" w:type="dxa"/>
            <w:tcBorders>
              <w:top w:val="nil"/>
              <w:left w:val="nil"/>
              <w:bottom w:val="nil"/>
              <w:right w:val="single" w:sz="11" w:space="0" w:color="000000"/>
            </w:tcBorders>
            <w:shd w:val="clear" w:color="auto" w:fill="FFFFFF"/>
            <w:tcMar>
              <w:left w:w="67" w:type="dxa"/>
              <w:right w:w="67" w:type="dxa"/>
            </w:tcMar>
          </w:tcPr>
          <w:p w14:paraId="3E6FC86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r>
      <w:tr w:rsidR="00B77EA3" w:rsidRPr="0082484A" w14:paraId="0A3421EC"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5055E1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Mean (SD)</w:t>
            </w:r>
          </w:p>
        </w:tc>
        <w:tc>
          <w:tcPr>
            <w:tcW w:w="1439" w:type="dxa"/>
            <w:tcBorders>
              <w:top w:val="nil"/>
              <w:left w:val="nil"/>
              <w:bottom w:val="nil"/>
              <w:right w:val="nil"/>
            </w:tcBorders>
            <w:shd w:val="clear" w:color="auto" w:fill="FFFFFF"/>
            <w:tcMar>
              <w:left w:w="67" w:type="dxa"/>
              <w:right w:w="67" w:type="dxa"/>
            </w:tcMar>
          </w:tcPr>
          <w:p w14:paraId="39F8586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77.38 (10.24)</w:t>
            </w:r>
          </w:p>
        </w:tc>
        <w:tc>
          <w:tcPr>
            <w:tcW w:w="1596" w:type="dxa"/>
            <w:tcBorders>
              <w:top w:val="nil"/>
              <w:left w:val="nil"/>
              <w:bottom w:val="nil"/>
              <w:right w:val="nil"/>
            </w:tcBorders>
            <w:shd w:val="clear" w:color="auto" w:fill="FFFFFF"/>
            <w:tcMar>
              <w:left w:w="67" w:type="dxa"/>
              <w:right w:w="67" w:type="dxa"/>
            </w:tcMar>
          </w:tcPr>
          <w:p w14:paraId="07632C8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76.91 (9.95)</w:t>
            </w:r>
          </w:p>
        </w:tc>
        <w:tc>
          <w:tcPr>
            <w:tcW w:w="1439" w:type="dxa"/>
            <w:tcBorders>
              <w:top w:val="nil"/>
              <w:left w:val="nil"/>
              <w:bottom w:val="nil"/>
              <w:right w:val="nil"/>
            </w:tcBorders>
            <w:shd w:val="clear" w:color="auto" w:fill="FFFFFF"/>
            <w:tcMar>
              <w:left w:w="67" w:type="dxa"/>
              <w:right w:w="67" w:type="dxa"/>
            </w:tcMar>
          </w:tcPr>
          <w:p w14:paraId="02B0D041"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76.98 (9.77)</w:t>
            </w:r>
          </w:p>
        </w:tc>
        <w:tc>
          <w:tcPr>
            <w:tcW w:w="1698" w:type="dxa"/>
            <w:tcBorders>
              <w:top w:val="nil"/>
              <w:left w:val="nil"/>
              <w:bottom w:val="nil"/>
              <w:right w:val="nil"/>
            </w:tcBorders>
            <w:shd w:val="clear" w:color="auto" w:fill="FFFFFF"/>
            <w:tcMar>
              <w:left w:w="67" w:type="dxa"/>
              <w:right w:w="67" w:type="dxa"/>
            </w:tcMar>
          </w:tcPr>
          <w:p w14:paraId="5431F57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76.69 (10.00)</w:t>
            </w:r>
          </w:p>
        </w:tc>
        <w:tc>
          <w:tcPr>
            <w:tcW w:w="1570" w:type="dxa"/>
            <w:tcBorders>
              <w:top w:val="nil"/>
              <w:left w:val="nil"/>
              <w:bottom w:val="nil"/>
              <w:right w:val="nil"/>
            </w:tcBorders>
            <w:shd w:val="clear" w:color="auto" w:fill="FFFFFF"/>
            <w:tcMar>
              <w:left w:w="67" w:type="dxa"/>
              <w:right w:w="67" w:type="dxa"/>
            </w:tcMar>
          </w:tcPr>
          <w:p w14:paraId="1BA3151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76.64 (10.40)</w:t>
            </w:r>
          </w:p>
        </w:tc>
        <w:tc>
          <w:tcPr>
            <w:tcW w:w="1481" w:type="dxa"/>
            <w:tcBorders>
              <w:top w:val="nil"/>
              <w:left w:val="nil"/>
              <w:bottom w:val="nil"/>
              <w:right w:val="single" w:sz="11" w:space="0" w:color="000000"/>
            </w:tcBorders>
            <w:shd w:val="clear" w:color="auto" w:fill="FFFFFF"/>
            <w:tcMar>
              <w:left w:w="67" w:type="dxa"/>
              <w:right w:w="67" w:type="dxa"/>
            </w:tcMar>
          </w:tcPr>
          <w:p w14:paraId="5A6C5CE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76.94 (10.06)</w:t>
            </w:r>
          </w:p>
        </w:tc>
      </w:tr>
      <w:tr w:rsidR="00B77EA3" w:rsidRPr="0082484A" w14:paraId="73257A72"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0D0609B8"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Median (Range)</w:t>
            </w:r>
          </w:p>
        </w:tc>
        <w:tc>
          <w:tcPr>
            <w:tcW w:w="1439" w:type="dxa"/>
            <w:tcBorders>
              <w:top w:val="nil"/>
              <w:left w:val="nil"/>
              <w:bottom w:val="nil"/>
              <w:right w:val="nil"/>
            </w:tcBorders>
            <w:shd w:val="clear" w:color="auto" w:fill="FFFFFF"/>
            <w:tcMar>
              <w:left w:w="67" w:type="dxa"/>
              <w:right w:w="67" w:type="dxa"/>
            </w:tcMar>
          </w:tcPr>
          <w:p w14:paraId="3BAF870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(0.00, 106.00)</w:t>
            </w:r>
          </w:p>
        </w:tc>
        <w:tc>
          <w:tcPr>
            <w:tcW w:w="1596" w:type="dxa"/>
            <w:tcBorders>
              <w:top w:val="nil"/>
              <w:left w:val="nil"/>
              <w:bottom w:val="nil"/>
              <w:right w:val="nil"/>
            </w:tcBorders>
            <w:shd w:val="clear" w:color="auto" w:fill="FFFFFF"/>
            <w:tcMar>
              <w:left w:w="67" w:type="dxa"/>
              <w:right w:w="67" w:type="dxa"/>
            </w:tcMar>
          </w:tcPr>
          <w:p w14:paraId="57DCC1D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(25.00, 101.00)</w:t>
            </w:r>
          </w:p>
        </w:tc>
        <w:tc>
          <w:tcPr>
            <w:tcW w:w="1439" w:type="dxa"/>
            <w:tcBorders>
              <w:top w:val="nil"/>
              <w:left w:val="nil"/>
              <w:bottom w:val="nil"/>
              <w:right w:val="nil"/>
            </w:tcBorders>
            <w:shd w:val="clear" w:color="auto" w:fill="FFFFFF"/>
            <w:tcMar>
              <w:left w:w="67" w:type="dxa"/>
              <w:right w:w="67" w:type="dxa"/>
            </w:tcMar>
          </w:tcPr>
          <w:p w14:paraId="4B04E67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(1.00, 105.00)</w:t>
            </w:r>
          </w:p>
        </w:tc>
        <w:tc>
          <w:tcPr>
            <w:tcW w:w="1698" w:type="dxa"/>
            <w:tcBorders>
              <w:top w:val="nil"/>
              <w:left w:val="nil"/>
              <w:bottom w:val="nil"/>
              <w:right w:val="nil"/>
            </w:tcBorders>
            <w:shd w:val="clear" w:color="auto" w:fill="FFFFFF"/>
            <w:tcMar>
              <w:left w:w="67" w:type="dxa"/>
              <w:right w:w="67" w:type="dxa"/>
            </w:tcMar>
          </w:tcPr>
          <w:p w14:paraId="160B28A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(0.00, 102.00)</w:t>
            </w:r>
          </w:p>
        </w:tc>
        <w:tc>
          <w:tcPr>
            <w:tcW w:w="1570" w:type="dxa"/>
            <w:tcBorders>
              <w:top w:val="nil"/>
              <w:left w:val="nil"/>
              <w:bottom w:val="nil"/>
              <w:right w:val="nil"/>
            </w:tcBorders>
            <w:shd w:val="clear" w:color="auto" w:fill="FFFFFF"/>
            <w:tcMar>
              <w:left w:w="67" w:type="dxa"/>
              <w:right w:w="67" w:type="dxa"/>
            </w:tcMar>
          </w:tcPr>
          <w:p w14:paraId="4523169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(0.00, 102.00)</w:t>
            </w:r>
          </w:p>
        </w:tc>
        <w:tc>
          <w:tcPr>
            <w:tcW w:w="1481" w:type="dxa"/>
            <w:tcBorders>
              <w:top w:val="nil"/>
              <w:left w:val="nil"/>
              <w:bottom w:val="nil"/>
              <w:right w:val="single" w:sz="11" w:space="0" w:color="000000"/>
            </w:tcBorders>
            <w:shd w:val="clear" w:color="auto" w:fill="FFFFFF"/>
            <w:tcMar>
              <w:left w:w="67" w:type="dxa"/>
              <w:right w:w="67" w:type="dxa"/>
            </w:tcMar>
          </w:tcPr>
          <w:p w14:paraId="6E27424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78.00 (0.00, 106.00)</w:t>
            </w:r>
          </w:p>
        </w:tc>
      </w:tr>
      <w:tr w:rsidR="00B77EA3" w:rsidRPr="0082484A" w14:paraId="34CC8D82"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FD76883"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05D16899"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96" w:type="dxa"/>
            <w:tcBorders>
              <w:top w:val="nil"/>
              <w:left w:val="nil"/>
              <w:bottom w:val="nil"/>
              <w:right w:val="nil"/>
            </w:tcBorders>
            <w:shd w:val="clear" w:color="auto" w:fill="FFFFFF"/>
            <w:tcMar>
              <w:left w:w="67" w:type="dxa"/>
              <w:right w:w="67" w:type="dxa"/>
            </w:tcMar>
          </w:tcPr>
          <w:p w14:paraId="4DA66490"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036CBDE2"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698" w:type="dxa"/>
            <w:tcBorders>
              <w:top w:val="nil"/>
              <w:left w:val="nil"/>
              <w:bottom w:val="nil"/>
              <w:right w:val="nil"/>
            </w:tcBorders>
            <w:shd w:val="clear" w:color="auto" w:fill="FFFFFF"/>
            <w:tcMar>
              <w:left w:w="67" w:type="dxa"/>
              <w:right w:w="67" w:type="dxa"/>
            </w:tcMar>
          </w:tcPr>
          <w:p w14:paraId="7DBD4B35"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70" w:type="dxa"/>
            <w:tcBorders>
              <w:top w:val="nil"/>
              <w:left w:val="nil"/>
              <w:bottom w:val="nil"/>
              <w:right w:val="nil"/>
            </w:tcBorders>
            <w:shd w:val="clear" w:color="auto" w:fill="FFFFFF"/>
            <w:tcMar>
              <w:left w:w="67" w:type="dxa"/>
              <w:right w:w="67" w:type="dxa"/>
            </w:tcMar>
          </w:tcPr>
          <w:p w14:paraId="61FB34BA"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81" w:type="dxa"/>
            <w:tcBorders>
              <w:top w:val="nil"/>
              <w:left w:val="nil"/>
              <w:bottom w:val="nil"/>
              <w:right w:val="single" w:sz="11" w:space="0" w:color="000000"/>
            </w:tcBorders>
            <w:shd w:val="clear" w:color="auto" w:fill="FFFFFF"/>
            <w:tcMar>
              <w:left w:w="67" w:type="dxa"/>
              <w:right w:w="67" w:type="dxa"/>
            </w:tcMar>
          </w:tcPr>
          <w:p w14:paraId="7D22A2CD"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r>
      <w:tr w:rsidR="00B77EA3" w:rsidRPr="0082484A" w14:paraId="34AF6519"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265D7198"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Gender</w:t>
            </w:r>
          </w:p>
        </w:tc>
        <w:tc>
          <w:tcPr>
            <w:tcW w:w="1439" w:type="dxa"/>
            <w:tcBorders>
              <w:top w:val="nil"/>
              <w:left w:val="nil"/>
              <w:bottom w:val="nil"/>
              <w:right w:val="nil"/>
            </w:tcBorders>
            <w:shd w:val="clear" w:color="auto" w:fill="FFFFFF"/>
            <w:tcMar>
              <w:left w:w="67" w:type="dxa"/>
              <w:right w:w="67" w:type="dxa"/>
            </w:tcMar>
          </w:tcPr>
          <w:p w14:paraId="69DBA4F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96" w:type="dxa"/>
            <w:tcBorders>
              <w:top w:val="nil"/>
              <w:left w:val="nil"/>
              <w:bottom w:val="nil"/>
              <w:right w:val="nil"/>
            </w:tcBorders>
            <w:shd w:val="clear" w:color="auto" w:fill="FFFFFF"/>
            <w:tcMar>
              <w:left w:w="67" w:type="dxa"/>
              <w:right w:w="67" w:type="dxa"/>
            </w:tcMar>
          </w:tcPr>
          <w:p w14:paraId="2A5576C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2BBA3CE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698" w:type="dxa"/>
            <w:tcBorders>
              <w:top w:val="nil"/>
              <w:left w:val="nil"/>
              <w:bottom w:val="nil"/>
              <w:right w:val="nil"/>
            </w:tcBorders>
            <w:shd w:val="clear" w:color="auto" w:fill="FFFFFF"/>
            <w:tcMar>
              <w:left w:w="67" w:type="dxa"/>
              <w:right w:w="67" w:type="dxa"/>
            </w:tcMar>
          </w:tcPr>
          <w:p w14:paraId="22BE715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70" w:type="dxa"/>
            <w:tcBorders>
              <w:top w:val="nil"/>
              <w:left w:val="nil"/>
              <w:bottom w:val="nil"/>
              <w:right w:val="nil"/>
            </w:tcBorders>
            <w:shd w:val="clear" w:color="auto" w:fill="FFFFFF"/>
            <w:tcMar>
              <w:left w:w="67" w:type="dxa"/>
              <w:right w:w="67" w:type="dxa"/>
            </w:tcMar>
          </w:tcPr>
          <w:p w14:paraId="7F0FA64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81" w:type="dxa"/>
            <w:tcBorders>
              <w:top w:val="nil"/>
              <w:left w:val="nil"/>
              <w:bottom w:val="nil"/>
              <w:right w:val="single" w:sz="11" w:space="0" w:color="000000"/>
            </w:tcBorders>
            <w:shd w:val="clear" w:color="auto" w:fill="FFFFFF"/>
            <w:tcMar>
              <w:left w:w="67" w:type="dxa"/>
              <w:right w:w="67" w:type="dxa"/>
            </w:tcMar>
          </w:tcPr>
          <w:p w14:paraId="166B7D3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r>
      <w:tr w:rsidR="00B77EA3" w:rsidRPr="0082484A" w14:paraId="25D9D74D"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7C639D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Female</w:t>
            </w:r>
          </w:p>
        </w:tc>
        <w:tc>
          <w:tcPr>
            <w:tcW w:w="1439" w:type="dxa"/>
            <w:tcBorders>
              <w:top w:val="nil"/>
              <w:left w:val="nil"/>
              <w:bottom w:val="nil"/>
              <w:right w:val="nil"/>
            </w:tcBorders>
            <w:shd w:val="clear" w:color="auto" w:fill="FFFFFF"/>
            <w:tcMar>
              <w:left w:w="67" w:type="dxa"/>
              <w:right w:w="67" w:type="dxa"/>
            </w:tcMar>
          </w:tcPr>
          <w:p w14:paraId="1AA4B03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1795 (46.06%)</w:t>
            </w:r>
          </w:p>
        </w:tc>
        <w:tc>
          <w:tcPr>
            <w:tcW w:w="1596" w:type="dxa"/>
            <w:tcBorders>
              <w:top w:val="nil"/>
              <w:left w:val="nil"/>
              <w:bottom w:val="nil"/>
              <w:right w:val="nil"/>
            </w:tcBorders>
            <w:shd w:val="clear" w:color="auto" w:fill="FFFFFF"/>
            <w:tcMar>
              <w:left w:w="67" w:type="dxa"/>
              <w:right w:w="67" w:type="dxa"/>
            </w:tcMar>
          </w:tcPr>
          <w:p w14:paraId="3B08E4A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1713 (45.62%)</w:t>
            </w:r>
          </w:p>
        </w:tc>
        <w:tc>
          <w:tcPr>
            <w:tcW w:w="1439" w:type="dxa"/>
            <w:tcBorders>
              <w:top w:val="nil"/>
              <w:left w:val="nil"/>
              <w:bottom w:val="nil"/>
              <w:right w:val="nil"/>
            </w:tcBorders>
            <w:shd w:val="clear" w:color="auto" w:fill="FFFFFF"/>
            <w:tcMar>
              <w:left w:w="67" w:type="dxa"/>
              <w:right w:w="67" w:type="dxa"/>
            </w:tcMar>
          </w:tcPr>
          <w:p w14:paraId="5F39B19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1682 (46.03%)</w:t>
            </w:r>
          </w:p>
        </w:tc>
        <w:tc>
          <w:tcPr>
            <w:tcW w:w="1698" w:type="dxa"/>
            <w:tcBorders>
              <w:top w:val="nil"/>
              <w:left w:val="nil"/>
              <w:bottom w:val="nil"/>
              <w:right w:val="nil"/>
            </w:tcBorders>
            <w:shd w:val="clear" w:color="auto" w:fill="FFFFFF"/>
            <w:tcMar>
              <w:left w:w="67" w:type="dxa"/>
              <w:right w:w="67" w:type="dxa"/>
            </w:tcMar>
          </w:tcPr>
          <w:p w14:paraId="435FBC0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1454 (42.75%)</w:t>
            </w:r>
          </w:p>
        </w:tc>
        <w:tc>
          <w:tcPr>
            <w:tcW w:w="1570" w:type="dxa"/>
            <w:tcBorders>
              <w:top w:val="nil"/>
              <w:left w:val="nil"/>
              <w:bottom w:val="nil"/>
              <w:right w:val="nil"/>
            </w:tcBorders>
            <w:shd w:val="clear" w:color="auto" w:fill="FFFFFF"/>
            <w:tcMar>
              <w:left w:w="67" w:type="dxa"/>
              <w:right w:w="67" w:type="dxa"/>
            </w:tcMar>
          </w:tcPr>
          <w:p w14:paraId="4ABD839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1284 (45.53%)</w:t>
            </w:r>
          </w:p>
        </w:tc>
        <w:tc>
          <w:tcPr>
            <w:tcW w:w="1481" w:type="dxa"/>
            <w:tcBorders>
              <w:top w:val="nil"/>
              <w:left w:val="nil"/>
              <w:bottom w:val="nil"/>
              <w:right w:val="single" w:sz="11" w:space="0" w:color="000000"/>
            </w:tcBorders>
            <w:shd w:val="clear" w:color="auto" w:fill="FFFFFF"/>
            <w:tcMar>
              <w:left w:w="67" w:type="dxa"/>
              <w:right w:w="67" w:type="dxa"/>
            </w:tcMar>
          </w:tcPr>
          <w:p w14:paraId="636E9F1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7928 (45.23%)</w:t>
            </w:r>
          </w:p>
        </w:tc>
      </w:tr>
      <w:tr w:rsidR="00B77EA3" w:rsidRPr="0082484A" w14:paraId="05310BF1"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125635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Male</w:t>
            </w:r>
          </w:p>
        </w:tc>
        <w:tc>
          <w:tcPr>
            <w:tcW w:w="1439" w:type="dxa"/>
            <w:tcBorders>
              <w:top w:val="nil"/>
              <w:left w:val="nil"/>
              <w:bottom w:val="nil"/>
              <w:right w:val="nil"/>
            </w:tcBorders>
            <w:shd w:val="clear" w:color="auto" w:fill="FFFFFF"/>
            <w:tcMar>
              <w:left w:w="67" w:type="dxa"/>
              <w:right w:w="67" w:type="dxa"/>
            </w:tcMar>
          </w:tcPr>
          <w:p w14:paraId="025FD2B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2102 (53.94%)</w:t>
            </w:r>
          </w:p>
        </w:tc>
        <w:tc>
          <w:tcPr>
            <w:tcW w:w="1596" w:type="dxa"/>
            <w:tcBorders>
              <w:top w:val="nil"/>
              <w:left w:val="nil"/>
              <w:bottom w:val="nil"/>
              <w:right w:val="nil"/>
            </w:tcBorders>
            <w:shd w:val="clear" w:color="auto" w:fill="FFFFFF"/>
            <w:tcMar>
              <w:left w:w="67" w:type="dxa"/>
              <w:right w:w="67" w:type="dxa"/>
            </w:tcMar>
          </w:tcPr>
          <w:p w14:paraId="3122E05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2042 (54.38%)</w:t>
            </w:r>
          </w:p>
        </w:tc>
        <w:tc>
          <w:tcPr>
            <w:tcW w:w="1439" w:type="dxa"/>
            <w:tcBorders>
              <w:top w:val="nil"/>
              <w:left w:val="nil"/>
              <w:bottom w:val="nil"/>
              <w:right w:val="nil"/>
            </w:tcBorders>
            <w:shd w:val="clear" w:color="auto" w:fill="FFFFFF"/>
            <w:tcMar>
              <w:left w:w="67" w:type="dxa"/>
              <w:right w:w="67" w:type="dxa"/>
            </w:tcMar>
          </w:tcPr>
          <w:p w14:paraId="22043B4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1972 (53.97%)</w:t>
            </w:r>
          </w:p>
        </w:tc>
        <w:tc>
          <w:tcPr>
            <w:tcW w:w="1698" w:type="dxa"/>
            <w:tcBorders>
              <w:top w:val="nil"/>
              <w:left w:val="nil"/>
              <w:bottom w:val="nil"/>
              <w:right w:val="nil"/>
            </w:tcBorders>
            <w:shd w:val="clear" w:color="auto" w:fill="FFFFFF"/>
            <w:tcMar>
              <w:left w:w="67" w:type="dxa"/>
              <w:right w:w="67" w:type="dxa"/>
            </w:tcMar>
          </w:tcPr>
          <w:p w14:paraId="1761DD18"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1947 (57.25%)</w:t>
            </w:r>
          </w:p>
        </w:tc>
        <w:tc>
          <w:tcPr>
            <w:tcW w:w="1570" w:type="dxa"/>
            <w:tcBorders>
              <w:top w:val="nil"/>
              <w:left w:val="nil"/>
              <w:bottom w:val="nil"/>
              <w:right w:val="nil"/>
            </w:tcBorders>
            <w:shd w:val="clear" w:color="auto" w:fill="FFFFFF"/>
            <w:tcMar>
              <w:left w:w="67" w:type="dxa"/>
              <w:right w:w="67" w:type="dxa"/>
            </w:tcMar>
          </w:tcPr>
          <w:p w14:paraId="206BA93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1536 (54.47%)</w:t>
            </w:r>
          </w:p>
        </w:tc>
        <w:tc>
          <w:tcPr>
            <w:tcW w:w="1481" w:type="dxa"/>
            <w:tcBorders>
              <w:top w:val="nil"/>
              <w:left w:val="nil"/>
              <w:bottom w:val="nil"/>
              <w:right w:val="single" w:sz="11" w:space="0" w:color="000000"/>
            </w:tcBorders>
            <w:shd w:val="clear" w:color="auto" w:fill="FFFFFF"/>
            <w:tcMar>
              <w:left w:w="67" w:type="dxa"/>
              <w:right w:w="67" w:type="dxa"/>
            </w:tcMar>
          </w:tcPr>
          <w:p w14:paraId="5D46EE4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9599 (54.77%)</w:t>
            </w:r>
          </w:p>
        </w:tc>
      </w:tr>
      <w:tr w:rsidR="00B77EA3" w:rsidRPr="0082484A" w14:paraId="6BE63106"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5A3DBB7"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3A30DA0A"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96" w:type="dxa"/>
            <w:tcBorders>
              <w:top w:val="nil"/>
              <w:left w:val="nil"/>
              <w:bottom w:val="nil"/>
              <w:right w:val="nil"/>
            </w:tcBorders>
            <w:shd w:val="clear" w:color="auto" w:fill="FFFFFF"/>
            <w:tcMar>
              <w:left w:w="67" w:type="dxa"/>
              <w:right w:w="67" w:type="dxa"/>
            </w:tcMar>
          </w:tcPr>
          <w:p w14:paraId="7F29944F"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792BA35E"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698" w:type="dxa"/>
            <w:tcBorders>
              <w:top w:val="nil"/>
              <w:left w:val="nil"/>
              <w:bottom w:val="nil"/>
              <w:right w:val="nil"/>
            </w:tcBorders>
            <w:shd w:val="clear" w:color="auto" w:fill="FFFFFF"/>
            <w:tcMar>
              <w:left w:w="67" w:type="dxa"/>
              <w:right w:w="67" w:type="dxa"/>
            </w:tcMar>
          </w:tcPr>
          <w:p w14:paraId="1A2732FB"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70" w:type="dxa"/>
            <w:tcBorders>
              <w:top w:val="nil"/>
              <w:left w:val="nil"/>
              <w:bottom w:val="nil"/>
              <w:right w:val="nil"/>
            </w:tcBorders>
            <w:shd w:val="clear" w:color="auto" w:fill="FFFFFF"/>
            <w:tcMar>
              <w:left w:w="67" w:type="dxa"/>
              <w:right w:w="67" w:type="dxa"/>
            </w:tcMar>
          </w:tcPr>
          <w:p w14:paraId="6CDB74F6"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81" w:type="dxa"/>
            <w:tcBorders>
              <w:top w:val="nil"/>
              <w:left w:val="nil"/>
              <w:bottom w:val="nil"/>
              <w:right w:val="single" w:sz="11" w:space="0" w:color="000000"/>
            </w:tcBorders>
            <w:shd w:val="clear" w:color="auto" w:fill="FFFFFF"/>
            <w:tcMar>
              <w:left w:w="67" w:type="dxa"/>
              <w:right w:w="67" w:type="dxa"/>
            </w:tcMar>
          </w:tcPr>
          <w:p w14:paraId="3A2300E5"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r>
      <w:tr w:rsidR="00B77EA3" w:rsidRPr="0082484A" w14:paraId="477A2792"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8F3993B" w14:textId="77777777" w:rsidR="00B77EA3" w:rsidRPr="0082484A" w:rsidRDefault="00B77EA3" w:rsidP="00B77EA3">
            <w:pPr>
              <w:autoSpaceDE w:val="0"/>
              <w:autoSpaceDN w:val="0"/>
              <w:adjustRightInd w:val="0"/>
              <w:spacing w:before="67" w:after="67"/>
              <w:contextualSpacing/>
              <w:rPr>
                <w:rFonts w:eastAsiaTheme="minorEastAsia"/>
                <w:bCs/>
                <w:sz w:val="22"/>
                <w:szCs w:val="22"/>
                <w:lang w:eastAsia="en-GB"/>
              </w:rPr>
            </w:pPr>
            <w:r w:rsidRPr="0082484A">
              <w:rPr>
                <w:rFonts w:eastAsiaTheme="minorEastAsia"/>
                <w:bCs/>
                <w:sz w:val="22"/>
                <w:szCs w:val="22"/>
                <w:lang w:eastAsia="en-GB"/>
              </w:rPr>
              <w:t>Comorbidity</w:t>
            </w:r>
          </w:p>
        </w:tc>
        <w:tc>
          <w:tcPr>
            <w:tcW w:w="1439" w:type="dxa"/>
            <w:tcBorders>
              <w:top w:val="nil"/>
              <w:left w:val="nil"/>
              <w:bottom w:val="nil"/>
              <w:right w:val="nil"/>
            </w:tcBorders>
            <w:shd w:val="clear" w:color="auto" w:fill="FFFFFF"/>
            <w:tcMar>
              <w:left w:w="67" w:type="dxa"/>
              <w:right w:w="67" w:type="dxa"/>
            </w:tcMar>
          </w:tcPr>
          <w:p w14:paraId="344A558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96" w:type="dxa"/>
            <w:tcBorders>
              <w:top w:val="nil"/>
              <w:left w:val="nil"/>
              <w:bottom w:val="nil"/>
              <w:right w:val="nil"/>
            </w:tcBorders>
            <w:shd w:val="clear" w:color="auto" w:fill="FFFFFF"/>
            <w:tcMar>
              <w:left w:w="67" w:type="dxa"/>
              <w:right w:w="67" w:type="dxa"/>
            </w:tcMar>
          </w:tcPr>
          <w:p w14:paraId="22C122C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39" w:type="dxa"/>
            <w:tcBorders>
              <w:top w:val="nil"/>
              <w:left w:val="nil"/>
              <w:bottom w:val="nil"/>
              <w:right w:val="nil"/>
            </w:tcBorders>
            <w:shd w:val="clear" w:color="auto" w:fill="FFFFFF"/>
            <w:tcMar>
              <w:left w:w="67" w:type="dxa"/>
              <w:right w:w="67" w:type="dxa"/>
            </w:tcMar>
          </w:tcPr>
          <w:p w14:paraId="6660A96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698" w:type="dxa"/>
            <w:tcBorders>
              <w:top w:val="nil"/>
              <w:left w:val="nil"/>
              <w:bottom w:val="nil"/>
              <w:right w:val="nil"/>
            </w:tcBorders>
            <w:shd w:val="clear" w:color="auto" w:fill="FFFFFF"/>
            <w:tcMar>
              <w:left w:w="67" w:type="dxa"/>
              <w:right w:w="67" w:type="dxa"/>
            </w:tcMar>
          </w:tcPr>
          <w:p w14:paraId="254F9E3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570" w:type="dxa"/>
            <w:tcBorders>
              <w:top w:val="nil"/>
              <w:left w:val="nil"/>
              <w:bottom w:val="nil"/>
              <w:right w:val="nil"/>
            </w:tcBorders>
            <w:shd w:val="clear" w:color="auto" w:fill="FFFFFF"/>
            <w:tcMar>
              <w:left w:w="67" w:type="dxa"/>
              <w:right w:w="67" w:type="dxa"/>
            </w:tcMar>
          </w:tcPr>
          <w:p w14:paraId="7A75C75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c>
          <w:tcPr>
            <w:tcW w:w="1481" w:type="dxa"/>
            <w:tcBorders>
              <w:top w:val="nil"/>
              <w:left w:val="nil"/>
              <w:bottom w:val="nil"/>
              <w:right w:val="single" w:sz="11" w:space="0" w:color="000000"/>
            </w:tcBorders>
            <w:shd w:val="clear" w:color="auto" w:fill="FFFFFF"/>
            <w:tcMar>
              <w:left w:w="67" w:type="dxa"/>
              <w:right w:w="67" w:type="dxa"/>
            </w:tcMar>
          </w:tcPr>
          <w:p w14:paraId="136C9418"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p>
        </w:tc>
      </w:tr>
      <w:tr w:rsidR="00B77EA3" w:rsidRPr="0082484A" w14:paraId="1CA00893"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44CF77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0</w:t>
            </w:r>
          </w:p>
        </w:tc>
        <w:tc>
          <w:tcPr>
            <w:tcW w:w="1439" w:type="dxa"/>
            <w:tcBorders>
              <w:top w:val="nil"/>
              <w:left w:val="nil"/>
              <w:bottom w:val="nil"/>
              <w:right w:val="nil"/>
            </w:tcBorders>
            <w:shd w:val="clear" w:color="auto" w:fill="FFFFFF"/>
            <w:tcMar>
              <w:left w:w="67" w:type="dxa"/>
              <w:right w:w="67" w:type="dxa"/>
            </w:tcMar>
          </w:tcPr>
          <w:p w14:paraId="07BF3C0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258 (6.62%)</w:t>
            </w:r>
          </w:p>
        </w:tc>
        <w:tc>
          <w:tcPr>
            <w:tcW w:w="1596" w:type="dxa"/>
            <w:tcBorders>
              <w:top w:val="nil"/>
              <w:left w:val="nil"/>
              <w:bottom w:val="nil"/>
              <w:right w:val="nil"/>
            </w:tcBorders>
            <w:shd w:val="clear" w:color="auto" w:fill="FFFFFF"/>
            <w:tcMar>
              <w:left w:w="67" w:type="dxa"/>
              <w:right w:w="67" w:type="dxa"/>
            </w:tcMar>
          </w:tcPr>
          <w:p w14:paraId="4E6E5BD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246 (6.55%)</w:t>
            </w:r>
          </w:p>
        </w:tc>
        <w:tc>
          <w:tcPr>
            <w:tcW w:w="1439" w:type="dxa"/>
            <w:tcBorders>
              <w:top w:val="nil"/>
              <w:left w:val="nil"/>
              <w:bottom w:val="nil"/>
              <w:right w:val="nil"/>
            </w:tcBorders>
            <w:shd w:val="clear" w:color="auto" w:fill="FFFFFF"/>
            <w:tcMar>
              <w:left w:w="67" w:type="dxa"/>
              <w:right w:w="67" w:type="dxa"/>
            </w:tcMar>
          </w:tcPr>
          <w:p w14:paraId="7AC620A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224 (6.13%)</w:t>
            </w:r>
          </w:p>
        </w:tc>
        <w:tc>
          <w:tcPr>
            <w:tcW w:w="1698" w:type="dxa"/>
            <w:tcBorders>
              <w:top w:val="nil"/>
              <w:left w:val="nil"/>
              <w:bottom w:val="nil"/>
              <w:right w:val="nil"/>
            </w:tcBorders>
            <w:shd w:val="clear" w:color="auto" w:fill="FFFFFF"/>
            <w:tcMar>
              <w:left w:w="67" w:type="dxa"/>
              <w:right w:w="67" w:type="dxa"/>
            </w:tcMar>
          </w:tcPr>
          <w:p w14:paraId="1DDF361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226 (6.65%)</w:t>
            </w:r>
          </w:p>
        </w:tc>
        <w:tc>
          <w:tcPr>
            <w:tcW w:w="1570" w:type="dxa"/>
            <w:tcBorders>
              <w:top w:val="nil"/>
              <w:left w:val="nil"/>
              <w:bottom w:val="nil"/>
              <w:right w:val="nil"/>
            </w:tcBorders>
            <w:shd w:val="clear" w:color="auto" w:fill="FFFFFF"/>
            <w:tcMar>
              <w:left w:w="67" w:type="dxa"/>
              <w:right w:w="67" w:type="dxa"/>
            </w:tcMar>
          </w:tcPr>
          <w:p w14:paraId="172B6D7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174 (6.17%)</w:t>
            </w:r>
          </w:p>
        </w:tc>
        <w:tc>
          <w:tcPr>
            <w:tcW w:w="1481" w:type="dxa"/>
            <w:tcBorders>
              <w:top w:val="nil"/>
              <w:left w:val="nil"/>
              <w:bottom w:val="nil"/>
              <w:right w:val="single" w:sz="11" w:space="0" w:color="000000"/>
            </w:tcBorders>
            <w:shd w:val="clear" w:color="auto" w:fill="FFFFFF"/>
            <w:tcMar>
              <w:left w:w="67" w:type="dxa"/>
              <w:right w:w="67" w:type="dxa"/>
            </w:tcMar>
          </w:tcPr>
          <w:p w14:paraId="78136F41"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1128 (6.44%)</w:t>
            </w:r>
          </w:p>
        </w:tc>
      </w:tr>
      <w:tr w:rsidR="00B77EA3" w:rsidRPr="0082484A" w14:paraId="77B39F06"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275C1E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w:t>
            </w:r>
          </w:p>
        </w:tc>
        <w:tc>
          <w:tcPr>
            <w:tcW w:w="1439" w:type="dxa"/>
            <w:tcBorders>
              <w:top w:val="nil"/>
              <w:left w:val="nil"/>
              <w:bottom w:val="nil"/>
              <w:right w:val="nil"/>
            </w:tcBorders>
            <w:shd w:val="clear" w:color="auto" w:fill="FFFFFF"/>
            <w:tcMar>
              <w:left w:w="67" w:type="dxa"/>
              <w:right w:w="67" w:type="dxa"/>
            </w:tcMar>
          </w:tcPr>
          <w:p w14:paraId="3A9C6DD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377 (9.67%)</w:t>
            </w:r>
          </w:p>
        </w:tc>
        <w:tc>
          <w:tcPr>
            <w:tcW w:w="1596" w:type="dxa"/>
            <w:tcBorders>
              <w:top w:val="nil"/>
              <w:left w:val="nil"/>
              <w:bottom w:val="nil"/>
              <w:right w:val="nil"/>
            </w:tcBorders>
            <w:shd w:val="clear" w:color="auto" w:fill="FFFFFF"/>
            <w:tcMar>
              <w:left w:w="67" w:type="dxa"/>
              <w:right w:w="67" w:type="dxa"/>
            </w:tcMar>
          </w:tcPr>
          <w:p w14:paraId="1E2FCB4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338 (9.00%)</w:t>
            </w:r>
          </w:p>
        </w:tc>
        <w:tc>
          <w:tcPr>
            <w:tcW w:w="1439" w:type="dxa"/>
            <w:tcBorders>
              <w:top w:val="nil"/>
              <w:left w:val="nil"/>
              <w:bottom w:val="nil"/>
              <w:right w:val="nil"/>
            </w:tcBorders>
            <w:shd w:val="clear" w:color="auto" w:fill="FFFFFF"/>
            <w:tcMar>
              <w:left w:w="67" w:type="dxa"/>
              <w:right w:w="67" w:type="dxa"/>
            </w:tcMar>
          </w:tcPr>
          <w:p w14:paraId="2A95E5F1"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392 (10.73%)</w:t>
            </w:r>
          </w:p>
        </w:tc>
        <w:tc>
          <w:tcPr>
            <w:tcW w:w="1698" w:type="dxa"/>
            <w:tcBorders>
              <w:top w:val="nil"/>
              <w:left w:val="nil"/>
              <w:bottom w:val="nil"/>
              <w:right w:val="nil"/>
            </w:tcBorders>
            <w:shd w:val="clear" w:color="auto" w:fill="FFFFFF"/>
            <w:tcMar>
              <w:left w:w="67" w:type="dxa"/>
              <w:right w:w="67" w:type="dxa"/>
            </w:tcMar>
          </w:tcPr>
          <w:p w14:paraId="53A31A2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308 (9.06%)</w:t>
            </w:r>
          </w:p>
        </w:tc>
        <w:tc>
          <w:tcPr>
            <w:tcW w:w="1570" w:type="dxa"/>
            <w:tcBorders>
              <w:top w:val="nil"/>
              <w:left w:val="nil"/>
              <w:bottom w:val="nil"/>
              <w:right w:val="nil"/>
            </w:tcBorders>
            <w:shd w:val="clear" w:color="auto" w:fill="FFFFFF"/>
            <w:tcMar>
              <w:left w:w="67" w:type="dxa"/>
              <w:right w:w="67" w:type="dxa"/>
            </w:tcMar>
          </w:tcPr>
          <w:p w14:paraId="332F2E9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281 (9.96%)</w:t>
            </w:r>
          </w:p>
        </w:tc>
        <w:tc>
          <w:tcPr>
            <w:tcW w:w="1481" w:type="dxa"/>
            <w:tcBorders>
              <w:top w:val="nil"/>
              <w:left w:val="nil"/>
              <w:bottom w:val="nil"/>
              <w:right w:val="single" w:sz="11" w:space="0" w:color="000000"/>
            </w:tcBorders>
            <w:shd w:val="clear" w:color="auto" w:fill="FFFFFF"/>
            <w:tcMar>
              <w:left w:w="67" w:type="dxa"/>
              <w:right w:w="67" w:type="dxa"/>
            </w:tcMar>
          </w:tcPr>
          <w:p w14:paraId="341A802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1696 (9.68%)</w:t>
            </w:r>
          </w:p>
        </w:tc>
      </w:tr>
      <w:tr w:rsidR="00B77EA3" w:rsidRPr="0082484A" w14:paraId="58408F75"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0E8AC3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w:t>
            </w:r>
          </w:p>
        </w:tc>
        <w:tc>
          <w:tcPr>
            <w:tcW w:w="1439" w:type="dxa"/>
            <w:tcBorders>
              <w:top w:val="nil"/>
              <w:left w:val="nil"/>
              <w:bottom w:val="nil"/>
              <w:right w:val="nil"/>
            </w:tcBorders>
            <w:shd w:val="clear" w:color="auto" w:fill="FFFFFF"/>
            <w:tcMar>
              <w:left w:w="67" w:type="dxa"/>
              <w:right w:w="67" w:type="dxa"/>
            </w:tcMar>
          </w:tcPr>
          <w:p w14:paraId="3924216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640 (16.42%)</w:t>
            </w:r>
          </w:p>
        </w:tc>
        <w:tc>
          <w:tcPr>
            <w:tcW w:w="1596" w:type="dxa"/>
            <w:tcBorders>
              <w:top w:val="nil"/>
              <w:left w:val="nil"/>
              <w:bottom w:val="nil"/>
              <w:right w:val="nil"/>
            </w:tcBorders>
            <w:shd w:val="clear" w:color="auto" w:fill="FFFFFF"/>
            <w:tcMar>
              <w:left w:w="67" w:type="dxa"/>
              <w:right w:w="67" w:type="dxa"/>
            </w:tcMar>
          </w:tcPr>
          <w:p w14:paraId="3A237C8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600 (15.98%)</w:t>
            </w:r>
          </w:p>
        </w:tc>
        <w:tc>
          <w:tcPr>
            <w:tcW w:w="1439" w:type="dxa"/>
            <w:tcBorders>
              <w:top w:val="nil"/>
              <w:left w:val="nil"/>
              <w:bottom w:val="nil"/>
              <w:right w:val="nil"/>
            </w:tcBorders>
            <w:shd w:val="clear" w:color="auto" w:fill="FFFFFF"/>
            <w:tcMar>
              <w:left w:w="67" w:type="dxa"/>
              <w:right w:w="67" w:type="dxa"/>
            </w:tcMar>
          </w:tcPr>
          <w:p w14:paraId="7E6D6C1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683 (18.69%)</w:t>
            </w:r>
          </w:p>
        </w:tc>
        <w:tc>
          <w:tcPr>
            <w:tcW w:w="1698" w:type="dxa"/>
            <w:tcBorders>
              <w:top w:val="nil"/>
              <w:left w:val="nil"/>
              <w:bottom w:val="nil"/>
              <w:right w:val="nil"/>
            </w:tcBorders>
            <w:shd w:val="clear" w:color="auto" w:fill="FFFFFF"/>
            <w:tcMar>
              <w:left w:w="67" w:type="dxa"/>
              <w:right w:w="67" w:type="dxa"/>
            </w:tcMar>
          </w:tcPr>
          <w:p w14:paraId="46D94DE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580 (17.05%)</w:t>
            </w:r>
          </w:p>
        </w:tc>
        <w:tc>
          <w:tcPr>
            <w:tcW w:w="1570" w:type="dxa"/>
            <w:tcBorders>
              <w:top w:val="nil"/>
              <w:left w:val="nil"/>
              <w:bottom w:val="nil"/>
              <w:right w:val="nil"/>
            </w:tcBorders>
            <w:shd w:val="clear" w:color="auto" w:fill="FFFFFF"/>
            <w:tcMar>
              <w:left w:w="67" w:type="dxa"/>
              <w:right w:w="67" w:type="dxa"/>
            </w:tcMar>
          </w:tcPr>
          <w:p w14:paraId="198F82B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479 (16.99%)</w:t>
            </w:r>
          </w:p>
        </w:tc>
        <w:tc>
          <w:tcPr>
            <w:tcW w:w="1481" w:type="dxa"/>
            <w:tcBorders>
              <w:top w:val="nil"/>
              <w:left w:val="nil"/>
              <w:bottom w:val="nil"/>
              <w:right w:val="single" w:sz="11" w:space="0" w:color="000000"/>
            </w:tcBorders>
            <w:shd w:val="clear" w:color="auto" w:fill="FFFFFF"/>
            <w:tcMar>
              <w:left w:w="67" w:type="dxa"/>
              <w:right w:w="67" w:type="dxa"/>
            </w:tcMar>
          </w:tcPr>
          <w:p w14:paraId="3195BB5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2982 (17.01%)</w:t>
            </w:r>
          </w:p>
        </w:tc>
      </w:tr>
      <w:tr w:rsidR="00B77EA3" w:rsidRPr="0082484A" w14:paraId="06E31F11"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FCC64B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w:t>
            </w:r>
          </w:p>
        </w:tc>
        <w:tc>
          <w:tcPr>
            <w:tcW w:w="1439" w:type="dxa"/>
            <w:tcBorders>
              <w:top w:val="nil"/>
              <w:left w:val="nil"/>
              <w:bottom w:val="nil"/>
              <w:right w:val="nil"/>
            </w:tcBorders>
            <w:shd w:val="clear" w:color="auto" w:fill="FFFFFF"/>
            <w:tcMar>
              <w:left w:w="67" w:type="dxa"/>
              <w:right w:w="67" w:type="dxa"/>
            </w:tcMar>
          </w:tcPr>
          <w:p w14:paraId="1F40282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743 (19.07%)</w:t>
            </w:r>
          </w:p>
        </w:tc>
        <w:tc>
          <w:tcPr>
            <w:tcW w:w="1596" w:type="dxa"/>
            <w:tcBorders>
              <w:top w:val="nil"/>
              <w:left w:val="nil"/>
              <w:bottom w:val="nil"/>
              <w:right w:val="nil"/>
            </w:tcBorders>
            <w:shd w:val="clear" w:color="auto" w:fill="FFFFFF"/>
            <w:tcMar>
              <w:left w:w="67" w:type="dxa"/>
              <w:right w:w="67" w:type="dxa"/>
            </w:tcMar>
          </w:tcPr>
          <w:p w14:paraId="7B50528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636 (16.94%)</w:t>
            </w:r>
          </w:p>
        </w:tc>
        <w:tc>
          <w:tcPr>
            <w:tcW w:w="1439" w:type="dxa"/>
            <w:tcBorders>
              <w:top w:val="nil"/>
              <w:left w:val="nil"/>
              <w:bottom w:val="nil"/>
              <w:right w:val="nil"/>
            </w:tcBorders>
            <w:shd w:val="clear" w:color="auto" w:fill="FFFFFF"/>
            <w:tcMar>
              <w:left w:w="67" w:type="dxa"/>
              <w:right w:w="67" w:type="dxa"/>
            </w:tcMar>
          </w:tcPr>
          <w:p w14:paraId="537BDFE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647 (17.71%)</w:t>
            </w:r>
          </w:p>
        </w:tc>
        <w:tc>
          <w:tcPr>
            <w:tcW w:w="1698" w:type="dxa"/>
            <w:tcBorders>
              <w:top w:val="nil"/>
              <w:left w:val="nil"/>
              <w:bottom w:val="nil"/>
              <w:right w:val="nil"/>
            </w:tcBorders>
            <w:shd w:val="clear" w:color="auto" w:fill="FFFFFF"/>
            <w:tcMar>
              <w:left w:w="67" w:type="dxa"/>
              <w:right w:w="67" w:type="dxa"/>
            </w:tcMar>
          </w:tcPr>
          <w:p w14:paraId="5248DA4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617 (18.14%)</w:t>
            </w:r>
          </w:p>
        </w:tc>
        <w:tc>
          <w:tcPr>
            <w:tcW w:w="1570" w:type="dxa"/>
            <w:tcBorders>
              <w:top w:val="nil"/>
              <w:left w:val="nil"/>
              <w:bottom w:val="nil"/>
              <w:right w:val="nil"/>
            </w:tcBorders>
            <w:shd w:val="clear" w:color="auto" w:fill="FFFFFF"/>
            <w:tcMar>
              <w:left w:w="67" w:type="dxa"/>
              <w:right w:w="67" w:type="dxa"/>
            </w:tcMar>
          </w:tcPr>
          <w:p w14:paraId="4FEA0B2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450 (15.96%)</w:t>
            </w:r>
          </w:p>
        </w:tc>
        <w:tc>
          <w:tcPr>
            <w:tcW w:w="1481" w:type="dxa"/>
            <w:tcBorders>
              <w:top w:val="nil"/>
              <w:left w:val="nil"/>
              <w:bottom w:val="nil"/>
              <w:right w:val="single" w:sz="11" w:space="0" w:color="000000"/>
            </w:tcBorders>
            <w:shd w:val="clear" w:color="auto" w:fill="FFFFFF"/>
            <w:tcMar>
              <w:left w:w="67" w:type="dxa"/>
              <w:right w:w="67" w:type="dxa"/>
            </w:tcMar>
          </w:tcPr>
          <w:p w14:paraId="60BB276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3093 (17.65%)</w:t>
            </w:r>
          </w:p>
        </w:tc>
      </w:tr>
      <w:tr w:rsidR="00B77EA3" w:rsidRPr="0082484A" w14:paraId="6B7AD930"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522B8CB1"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w:t>
            </w:r>
          </w:p>
        </w:tc>
        <w:tc>
          <w:tcPr>
            <w:tcW w:w="1439" w:type="dxa"/>
            <w:tcBorders>
              <w:top w:val="nil"/>
              <w:left w:val="nil"/>
              <w:bottom w:val="nil"/>
              <w:right w:val="nil"/>
            </w:tcBorders>
            <w:shd w:val="clear" w:color="auto" w:fill="FFFFFF"/>
            <w:tcMar>
              <w:left w:w="67" w:type="dxa"/>
              <w:right w:w="67" w:type="dxa"/>
            </w:tcMar>
          </w:tcPr>
          <w:p w14:paraId="6BC1410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589 (15.11%)</w:t>
            </w:r>
          </w:p>
        </w:tc>
        <w:tc>
          <w:tcPr>
            <w:tcW w:w="1596" w:type="dxa"/>
            <w:tcBorders>
              <w:top w:val="nil"/>
              <w:left w:val="nil"/>
              <w:bottom w:val="nil"/>
              <w:right w:val="nil"/>
            </w:tcBorders>
            <w:shd w:val="clear" w:color="auto" w:fill="FFFFFF"/>
            <w:tcMar>
              <w:left w:w="67" w:type="dxa"/>
              <w:right w:w="67" w:type="dxa"/>
            </w:tcMar>
          </w:tcPr>
          <w:p w14:paraId="6FE7DA5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645 (17.18%)</w:t>
            </w:r>
          </w:p>
        </w:tc>
        <w:tc>
          <w:tcPr>
            <w:tcW w:w="1439" w:type="dxa"/>
            <w:tcBorders>
              <w:top w:val="nil"/>
              <w:left w:val="nil"/>
              <w:bottom w:val="nil"/>
              <w:right w:val="nil"/>
            </w:tcBorders>
            <w:shd w:val="clear" w:color="auto" w:fill="FFFFFF"/>
            <w:tcMar>
              <w:left w:w="67" w:type="dxa"/>
              <w:right w:w="67" w:type="dxa"/>
            </w:tcMar>
          </w:tcPr>
          <w:p w14:paraId="2CB03C1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561 (15.35%)</w:t>
            </w:r>
          </w:p>
        </w:tc>
        <w:tc>
          <w:tcPr>
            <w:tcW w:w="1698" w:type="dxa"/>
            <w:tcBorders>
              <w:top w:val="nil"/>
              <w:left w:val="nil"/>
              <w:bottom w:val="nil"/>
              <w:right w:val="nil"/>
            </w:tcBorders>
            <w:shd w:val="clear" w:color="auto" w:fill="FFFFFF"/>
            <w:tcMar>
              <w:left w:w="67" w:type="dxa"/>
              <w:right w:w="67" w:type="dxa"/>
            </w:tcMar>
          </w:tcPr>
          <w:p w14:paraId="7FFEC56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549 (16.14%)</w:t>
            </w:r>
          </w:p>
        </w:tc>
        <w:tc>
          <w:tcPr>
            <w:tcW w:w="1570" w:type="dxa"/>
            <w:tcBorders>
              <w:top w:val="nil"/>
              <w:left w:val="nil"/>
              <w:bottom w:val="nil"/>
              <w:right w:val="nil"/>
            </w:tcBorders>
            <w:shd w:val="clear" w:color="auto" w:fill="FFFFFF"/>
            <w:tcMar>
              <w:left w:w="67" w:type="dxa"/>
              <w:right w:w="67" w:type="dxa"/>
            </w:tcMar>
          </w:tcPr>
          <w:p w14:paraId="6BE8DCD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444 (15.74%)</w:t>
            </w:r>
          </w:p>
        </w:tc>
        <w:tc>
          <w:tcPr>
            <w:tcW w:w="1481" w:type="dxa"/>
            <w:tcBorders>
              <w:top w:val="nil"/>
              <w:left w:val="nil"/>
              <w:bottom w:val="nil"/>
              <w:right w:val="single" w:sz="11" w:space="0" w:color="000000"/>
            </w:tcBorders>
            <w:shd w:val="clear" w:color="auto" w:fill="FFFFFF"/>
            <w:tcMar>
              <w:left w:w="67" w:type="dxa"/>
              <w:right w:w="67" w:type="dxa"/>
            </w:tcMar>
          </w:tcPr>
          <w:p w14:paraId="5F6CC97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2788 (15.91%)</w:t>
            </w:r>
          </w:p>
        </w:tc>
      </w:tr>
      <w:tr w:rsidR="00B77EA3" w:rsidRPr="0082484A" w14:paraId="3F874D29"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62EAEE4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w:t>
            </w:r>
          </w:p>
        </w:tc>
        <w:tc>
          <w:tcPr>
            <w:tcW w:w="1439" w:type="dxa"/>
            <w:tcBorders>
              <w:top w:val="nil"/>
              <w:left w:val="nil"/>
              <w:bottom w:val="nil"/>
              <w:right w:val="nil"/>
            </w:tcBorders>
            <w:shd w:val="clear" w:color="auto" w:fill="FFFFFF"/>
            <w:tcMar>
              <w:left w:w="67" w:type="dxa"/>
              <w:right w:w="67" w:type="dxa"/>
            </w:tcMar>
          </w:tcPr>
          <w:p w14:paraId="69C45D6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562 (14.42%)</w:t>
            </w:r>
          </w:p>
        </w:tc>
        <w:tc>
          <w:tcPr>
            <w:tcW w:w="1596" w:type="dxa"/>
            <w:tcBorders>
              <w:top w:val="nil"/>
              <w:left w:val="nil"/>
              <w:bottom w:val="nil"/>
              <w:right w:val="nil"/>
            </w:tcBorders>
            <w:shd w:val="clear" w:color="auto" w:fill="FFFFFF"/>
            <w:tcMar>
              <w:left w:w="67" w:type="dxa"/>
              <w:right w:w="67" w:type="dxa"/>
            </w:tcMar>
          </w:tcPr>
          <w:p w14:paraId="2D4128E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518 (13.79%)</w:t>
            </w:r>
          </w:p>
        </w:tc>
        <w:tc>
          <w:tcPr>
            <w:tcW w:w="1439" w:type="dxa"/>
            <w:tcBorders>
              <w:top w:val="nil"/>
              <w:left w:val="nil"/>
              <w:bottom w:val="nil"/>
              <w:right w:val="nil"/>
            </w:tcBorders>
            <w:shd w:val="clear" w:color="auto" w:fill="FFFFFF"/>
            <w:tcMar>
              <w:left w:w="67" w:type="dxa"/>
              <w:right w:w="67" w:type="dxa"/>
            </w:tcMar>
          </w:tcPr>
          <w:p w14:paraId="37CB7EB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484 (13.25%)</w:t>
            </w:r>
          </w:p>
        </w:tc>
        <w:tc>
          <w:tcPr>
            <w:tcW w:w="1698" w:type="dxa"/>
            <w:tcBorders>
              <w:top w:val="nil"/>
              <w:left w:val="nil"/>
              <w:bottom w:val="nil"/>
              <w:right w:val="nil"/>
            </w:tcBorders>
            <w:shd w:val="clear" w:color="auto" w:fill="FFFFFF"/>
            <w:tcMar>
              <w:left w:w="67" w:type="dxa"/>
              <w:right w:w="67" w:type="dxa"/>
            </w:tcMar>
          </w:tcPr>
          <w:p w14:paraId="14C7EC13"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479 (14.08%)</w:t>
            </w:r>
          </w:p>
        </w:tc>
        <w:tc>
          <w:tcPr>
            <w:tcW w:w="1570" w:type="dxa"/>
            <w:tcBorders>
              <w:top w:val="nil"/>
              <w:left w:val="nil"/>
              <w:bottom w:val="nil"/>
              <w:right w:val="nil"/>
            </w:tcBorders>
            <w:shd w:val="clear" w:color="auto" w:fill="FFFFFF"/>
            <w:tcMar>
              <w:left w:w="67" w:type="dxa"/>
              <w:right w:w="67" w:type="dxa"/>
            </w:tcMar>
          </w:tcPr>
          <w:p w14:paraId="54B848F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423 (15.00%)</w:t>
            </w:r>
          </w:p>
        </w:tc>
        <w:tc>
          <w:tcPr>
            <w:tcW w:w="1481" w:type="dxa"/>
            <w:tcBorders>
              <w:top w:val="nil"/>
              <w:left w:val="nil"/>
              <w:bottom w:val="nil"/>
              <w:right w:val="single" w:sz="11" w:space="0" w:color="000000"/>
            </w:tcBorders>
            <w:shd w:val="clear" w:color="auto" w:fill="FFFFFF"/>
            <w:tcMar>
              <w:left w:w="67" w:type="dxa"/>
              <w:right w:w="67" w:type="dxa"/>
            </w:tcMar>
          </w:tcPr>
          <w:p w14:paraId="3CD481E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2466 (14.07%)</w:t>
            </w:r>
          </w:p>
        </w:tc>
      </w:tr>
      <w:tr w:rsidR="00B77EA3" w:rsidRPr="0082484A" w14:paraId="7CEE5830"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44A7EF1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w:t>
            </w:r>
          </w:p>
        </w:tc>
        <w:tc>
          <w:tcPr>
            <w:tcW w:w="1439" w:type="dxa"/>
            <w:tcBorders>
              <w:top w:val="nil"/>
              <w:left w:val="nil"/>
              <w:bottom w:val="nil"/>
              <w:right w:val="nil"/>
            </w:tcBorders>
            <w:shd w:val="clear" w:color="auto" w:fill="FFFFFF"/>
            <w:tcMar>
              <w:left w:w="67" w:type="dxa"/>
              <w:right w:w="67" w:type="dxa"/>
            </w:tcMar>
          </w:tcPr>
          <w:p w14:paraId="798D27D7"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392 (10.06%)</w:t>
            </w:r>
          </w:p>
        </w:tc>
        <w:tc>
          <w:tcPr>
            <w:tcW w:w="1596" w:type="dxa"/>
            <w:tcBorders>
              <w:top w:val="nil"/>
              <w:left w:val="nil"/>
              <w:bottom w:val="nil"/>
              <w:right w:val="nil"/>
            </w:tcBorders>
            <w:shd w:val="clear" w:color="auto" w:fill="FFFFFF"/>
            <w:tcMar>
              <w:left w:w="67" w:type="dxa"/>
              <w:right w:w="67" w:type="dxa"/>
            </w:tcMar>
          </w:tcPr>
          <w:p w14:paraId="373E4A0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408 (10.87%)</w:t>
            </w:r>
          </w:p>
        </w:tc>
        <w:tc>
          <w:tcPr>
            <w:tcW w:w="1439" w:type="dxa"/>
            <w:tcBorders>
              <w:top w:val="nil"/>
              <w:left w:val="nil"/>
              <w:bottom w:val="nil"/>
              <w:right w:val="nil"/>
            </w:tcBorders>
            <w:shd w:val="clear" w:color="auto" w:fill="FFFFFF"/>
            <w:tcMar>
              <w:left w:w="67" w:type="dxa"/>
              <w:right w:w="67" w:type="dxa"/>
            </w:tcMar>
          </w:tcPr>
          <w:p w14:paraId="6BABEB1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357 (9.77%)</w:t>
            </w:r>
          </w:p>
        </w:tc>
        <w:tc>
          <w:tcPr>
            <w:tcW w:w="1698" w:type="dxa"/>
            <w:tcBorders>
              <w:top w:val="nil"/>
              <w:left w:val="nil"/>
              <w:bottom w:val="nil"/>
              <w:right w:val="nil"/>
            </w:tcBorders>
            <w:shd w:val="clear" w:color="auto" w:fill="FFFFFF"/>
            <w:tcMar>
              <w:left w:w="67" w:type="dxa"/>
              <w:right w:w="67" w:type="dxa"/>
            </w:tcMar>
          </w:tcPr>
          <w:p w14:paraId="3D67337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370 (10.88%)</w:t>
            </w:r>
          </w:p>
        </w:tc>
        <w:tc>
          <w:tcPr>
            <w:tcW w:w="1570" w:type="dxa"/>
            <w:tcBorders>
              <w:top w:val="nil"/>
              <w:left w:val="nil"/>
              <w:bottom w:val="nil"/>
              <w:right w:val="nil"/>
            </w:tcBorders>
            <w:shd w:val="clear" w:color="auto" w:fill="FFFFFF"/>
            <w:tcMar>
              <w:left w:w="67" w:type="dxa"/>
              <w:right w:w="67" w:type="dxa"/>
            </w:tcMar>
          </w:tcPr>
          <w:p w14:paraId="3B2F23B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294 (10.43%)</w:t>
            </w:r>
          </w:p>
        </w:tc>
        <w:tc>
          <w:tcPr>
            <w:tcW w:w="1481" w:type="dxa"/>
            <w:tcBorders>
              <w:top w:val="nil"/>
              <w:left w:val="nil"/>
              <w:bottom w:val="nil"/>
              <w:right w:val="single" w:sz="11" w:space="0" w:color="000000"/>
            </w:tcBorders>
            <w:shd w:val="clear" w:color="auto" w:fill="FFFFFF"/>
            <w:tcMar>
              <w:left w:w="67" w:type="dxa"/>
              <w:right w:w="67" w:type="dxa"/>
            </w:tcMar>
          </w:tcPr>
          <w:p w14:paraId="1A7B07F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1821 (10.39%)</w:t>
            </w:r>
          </w:p>
        </w:tc>
      </w:tr>
      <w:tr w:rsidR="00B77EA3" w:rsidRPr="0082484A" w14:paraId="226AFFBE"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5EBA1D2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w:t>
            </w:r>
          </w:p>
        </w:tc>
        <w:tc>
          <w:tcPr>
            <w:tcW w:w="1439" w:type="dxa"/>
            <w:tcBorders>
              <w:top w:val="nil"/>
              <w:left w:val="nil"/>
              <w:bottom w:val="nil"/>
              <w:right w:val="nil"/>
            </w:tcBorders>
            <w:shd w:val="clear" w:color="auto" w:fill="FFFFFF"/>
            <w:tcMar>
              <w:left w:w="67" w:type="dxa"/>
              <w:right w:w="67" w:type="dxa"/>
            </w:tcMar>
          </w:tcPr>
          <w:p w14:paraId="24FC3FD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206 (5.29%)</w:t>
            </w:r>
          </w:p>
        </w:tc>
        <w:tc>
          <w:tcPr>
            <w:tcW w:w="1596" w:type="dxa"/>
            <w:tcBorders>
              <w:top w:val="nil"/>
              <w:left w:val="nil"/>
              <w:bottom w:val="nil"/>
              <w:right w:val="nil"/>
            </w:tcBorders>
            <w:shd w:val="clear" w:color="auto" w:fill="FFFFFF"/>
            <w:tcMar>
              <w:left w:w="67" w:type="dxa"/>
              <w:right w:w="67" w:type="dxa"/>
            </w:tcMar>
          </w:tcPr>
          <w:p w14:paraId="7C2A3EE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224 (5.97%)</w:t>
            </w:r>
          </w:p>
        </w:tc>
        <w:tc>
          <w:tcPr>
            <w:tcW w:w="1439" w:type="dxa"/>
            <w:tcBorders>
              <w:top w:val="nil"/>
              <w:left w:val="nil"/>
              <w:bottom w:val="nil"/>
              <w:right w:val="nil"/>
            </w:tcBorders>
            <w:shd w:val="clear" w:color="auto" w:fill="FFFFFF"/>
            <w:tcMar>
              <w:left w:w="67" w:type="dxa"/>
              <w:right w:w="67" w:type="dxa"/>
            </w:tcMar>
          </w:tcPr>
          <w:p w14:paraId="7BBBD9F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209 (5.72%)</w:t>
            </w:r>
          </w:p>
        </w:tc>
        <w:tc>
          <w:tcPr>
            <w:tcW w:w="1698" w:type="dxa"/>
            <w:tcBorders>
              <w:top w:val="nil"/>
              <w:left w:val="nil"/>
              <w:bottom w:val="nil"/>
              <w:right w:val="nil"/>
            </w:tcBorders>
            <w:shd w:val="clear" w:color="auto" w:fill="FFFFFF"/>
            <w:tcMar>
              <w:left w:w="67" w:type="dxa"/>
              <w:right w:w="67" w:type="dxa"/>
            </w:tcMar>
          </w:tcPr>
          <w:p w14:paraId="70A4CB0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170 (5.00%)</w:t>
            </w:r>
          </w:p>
        </w:tc>
        <w:tc>
          <w:tcPr>
            <w:tcW w:w="1570" w:type="dxa"/>
            <w:tcBorders>
              <w:top w:val="nil"/>
              <w:left w:val="nil"/>
              <w:bottom w:val="nil"/>
              <w:right w:val="nil"/>
            </w:tcBorders>
            <w:shd w:val="clear" w:color="auto" w:fill="FFFFFF"/>
            <w:tcMar>
              <w:left w:w="67" w:type="dxa"/>
              <w:right w:w="67" w:type="dxa"/>
            </w:tcMar>
          </w:tcPr>
          <w:p w14:paraId="7D0E2C6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161 (5.71%)</w:t>
            </w:r>
          </w:p>
        </w:tc>
        <w:tc>
          <w:tcPr>
            <w:tcW w:w="1481" w:type="dxa"/>
            <w:tcBorders>
              <w:top w:val="nil"/>
              <w:left w:val="nil"/>
              <w:bottom w:val="nil"/>
              <w:right w:val="single" w:sz="11" w:space="0" w:color="000000"/>
            </w:tcBorders>
            <w:shd w:val="clear" w:color="auto" w:fill="FFFFFF"/>
            <w:tcMar>
              <w:left w:w="67" w:type="dxa"/>
              <w:right w:w="67" w:type="dxa"/>
            </w:tcMar>
          </w:tcPr>
          <w:p w14:paraId="23CA494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970 (5.53%)</w:t>
            </w:r>
          </w:p>
        </w:tc>
      </w:tr>
      <w:tr w:rsidR="00B77EA3" w:rsidRPr="0082484A" w14:paraId="4F77A047"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DE1DDA8"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8</w:t>
            </w:r>
          </w:p>
        </w:tc>
        <w:tc>
          <w:tcPr>
            <w:tcW w:w="1439" w:type="dxa"/>
            <w:tcBorders>
              <w:top w:val="nil"/>
              <w:left w:val="nil"/>
              <w:bottom w:val="nil"/>
              <w:right w:val="nil"/>
            </w:tcBorders>
            <w:shd w:val="clear" w:color="auto" w:fill="FFFFFF"/>
            <w:tcMar>
              <w:left w:w="67" w:type="dxa"/>
              <w:right w:w="67" w:type="dxa"/>
            </w:tcMar>
          </w:tcPr>
          <w:p w14:paraId="5D017AB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90 (2.31%)</w:t>
            </w:r>
          </w:p>
        </w:tc>
        <w:tc>
          <w:tcPr>
            <w:tcW w:w="1596" w:type="dxa"/>
            <w:tcBorders>
              <w:top w:val="nil"/>
              <w:left w:val="nil"/>
              <w:bottom w:val="nil"/>
              <w:right w:val="nil"/>
            </w:tcBorders>
            <w:shd w:val="clear" w:color="auto" w:fill="FFFFFF"/>
            <w:tcMar>
              <w:left w:w="67" w:type="dxa"/>
              <w:right w:w="67" w:type="dxa"/>
            </w:tcMar>
          </w:tcPr>
          <w:p w14:paraId="1CCE25C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96 (2.56%)</w:t>
            </w:r>
          </w:p>
        </w:tc>
        <w:tc>
          <w:tcPr>
            <w:tcW w:w="1439" w:type="dxa"/>
            <w:tcBorders>
              <w:top w:val="nil"/>
              <w:left w:val="nil"/>
              <w:bottom w:val="nil"/>
              <w:right w:val="nil"/>
            </w:tcBorders>
            <w:shd w:val="clear" w:color="auto" w:fill="FFFFFF"/>
            <w:tcMar>
              <w:left w:w="67" w:type="dxa"/>
              <w:right w:w="67" w:type="dxa"/>
            </w:tcMar>
          </w:tcPr>
          <w:p w14:paraId="2B8C5F4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69 (1.89%)</w:t>
            </w:r>
          </w:p>
        </w:tc>
        <w:tc>
          <w:tcPr>
            <w:tcW w:w="1698" w:type="dxa"/>
            <w:tcBorders>
              <w:top w:val="nil"/>
              <w:left w:val="nil"/>
              <w:bottom w:val="nil"/>
              <w:right w:val="nil"/>
            </w:tcBorders>
            <w:shd w:val="clear" w:color="auto" w:fill="FFFFFF"/>
            <w:tcMar>
              <w:left w:w="67" w:type="dxa"/>
              <w:right w:w="67" w:type="dxa"/>
            </w:tcMar>
          </w:tcPr>
          <w:p w14:paraId="4330A0D4"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70 (2.06%)</w:t>
            </w:r>
          </w:p>
        </w:tc>
        <w:tc>
          <w:tcPr>
            <w:tcW w:w="1570" w:type="dxa"/>
            <w:tcBorders>
              <w:top w:val="nil"/>
              <w:left w:val="nil"/>
              <w:bottom w:val="nil"/>
              <w:right w:val="nil"/>
            </w:tcBorders>
            <w:shd w:val="clear" w:color="auto" w:fill="FFFFFF"/>
            <w:tcMar>
              <w:left w:w="67" w:type="dxa"/>
              <w:right w:w="67" w:type="dxa"/>
            </w:tcMar>
          </w:tcPr>
          <w:p w14:paraId="3B96C406"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87 (3.09%)</w:t>
            </w:r>
          </w:p>
        </w:tc>
        <w:tc>
          <w:tcPr>
            <w:tcW w:w="1481" w:type="dxa"/>
            <w:tcBorders>
              <w:top w:val="nil"/>
              <w:left w:val="nil"/>
              <w:bottom w:val="nil"/>
              <w:right w:val="single" w:sz="11" w:space="0" w:color="000000"/>
            </w:tcBorders>
            <w:shd w:val="clear" w:color="auto" w:fill="FFFFFF"/>
            <w:tcMar>
              <w:left w:w="67" w:type="dxa"/>
              <w:right w:w="67" w:type="dxa"/>
            </w:tcMar>
          </w:tcPr>
          <w:p w14:paraId="21EB004F"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412 (2.35%)</w:t>
            </w:r>
          </w:p>
        </w:tc>
      </w:tr>
      <w:tr w:rsidR="00B77EA3" w:rsidRPr="0082484A" w14:paraId="54807115"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3B4CABDE"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9</w:t>
            </w:r>
          </w:p>
        </w:tc>
        <w:tc>
          <w:tcPr>
            <w:tcW w:w="1439" w:type="dxa"/>
            <w:tcBorders>
              <w:top w:val="nil"/>
              <w:left w:val="nil"/>
              <w:bottom w:val="nil"/>
              <w:right w:val="nil"/>
            </w:tcBorders>
            <w:shd w:val="clear" w:color="auto" w:fill="FFFFFF"/>
            <w:tcMar>
              <w:left w:w="67" w:type="dxa"/>
              <w:right w:w="67" w:type="dxa"/>
            </w:tcMar>
          </w:tcPr>
          <w:p w14:paraId="076A48F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29 (0.74%)</w:t>
            </w:r>
          </w:p>
        </w:tc>
        <w:tc>
          <w:tcPr>
            <w:tcW w:w="1596" w:type="dxa"/>
            <w:tcBorders>
              <w:top w:val="nil"/>
              <w:left w:val="nil"/>
              <w:bottom w:val="nil"/>
              <w:right w:val="nil"/>
            </w:tcBorders>
            <w:shd w:val="clear" w:color="auto" w:fill="FFFFFF"/>
            <w:tcMar>
              <w:left w:w="67" w:type="dxa"/>
              <w:right w:w="67" w:type="dxa"/>
            </w:tcMar>
          </w:tcPr>
          <w:p w14:paraId="137D824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36 (0.96%)</w:t>
            </w:r>
          </w:p>
        </w:tc>
        <w:tc>
          <w:tcPr>
            <w:tcW w:w="1439" w:type="dxa"/>
            <w:tcBorders>
              <w:top w:val="nil"/>
              <w:left w:val="nil"/>
              <w:bottom w:val="nil"/>
              <w:right w:val="nil"/>
            </w:tcBorders>
            <w:shd w:val="clear" w:color="auto" w:fill="FFFFFF"/>
            <w:tcMar>
              <w:left w:w="67" w:type="dxa"/>
              <w:right w:w="67" w:type="dxa"/>
            </w:tcMar>
          </w:tcPr>
          <w:p w14:paraId="50FC664A"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25 (0.68%)</w:t>
            </w:r>
          </w:p>
        </w:tc>
        <w:tc>
          <w:tcPr>
            <w:tcW w:w="1698" w:type="dxa"/>
            <w:tcBorders>
              <w:top w:val="nil"/>
              <w:left w:val="nil"/>
              <w:bottom w:val="nil"/>
              <w:right w:val="nil"/>
            </w:tcBorders>
            <w:shd w:val="clear" w:color="auto" w:fill="FFFFFF"/>
            <w:tcMar>
              <w:left w:w="67" w:type="dxa"/>
              <w:right w:w="67" w:type="dxa"/>
            </w:tcMar>
          </w:tcPr>
          <w:p w14:paraId="7DED061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28 (0.82%)</w:t>
            </w:r>
          </w:p>
        </w:tc>
        <w:tc>
          <w:tcPr>
            <w:tcW w:w="1570" w:type="dxa"/>
            <w:tcBorders>
              <w:top w:val="nil"/>
              <w:left w:val="nil"/>
              <w:bottom w:val="nil"/>
              <w:right w:val="nil"/>
            </w:tcBorders>
            <w:shd w:val="clear" w:color="auto" w:fill="FFFFFF"/>
            <w:tcMar>
              <w:left w:w="67" w:type="dxa"/>
              <w:right w:w="67" w:type="dxa"/>
            </w:tcMar>
          </w:tcPr>
          <w:p w14:paraId="090E843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23 (0.82%)</w:t>
            </w:r>
          </w:p>
        </w:tc>
        <w:tc>
          <w:tcPr>
            <w:tcW w:w="1481" w:type="dxa"/>
            <w:tcBorders>
              <w:top w:val="nil"/>
              <w:left w:val="nil"/>
              <w:bottom w:val="nil"/>
              <w:right w:val="single" w:sz="11" w:space="0" w:color="000000"/>
            </w:tcBorders>
            <w:shd w:val="clear" w:color="auto" w:fill="FFFFFF"/>
            <w:tcMar>
              <w:left w:w="67" w:type="dxa"/>
              <w:right w:w="67" w:type="dxa"/>
            </w:tcMar>
          </w:tcPr>
          <w:p w14:paraId="0CF2AA6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141 (0.80%)</w:t>
            </w:r>
          </w:p>
        </w:tc>
      </w:tr>
      <w:tr w:rsidR="00B77EA3" w:rsidRPr="0082484A" w14:paraId="592B702E"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5E7F24E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10</w:t>
            </w:r>
          </w:p>
        </w:tc>
        <w:tc>
          <w:tcPr>
            <w:tcW w:w="1439" w:type="dxa"/>
            <w:tcBorders>
              <w:top w:val="nil"/>
              <w:left w:val="nil"/>
              <w:bottom w:val="nil"/>
              <w:right w:val="nil"/>
            </w:tcBorders>
            <w:shd w:val="clear" w:color="auto" w:fill="FFFFFF"/>
            <w:tcMar>
              <w:left w:w="67" w:type="dxa"/>
              <w:right w:w="67" w:type="dxa"/>
            </w:tcMar>
          </w:tcPr>
          <w:p w14:paraId="4EB73F1B"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10 (0.26%)</w:t>
            </w:r>
          </w:p>
        </w:tc>
        <w:tc>
          <w:tcPr>
            <w:tcW w:w="1596" w:type="dxa"/>
            <w:tcBorders>
              <w:top w:val="nil"/>
              <w:left w:val="nil"/>
              <w:bottom w:val="nil"/>
              <w:right w:val="nil"/>
            </w:tcBorders>
            <w:shd w:val="clear" w:color="auto" w:fill="FFFFFF"/>
            <w:tcMar>
              <w:left w:w="67" w:type="dxa"/>
              <w:right w:w="67" w:type="dxa"/>
            </w:tcMar>
          </w:tcPr>
          <w:p w14:paraId="66FCC77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7 (0.19%)</w:t>
            </w:r>
          </w:p>
        </w:tc>
        <w:tc>
          <w:tcPr>
            <w:tcW w:w="1439" w:type="dxa"/>
            <w:tcBorders>
              <w:top w:val="nil"/>
              <w:left w:val="nil"/>
              <w:bottom w:val="nil"/>
              <w:right w:val="nil"/>
            </w:tcBorders>
            <w:shd w:val="clear" w:color="auto" w:fill="FFFFFF"/>
            <w:tcMar>
              <w:left w:w="67" w:type="dxa"/>
              <w:right w:w="67" w:type="dxa"/>
            </w:tcMar>
          </w:tcPr>
          <w:p w14:paraId="0A7C5C0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 (0.08%)</w:t>
            </w:r>
          </w:p>
        </w:tc>
        <w:tc>
          <w:tcPr>
            <w:tcW w:w="1698" w:type="dxa"/>
            <w:tcBorders>
              <w:top w:val="nil"/>
              <w:left w:val="nil"/>
              <w:bottom w:val="nil"/>
              <w:right w:val="nil"/>
            </w:tcBorders>
            <w:shd w:val="clear" w:color="auto" w:fill="FFFFFF"/>
            <w:tcMar>
              <w:left w:w="67" w:type="dxa"/>
              <w:right w:w="67" w:type="dxa"/>
            </w:tcMar>
          </w:tcPr>
          <w:p w14:paraId="5FE406F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 (0.03%)</w:t>
            </w:r>
          </w:p>
        </w:tc>
        <w:tc>
          <w:tcPr>
            <w:tcW w:w="1570" w:type="dxa"/>
            <w:tcBorders>
              <w:top w:val="nil"/>
              <w:left w:val="nil"/>
              <w:bottom w:val="nil"/>
              <w:right w:val="nil"/>
            </w:tcBorders>
            <w:shd w:val="clear" w:color="auto" w:fill="FFFFFF"/>
            <w:tcMar>
              <w:left w:w="67" w:type="dxa"/>
              <w:right w:w="67" w:type="dxa"/>
            </w:tcMar>
          </w:tcPr>
          <w:p w14:paraId="49EBD399"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4 (0.14%)</w:t>
            </w:r>
          </w:p>
        </w:tc>
        <w:tc>
          <w:tcPr>
            <w:tcW w:w="1481" w:type="dxa"/>
            <w:tcBorders>
              <w:top w:val="nil"/>
              <w:left w:val="nil"/>
              <w:bottom w:val="nil"/>
              <w:right w:val="single" w:sz="11" w:space="0" w:color="000000"/>
            </w:tcBorders>
            <w:shd w:val="clear" w:color="auto" w:fill="FFFFFF"/>
            <w:tcMar>
              <w:left w:w="67" w:type="dxa"/>
              <w:right w:w="67" w:type="dxa"/>
            </w:tcMar>
          </w:tcPr>
          <w:p w14:paraId="7721725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25 (0.14%)</w:t>
            </w:r>
          </w:p>
        </w:tc>
      </w:tr>
      <w:tr w:rsidR="00B77EA3" w:rsidRPr="0082484A" w14:paraId="3E36C7CB" w14:textId="77777777" w:rsidTr="00B77EA3">
        <w:trPr>
          <w:cantSplit/>
          <w:jc w:val="center"/>
        </w:trPr>
        <w:tc>
          <w:tcPr>
            <w:tcW w:w="1531" w:type="dxa"/>
            <w:tcBorders>
              <w:top w:val="nil"/>
              <w:left w:val="single" w:sz="11" w:space="0" w:color="000000"/>
              <w:bottom w:val="nil"/>
              <w:right w:val="nil"/>
            </w:tcBorders>
            <w:shd w:val="clear" w:color="auto" w:fill="FFFFFF"/>
            <w:tcMar>
              <w:left w:w="67" w:type="dxa"/>
              <w:right w:w="67" w:type="dxa"/>
            </w:tcMar>
          </w:tcPr>
          <w:p w14:paraId="727B7E22"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11</w:t>
            </w:r>
          </w:p>
        </w:tc>
        <w:tc>
          <w:tcPr>
            <w:tcW w:w="1439" w:type="dxa"/>
            <w:tcBorders>
              <w:top w:val="nil"/>
              <w:left w:val="nil"/>
              <w:bottom w:val="nil"/>
              <w:right w:val="nil"/>
            </w:tcBorders>
            <w:shd w:val="clear" w:color="auto" w:fill="FFFFFF"/>
            <w:tcMar>
              <w:left w:w="67" w:type="dxa"/>
              <w:right w:w="67" w:type="dxa"/>
            </w:tcMar>
          </w:tcPr>
          <w:p w14:paraId="06A2CE0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 (0.03%)</w:t>
            </w:r>
          </w:p>
        </w:tc>
        <w:tc>
          <w:tcPr>
            <w:tcW w:w="1596" w:type="dxa"/>
            <w:tcBorders>
              <w:top w:val="nil"/>
              <w:left w:val="nil"/>
              <w:bottom w:val="nil"/>
              <w:right w:val="nil"/>
            </w:tcBorders>
            <w:shd w:val="clear" w:color="auto" w:fill="FFFFFF"/>
            <w:tcMar>
              <w:left w:w="67" w:type="dxa"/>
              <w:right w:w="67" w:type="dxa"/>
            </w:tcMar>
          </w:tcPr>
          <w:p w14:paraId="2EC57BFD"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1 (0.03%)</w:t>
            </w:r>
          </w:p>
        </w:tc>
        <w:tc>
          <w:tcPr>
            <w:tcW w:w="1439" w:type="dxa"/>
            <w:tcBorders>
              <w:top w:val="nil"/>
              <w:left w:val="nil"/>
              <w:bottom w:val="nil"/>
              <w:right w:val="nil"/>
            </w:tcBorders>
            <w:shd w:val="clear" w:color="auto" w:fill="FFFFFF"/>
            <w:tcMar>
              <w:left w:w="67" w:type="dxa"/>
              <w:right w:w="67" w:type="dxa"/>
            </w:tcMar>
          </w:tcPr>
          <w:p w14:paraId="69327645"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0 (0.00%)</w:t>
            </w:r>
          </w:p>
        </w:tc>
        <w:tc>
          <w:tcPr>
            <w:tcW w:w="1698" w:type="dxa"/>
            <w:tcBorders>
              <w:top w:val="nil"/>
              <w:left w:val="nil"/>
              <w:bottom w:val="nil"/>
              <w:right w:val="nil"/>
            </w:tcBorders>
            <w:shd w:val="clear" w:color="auto" w:fill="FFFFFF"/>
            <w:tcMar>
              <w:left w:w="67" w:type="dxa"/>
              <w:right w:w="67" w:type="dxa"/>
            </w:tcMar>
          </w:tcPr>
          <w:p w14:paraId="4FF01B58"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3 (0.09%)</w:t>
            </w:r>
          </w:p>
        </w:tc>
        <w:tc>
          <w:tcPr>
            <w:tcW w:w="1570" w:type="dxa"/>
            <w:tcBorders>
              <w:top w:val="nil"/>
              <w:left w:val="nil"/>
              <w:bottom w:val="nil"/>
              <w:right w:val="nil"/>
            </w:tcBorders>
            <w:shd w:val="clear" w:color="auto" w:fill="FFFFFF"/>
            <w:tcMar>
              <w:left w:w="67" w:type="dxa"/>
              <w:right w:w="67" w:type="dxa"/>
            </w:tcMar>
          </w:tcPr>
          <w:p w14:paraId="4955D67C"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0 (0.00%)</w:t>
            </w:r>
          </w:p>
        </w:tc>
        <w:tc>
          <w:tcPr>
            <w:tcW w:w="1481" w:type="dxa"/>
            <w:tcBorders>
              <w:top w:val="nil"/>
              <w:left w:val="nil"/>
              <w:bottom w:val="nil"/>
              <w:right w:val="single" w:sz="11" w:space="0" w:color="000000"/>
            </w:tcBorders>
            <w:shd w:val="clear" w:color="auto" w:fill="FFFFFF"/>
            <w:tcMar>
              <w:left w:w="67" w:type="dxa"/>
              <w:right w:w="67" w:type="dxa"/>
            </w:tcMar>
          </w:tcPr>
          <w:p w14:paraId="7D1232E0" w14:textId="77777777" w:rsidR="00B77EA3" w:rsidRPr="0082484A" w:rsidRDefault="00B77EA3" w:rsidP="00B77EA3">
            <w:pPr>
              <w:autoSpaceDE w:val="0"/>
              <w:autoSpaceDN w:val="0"/>
              <w:adjustRightInd w:val="0"/>
              <w:spacing w:before="67" w:after="67"/>
              <w:contextualSpacing/>
              <w:rPr>
                <w:rFonts w:eastAsiaTheme="minorEastAsia"/>
                <w:sz w:val="22"/>
                <w:szCs w:val="22"/>
                <w:lang w:eastAsia="en-GB"/>
              </w:rPr>
            </w:pPr>
            <w:r w:rsidRPr="0082484A">
              <w:rPr>
                <w:rFonts w:eastAsiaTheme="minorEastAsia"/>
                <w:sz w:val="22"/>
                <w:szCs w:val="22"/>
                <w:lang w:eastAsia="en-GB"/>
              </w:rPr>
              <w:t>5 (0.03%)</w:t>
            </w:r>
          </w:p>
        </w:tc>
      </w:tr>
      <w:tr w:rsidR="00B77EA3" w:rsidRPr="0082484A" w14:paraId="78754764" w14:textId="77777777" w:rsidTr="00B77EA3">
        <w:trPr>
          <w:cantSplit/>
          <w:jc w:val="center"/>
        </w:trPr>
        <w:tc>
          <w:tcPr>
            <w:tcW w:w="1531" w:type="dxa"/>
            <w:tcBorders>
              <w:top w:val="nil"/>
              <w:left w:val="single" w:sz="11" w:space="0" w:color="000000"/>
              <w:bottom w:val="single" w:sz="11" w:space="0" w:color="000000"/>
              <w:right w:val="nil"/>
            </w:tcBorders>
            <w:shd w:val="clear" w:color="auto" w:fill="FFFFFF"/>
            <w:tcMar>
              <w:left w:w="67" w:type="dxa"/>
              <w:right w:w="67" w:type="dxa"/>
            </w:tcMar>
          </w:tcPr>
          <w:p w14:paraId="569B7982"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single" w:sz="11" w:space="0" w:color="000000"/>
              <w:right w:val="nil"/>
            </w:tcBorders>
            <w:shd w:val="clear" w:color="auto" w:fill="FFFFFF"/>
            <w:tcMar>
              <w:left w:w="67" w:type="dxa"/>
              <w:right w:w="67" w:type="dxa"/>
            </w:tcMar>
          </w:tcPr>
          <w:p w14:paraId="25914400"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96" w:type="dxa"/>
            <w:tcBorders>
              <w:top w:val="nil"/>
              <w:left w:val="nil"/>
              <w:bottom w:val="single" w:sz="11" w:space="0" w:color="000000"/>
              <w:right w:val="nil"/>
            </w:tcBorders>
            <w:shd w:val="clear" w:color="auto" w:fill="FFFFFF"/>
            <w:tcMar>
              <w:left w:w="67" w:type="dxa"/>
              <w:right w:w="67" w:type="dxa"/>
            </w:tcMar>
          </w:tcPr>
          <w:p w14:paraId="50EA6A53"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39" w:type="dxa"/>
            <w:tcBorders>
              <w:top w:val="nil"/>
              <w:left w:val="nil"/>
              <w:bottom w:val="single" w:sz="11" w:space="0" w:color="000000"/>
              <w:right w:val="nil"/>
            </w:tcBorders>
            <w:shd w:val="clear" w:color="auto" w:fill="FFFFFF"/>
            <w:tcMar>
              <w:left w:w="67" w:type="dxa"/>
              <w:right w:w="67" w:type="dxa"/>
            </w:tcMar>
          </w:tcPr>
          <w:p w14:paraId="4BFDC014"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698" w:type="dxa"/>
            <w:tcBorders>
              <w:top w:val="nil"/>
              <w:left w:val="nil"/>
              <w:bottom w:val="single" w:sz="11" w:space="0" w:color="000000"/>
              <w:right w:val="nil"/>
            </w:tcBorders>
            <w:shd w:val="clear" w:color="auto" w:fill="FFFFFF"/>
            <w:tcMar>
              <w:left w:w="67" w:type="dxa"/>
              <w:right w:w="67" w:type="dxa"/>
            </w:tcMar>
          </w:tcPr>
          <w:p w14:paraId="60BE9582"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570" w:type="dxa"/>
            <w:tcBorders>
              <w:top w:val="nil"/>
              <w:left w:val="nil"/>
              <w:bottom w:val="single" w:sz="11" w:space="0" w:color="000000"/>
              <w:right w:val="nil"/>
            </w:tcBorders>
            <w:shd w:val="clear" w:color="auto" w:fill="FFFFFF"/>
            <w:tcMar>
              <w:left w:w="67" w:type="dxa"/>
              <w:right w:w="67" w:type="dxa"/>
            </w:tcMar>
          </w:tcPr>
          <w:p w14:paraId="0A7A78B1"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c>
          <w:tcPr>
            <w:tcW w:w="1481" w:type="dxa"/>
            <w:tcBorders>
              <w:top w:val="nil"/>
              <w:left w:val="nil"/>
              <w:bottom w:val="single" w:sz="11" w:space="0" w:color="000000"/>
              <w:right w:val="single" w:sz="11" w:space="0" w:color="000000"/>
            </w:tcBorders>
            <w:shd w:val="clear" w:color="auto" w:fill="FFFFFF"/>
            <w:tcMar>
              <w:left w:w="67" w:type="dxa"/>
              <w:right w:w="67" w:type="dxa"/>
            </w:tcMar>
          </w:tcPr>
          <w:p w14:paraId="1774D753" w14:textId="77777777" w:rsidR="00B77EA3" w:rsidRPr="0082484A" w:rsidRDefault="00B77EA3" w:rsidP="00B77EA3">
            <w:pPr>
              <w:autoSpaceDE w:val="0"/>
              <w:autoSpaceDN w:val="0"/>
              <w:adjustRightInd w:val="0"/>
              <w:spacing w:before="67" w:after="67"/>
              <w:contextualSpacing/>
              <w:rPr>
                <w:rFonts w:eastAsiaTheme="minorEastAsia"/>
                <w:color w:val="FF0000"/>
                <w:sz w:val="22"/>
                <w:szCs w:val="22"/>
                <w:lang w:eastAsia="en-GB"/>
              </w:rPr>
            </w:pPr>
          </w:p>
        </w:tc>
      </w:tr>
    </w:tbl>
    <w:p w14:paraId="4640C907" w14:textId="77777777" w:rsidR="00B77EA3" w:rsidRPr="0082484A" w:rsidRDefault="00B77EA3" w:rsidP="00B77EA3">
      <w:pPr>
        <w:contextualSpacing/>
        <w:rPr>
          <w:color w:val="FF0000"/>
          <w:sz w:val="22"/>
          <w:szCs w:val="22"/>
        </w:rPr>
      </w:pPr>
    </w:p>
    <w:p w14:paraId="3E6CFB91" w14:textId="77777777" w:rsidR="009A3C2D" w:rsidRPr="0082484A" w:rsidRDefault="009A3C2D" w:rsidP="00B77EA3">
      <w:pPr>
        <w:spacing w:after="200"/>
        <w:rPr>
          <w:sz w:val="22"/>
          <w:szCs w:val="22"/>
        </w:rPr>
        <w:sectPr w:rsidR="009A3C2D" w:rsidRPr="0082484A" w:rsidSect="009A3C2D">
          <w:pgSz w:w="11906" w:h="16838"/>
          <w:pgMar w:top="1440" w:right="1440" w:bottom="1440" w:left="1440" w:header="708" w:footer="708" w:gutter="0"/>
          <w:cols w:space="708"/>
          <w:docGrid w:linePitch="360"/>
        </w:sectPr>
      </w:pPr>
    </w:p>
    <w:p w14:paraId="56A80F34" w14:textId="2E6E76A8" w:rsidR="00B77EA3" w:rsidRPr="0082484A" w:rsidRDefault="00B77EA3" w:rsidP="00B77EA3">
      <w:pPr>
        <w:spacing w:before="0" w:line="240" w:lineRule="auto"/>
        <w:rPr>
          <w:bCs/>
          <w:sz w:val="22"/>
          <w:szCs w:val="22"/>
        </w:rPr>
      </w:pPr>
      <w:bookmarkStart w:id="46" w:name="_Ref502917760"/>
      <w:bookmarkStart w:id="47" w:name="_Toc8728087"/>
      <w:bookmarkStart w:id="48" w:name="_Toc19526742"/>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13</w:t>
      </w:r>
      <w:r w:rsidRPr="0082484A">
        <w:rPr>
          <w:bCs/>
          <w:noProof/>
          <w:sz w:val="22"/>
          <w:szCs w:val="22"/>
        </w:rPr>
        <w:fldChar w:fldCharType="end"/>
      </w:r>
      <w:bookmarkEnd w:id="46"/>
      <w:r w:rsidRPr="0082484A">
        <w:rPr>
          <w:bCs/>
          <w:sz w:val="22"/>
          <w:szCs w:val="22"/>
        </w:rPr>
        <w:t>: Secondary outcome for Trial 1: The proportion of patients with Type 2 diabetes achieving blood pressure below 140/80 mmHg (or 130/80 mmHg if there is kidney, eye or cerebrovascular damage) (WP4)</w:t>
      </w:r>
      <w:r w:rsidRPr="0082484A">
        <w:rPr>
          <w:bCs/>
          <w:sz w:val="22"/>
          <w:szCs w:val="22"/>
          <w:vertAlign w:val="superscript"/>
        </w:rPr>
        <w:t xml:space="preserve"> a</w:t>
      </w:r>
      <w:bookmarkEnd w:id="47"/>
      <w:bookmarkEnd w:id="48"/>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6A31BB37"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85C1064" w14:textId="77777777" w:rsidR="00B77EA3" w:rsidRPr="0082484A" w:rsidRDefault="00B77EA3" w:rsidP="00B77EA3">
            <w:pPr>
              <w:adjustRightInd w:val="0"/>
              <w:spacing w:beforeLines="20" w:before="48" w:afterLines="20" w:after="48" w:line="240" w:lineRule="auto"/>
              <w:contextualSpacing/>
              <w:rPr>
                <w:bCs/>
                <w:sz w:val="22"/>
                <w:szCs w:val="22"/>
              </w:rPr>
            </w:pPr>
            <w:bookmarkStart w:id="49" w:name="IDX49"/>
            <w:bookmarkEnd w:id="49"/>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EED7F47" w14:textId="77777777" w:rsidR="00B77EA3" w:rsidRPr="0082484A" w:rsidRDefault="00B77EA3" w:rsidP="00B77EA3">
            <w:pPr>
              <w:adjustRightInd w:val="0"/>
              <w:spacing w:beforeLines="20" w:before="48" w:afterLines="20" w:after="48" w:line="240" w:lineRule="auto"/>
              <w:contextualSpacing/>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38B46B"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26E1663"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45D7934"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0FFA44D"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A4ED161"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CC31A95"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3DF7D47"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FD5DAA5" w14:textId="77777777" w:rsidR="00B77EA3" w:rsidRPr="0082484A" w:rsidRDefault="00B77EA3" w:rsidP="00B77EA3">
            <w:pPr>
              <w:adjustRightInd w:val="0"/>
              <w:spacing w:beforeLines="20" w:before="48" w:afterLines="20" w:after="48" w:line="240" w:lineRule="auto"/>
              <w:contextualSpacing/>
              <w:jc w:val="center"/>
              <w:rPr>
                <w:bCs/>
                <w:sz w:val="22"/>
                <w:szCs w:val="22"/>
              </w:rPr>
            </w:pPr>
            <w:r w:rsidRPr="0082484A">
              <w:rPr>
                <w:bCs/>
                <w:sz w:val="22"/>
                <w:szCs w:val="22"/>
              </w:rPr>
              <w:t>P-value</w:t>
            </w:r>
          </w:p>
        </w:tc>
      </w:tr>
      <w:tr w:rsidR="00B77EA3" w:rsidRPr="0082484A" w14:paraId="7EBC83B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0E80D9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15D2C5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implementation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5E7A2BE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0.0241</w:t>
            </w:r>
          </w:p>
        </w:tc>
        <w:tc>
          <w:tcPr>
            <w:tcW w:w="1134" w:type="dxa"/>
            <w:tcBorders>
              <w:top w:val="nil"/>
              <w:left w:val="nil"/>
              <w:bottom w:val="nil"/>
              <w:right w:val="nil"/>
            </w:tcBorders>
            <w:shd w:val="clear" w:color="auto" w:fill="FFFFFF"/>
            <w:tcMar>
              <w:left w:w="67" w:type="dxa"/>
              <w:right w:w="67" w:type="dxa"/>
            </w:tcMar>
            <w:vAlign w:val="center"/>
          </w:tcPr>
          <w:p w14:paraId="0FF39FF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0.0862</w:t>
            </w:r>
          </w:p>
        </w:tc>
        <w:tc>
          <w:tcPr>
            <w:tcW w:w="1134" w:type="dxa"/>
            <w:tcBorders>
              <w:top w:val="nil"/>
              <w:left w:val="nil"/>
              <w:bottom w:val="nil"/>
              <w:right w:val="nil"/>
            </w:tcBorders>
            <w:shd w:val="clear" w:color="auto" w:fill="FFFFFF"/>
            <w:tcMar>
              <w:left w:w="67" w:type="dxa"/>
              <w:right w:w="67" w:type="dxa"/>
            </w:tcMar>
            <w:vAlign w:val="center"/>
          </w:tcPr>
          <w:p w14:paraId="104C155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1.0244</w:t>
            </w:r>
          </w:p>
        </w:tc>
        <w:tc>
          <w:tcPr>
            <w:tcW w:w="1134" w:type="dxa"/>
            <w:tcBorders>
              <w:top w:val="nil"/>
              <w:left w:val="nil"/>
              <w:bottom w:val="nil"/>
              <w:right w:val="nil"/>
            </w:tcBorders>
            <w:shd w:val="clear" w:color="auto" w:fill="FFFFFF"/>
            <w:tcMar>
              <w:left w:w="67" w:type="dxa"/>
              <w:right w:w="67" w:type="dxa"/>
            </w:tcMar>
            <w:vAlign w:val="center"/>
          </w:tcPr>
          <w:p w14:paraId="51DC02F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0.8443</w:t>
            </w:r>
          </w:p>
        </w:tc>
        <w:tc>
          <w:tcPr>
            <w:tcW w:w="1134" w:type="dxa"/>
            <w:tcBorders>
              <w:top w:val="nil"/>
              <w:left w:val="nil"/>
              <w:bottom w:val="nil"/>
              <w:right w:val="nil"/>
            </w:tcBorders>
            <w:shd w:val="clear" w:color="auto" w:fill="FFFFFF"/>
            <w:tcMar>
              <w:left w:w="67" w:type="dxa"/>
              <w:right w:w="67" w:type="dxa"/>
            </w:tcMar>
            <w:vAlign w:val="center"/>
          </w:tcPr>
          <w:p w14:paraId="006BE0A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1.2428</w:t>
            </w:r>
          </w:p>
        </w:tc>
        <w:tc>
          <w:tcPr>
            <w:tcW w:w="1134" w:type="dxa"/>
            <w:tcBorders>
              <w:top w:val="nil"/>
              <w:left w:val="nil"/>
              <w:bottom w:val="nil"/>
              <w:right w:val="nil"/>
            </w:tcBorders>
            <w:shd w:val="clear" w:color="auto" w:fill="FFFFFF"/>
            <w:tcMar>
              <w:left w:w="67" w:type="dxa"/>
              <w:right w:w="67" w:type="dxa"/>
            </w:tcMar>
            <w:vAlign w:val="center"/>
          </w:tcPr>
          <w:p w14:paraId="459655B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0.08</w:t>
            </w:r>
          </w:p>
        </w:tc>
        <w:tc>
          <w:tcPr>
            <w:tcW w:w="567" w:type="dxa"/>
            <w:tcBorders>
              <w:top w:val="nil"/>
              <w:left w:val="nil"/>
              <w:bottom w:val="nil"/>
              <w:right w:val="nil"/>
            </w:tcBorders>
            <w:shd w:val="clear" w:color="auto" w:fill="FFFFFF"/>
            <w:tcMar>
              <w:left w:w="67" w:type="dxa"/>
              <w:right w:w="67" w:type="dxa"/>
            </w:tcMar>
            <w:vAlign w:val="center"/>
          </w:tcPr>
          <w:p w14:paraId="3363084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42477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0.7801</w:t>
            </w:r>
          </w:p>
        </w:tc>
      </w:tr>
      <w:tr w:rsidR="00B77EA3" w:rsidRPr="0082484A" w14:paraId="0692781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16A58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CD90AF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2D86F7F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0.0075</w:t>
            </w:r>
          </w:p>
        </w:tc>
        <w:tc>
          <w:tcPr>
            <w:tcW w:w="1134" w:type="dxa"/>
            <w:tcBorders>
              <w:top w:val="nil"/>
              <w:left w:val="nil"/>
              <w:bottom w:val="nil"/>
              <w:right w:val="nil"/>
            </w:tcBorders>
            <w:shd w:val="clear" w:color="auto" w:fill="FFFFFF"/>
            <w:tcMar>
              <w:left w:w="67" w:type="dxa"/>
              <w:right w:w="67" w:type="dxa"/>
            </w:tcMar>
            <w:vAlign w:val="center"/>
          </w:tcPr>
          <w:p w14:paraId="2DE4260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0.0233</w:t>
            </w:r>
          </w:p>
        </w:tc>
        <w:tc>
          <w:tcPr>
            <w:tcW w:w="1134" w:type="dxa"/>
            <w:tcBorders>
              <w:top w:val="nil"/>
              <w:left w:val="nil"/>
              <w:bottom w:val="nil"/>
              <w:right w:val="nil"/>
            </w:tcBorders>
            <w:shd w:val="clear" w:color="auto" w:fill="FFFFFF"/>
            <w:tcMar>
              <w:left w:w="67" w:type="dxa"/>
              <w:right w:w="67" w:type="dxa"/>
            </w:tcMar>
            <w:vAlign w:val="center"/>
          </w:tcPr>
          <w:p w14:paraId="2493F68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1.0076</w:t>
            </w:r>
          </w:p>
        </w:tc>
        <w:tc>
          <w:tcPr>
            <w:tcW w:w="1134" w:type="dxa"/>
            <w:tcBorders>
              <w:top w:val="nil"/>
              <w:left w:val="nil"/>
              <w:bottom w:val="nil"/>
              <w:right w:val="nil"/>
            </w:tcBorders>
            <w:shd w:val="clear" w:color="auto" w:fill="FFFFFF"/>
            <w:tcMar>
              <w:left w:w="67" w:type="dxa"/>
              <w:right w:w="67" w:type="dxa"/>
            </w:tcMar>
            <w:vAlign w:val="center"/>
          </w:tcPr>
          <w:p w14:paraId="5B66131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0.9562</w:t>
            </w:r>
          </w:p>
        </w:tc>
        <w:tc>
          <w:tcPr>
            <w:tcW w:w="1134" w:type="dxa"/>
            <w:tcBorders>
              <w:top w:val="nil"/>
              <w:left w:val="nil"/>
              <w:bottom w:val="nil"/>
              <w:right w:val="nil"/>
            </w:tcBorders>
            <w:shd w:val="clear" w:color="auto" w:fill="FFFFFF"/>
            <w:tcMar>
              <w:left w:w="67" w:type="dxa"/>
              <w:right w:w="67" w:type="dxa"/>
            </w:tcMar>
            <w:vAlign w:val="center"/>
          </w:tcPr>
          <w:p w14:paraId="75F6C54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1.0617</w:t>
            </w:r>
          </w:p>
        </w:tc>
        <w:tc>
          <w:tcPr>
            <w:tcW w:w="1134" w:type="dxa"/>
            <w:tcBorders>
              <w:top w:val="nil"/>
              <w:left w:val="nil"/>
              <w:bottom w:val="nil"/>
              <w:right w:val="nil"/>
            </w:tcBorders>
            <w:shd w:val="clear" w:color="auto" w:fill="FFFFFF"/>
            <w:tcMar>
              <w:left w:w="67" w:type="dxa"/>
              <w:right w:w="67" w:type="dxa"/>
            </w:tcMar>
            <w:vAlign w:val="center"/>
          </w:tcPr>
          <w:p w14:paraId="16FAF48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0.10</w:t>
            </w:r>
          </w:p>
        </w:tc>
        <w:tc>
          <w:tcPr>
            <w:tcW w:w="567" w:type="dxa"/>
            <w:tcBorders>
              <w:top w:val="nil"/>
              <w:left w:val="nil"/>
              <w:bottom w:val="nil"/>
              <w:right w:val="nil"/>
            </w:tcBorders>
            <w:shd w:val="clear" w:color="auto" w:fill="FFFFFF"/>
            <w:tcMar>
              <w:left w:w="67" w:type="dxa"/>
              <w:right w:w="67" w:type="dxa"/>
            </w:tcMar>
            <w:vAlign w:val="center"/>
          </w:tcPr>
          <w:p w14:paraId="3484DB9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7E991F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0.7468</w:t>
            </w:r>
          </w:p>
        </w:tc>
      </w:tr>
      <w:tr w:rsidR="00B77EA3" w:rsidRPr="0082484A" w14:paraId="11280A7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C15FAC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32415CE9"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096233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0.0103</w:t>
            </w:r>
          </w:p>
        </w:tc>
        <w:tc>
          <w:tcPr>
            <w:tcW w:w="1134" w:type="dxa"/>
            <w:tcBorders>
              <w:top w:val="nil"/>
              <w:left w:val="nil"/>
              <w:bottom w:val="nil"/>
              <w:right w:val="nil"/>
            </w:tcBorders>
            <w:shd w:val="clear" w:color="auto" w:fill="FFFFFF"/>
            <w:tcMar>
              <w:left w:w="67" w:type="dxa"/>
              <w:right w:w="67" w:type="dxa"/>
            </w:tcMar>
            <w:vAlign w:val="center"/>
          </w:tcPr>
          <w:p w14:paraId="6AD20D9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1760F39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1.0104</w:t>
            </w:r>
          </w:p>
        </w:tc>
        <w:tc>
          <w:tcPr>
            <w:tcW w:w="1134" w:type="dxa"/>
            <w:tcBorders>
              <w:top w:val="nil"/>
              <w:left w:val="nil"/>
              <w:bottom w:val="nil"/>
              <w:right w:val="nil"/>
            </w:tcBorders>
            <w:shd w:val="clear" w:color="auto" w:fill="FFFFFF"/>
            <w:tcMar>
              <w:left w:w="67" w:type="dxa"/>
              <w:right w:w="67" w:type="dxa"/>
            </w:tcMar>
            <w:vAlign w:val="center"/>
          </w:tcPr>
          <w:p w14:paraId="7D6D9A2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1.0084</w:t>
            </w:r>
          </w:p>
        </w:tc>
        <w:tc>
          <w:tcPr>
            <w:tcW w:w="1134" w:type="dxa"/>
            <w:tcBorders>
              <w:top w:val="nil"/>
              <w:left w:val="nil"/>
              <w:bottom w:val="nil"/>
              <w:right w:val="nil"/>
            </w:tcBorders>
            <w:shd w:val="clear" w:color="auto" w:fill="FFFFFF"/>
            <w:tcMar>
              <w:left w:w="67" w:type="dxa"/>
              <w:right w:w="67" w:type="dxa"/>
            </w:tcMar>
            <w:vAlign w:val="center"/>
          </w:tcPr>
          <w:p w14:paraId="70BEDF9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1.0123</w:t>
            </w:r>
          </w:p>
        </w:tc>
        <w:tc>
          <w:tcPr>
            <w:tcW w:w="1134" w:type="dxa"/>
            <w:tcBorders>
              <w:top w:val="nil"/>
              <w:left w:val="nil"/>
              <w:bottom w:val="nil"/>
              <w:right w:val="nil"/>
            </w:tcBorders>
            <w:shd w:val="clear" w:color="auto" w:fill="FFFFFF"/>
            <w:tcMar>
              <w:left w:w="67" w:type="dxa"/>
              <w:right w:w="67" w:type="dxa"/>
            </w:tcMar>
            <w:vAlign w:val="center"/>
          </w:tcPr>
          <w:p w14:paraId="6595A58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142.05</w:t>
            </w:r>
          </w:p>
        </w:tc>
        <w:tc>
          <w:tcPr>
            <w:tcW w:w="567" w:type="dxa"/>
            <w:tcBorders>
              <w:top w:val="nil"/>
              <w:left w:val="nil"/>
              <w:bottom w:val="nil"/>
              <w:right w:val="nil"/>
            </w:tcBorders>
            <w:shd w:val="clear" w:color="auto" w:fill="FFFFFF"/>
            <w:tcMar>
              <w:left w:w="67" w:type="dxa"/>
              <w:right w:w="67" w:type="dxa"/>
            </w:tcMar>
            <w:vAlign w:val="center"/>
          </w:tcPr>
          <w:p w14:paraId="38FB68D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F18FD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26A261E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8274004"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4CFB4CB"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F57935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6DBBF79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5F15981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1.0002</w:t>
            </w:r>
          </w:p>
        </w:tc>
        <w:tc>
          <w:tcPr>
            <w:tcW w:w="1134" w:type="dxa"/>
            <w:tcBorders>
              <w:top w:val="nil"/>
              <w:left w:val="nil"/>
              <w:bottom w:val="nil"/>
              <w:right w:val="nil"/>
            </w:tcBorders>
            <w:shd w:val="clear" w:color="auto" w:fill="FFFFFF"/>
            <w:tcMar>
              <w:left w:w="67" w:type="dxa"/>
              <w:right w:w="67" w:type="dxa"/>
            </w:tcMar>
            <w:vAlign w:val="center"/>
          </w:tcPr>
          <w:p w14:paraId="5A79AF4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0.9972</w:t>
            </w:r>
          </w:p>
        </w:tc>
        <w:tc>
          <w:tcPr>
            <w:tcW w:w="1134" w:type="dxa"/>
            <w:tcBorders>
              <w:top w:val="nil"/>
              <w:left w:val="nil"/>
              <w:bottom w:val="nil"/>
              <w:right w:val="nil"/>
            </w:tcBorders>
            <w:shd w:val="clear" w:color="auto" w:fill="FFFFFF"/>
            <w:tcMar>
              <w:left w:w="67" w:type="dxa"/>
              <w:right w:w="67" w:type="dxa"/>
            </w:tcMar>
            <w:vAlign w:val="center"/>
          </w:tcPr>
          <w:p w14:paraId="09473F9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1.0032</w:t>
            </w:r>
          </w:p>
        </w:tc>
        <w:tc>
          <w:tcPr>
            <w:tcW w:w="1134" w:type="dxa"/>
            <w:tcBorders>
              <w:top w:val="nil"/>
              <w:left w:val="nil"/>
              <w:bottom w:val="nil"/>
              <w:right w:val="nil"/>
            </w:tcBorders>
            <w:shd w:val="clear" w:color="auto" w:fill="FFFFFF"/>
            <w:tcMar>
              <w:left w:w="67" w:type="dxa"/>
              <w:right w:w="67" w:type="dxa"/>
            </w:tcMar>
            <w:vAlign w:val="center"/>
          </w:tcPr>
          <w:p w14:paraId="0D5E7DA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w:t>
            </w:r>
          </w:p>
        </w:tc>
        <w:tc>
          <w:tcPr>
            <w:tcW w:w="567" w:type="dxa"/>
            <w:tcBorders>
              <w:top w:val="nil"/>
              <w:left w:val="nil"/>
              <w:bottom w:val="nil"/>
              <w:right w:val="nil"/>
            </w:tcBorders>
            <w:shd w:val="clear" w:color="auto" w:fill="FFFFFF"/>
            <w:tcMar>
              <w:left w:w="67" w:type="dxa"/>
              <w:right w:w="67" w:type="dxa"/>
            </w:tcMar>
            <w:vAlign w:val="center"/>
          </w:tcPr>
          <w:p w14:paraId="7D078A0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46C28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0.8862</w:t>
            </w:r>
          </w:p>
        </w:tc>
      </w:tr>
      <w:tr w:rsidR="00B77EA3" w:rsidRPr="0082484A" w14:paraId="6244ADC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E91D99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55626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ADD10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0.0715</w:t>
            </w:r>
          </w:p>
        </w:tc>
        <w:tc>
          <w:tcPr>
            <w:tcW w:w="1134" w:type="dxa"/>
            <w:tcBorders>
              <w:top w:val="nil"/>
              <w:left w:val="nil"/>
              <w:bottom w:val="nil"/>
              <w:right w:val="nil"/>
            </w:tcBorders>
            <w:shd w:val="clear" w:color="auto" w:fill="FFFFFF"/>
            <w:tcMar>
              <w:left w:w="67" w:type="dxa"/>
              <w:right w:w="67" w:type="dxa"/>
            </w:tcMar>
            <w:vAlign w:val="center"/>
          </w:tcPr>
          <w:p w14:paraId="1137F24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0.2424</w:t>
            </w:r>
          </w:p>
        </w:tc>
        <w:tc>
          <w:tcPr>
            <w:tcW w:w="1134" w:type="dxa"/>
            <w:tcBorders>
              <w:top w:val="nil"/>
              <w:left w:val="nil"/>
              <w:bottom w:val="nil"/>
              <w:right w:val="nil"/>
            </w:tcBorders>
            <w:shd w:val="clear" w:color="auto" w:fill="FFFFFF"/>
            <w:tcMar>
              <w:left w:w="67" w:type="dxa"/>
              <w:right w:w="67" w:type="dxa"/>
            </w:tcMar>
            <w:vAlign w:val="center"/>
          </w:tcPr>
          <w:p w14:paraId="2A572CD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1.0741</w:t>
            </w:r>
          </w:p>
        </w:tc>
        <w:tc>
          <w:tcPr>
            <w:tcW w:w="1134" w:type="dxa"/>
            <w:tcBorders>
              <w:top w:val="nil"/>
              <w:left w:val="nil"/>
              <w:bottom w:val="nil"/>
              <w:right w:val="nil"/>
            </w:tcBorders>
            <w:shd w:val="clear" w:color="auto" w:fill="FFFFFF"/>
            <w:tcMar>
              <w:left w:w="67" w:type="dxa"/>
              <w:right w:w="67" w:type="dxa"/>
            </w:tcMar>
            <w:vAlign w:val="center"/>
          </w:tcPr>
          <w:p w14:paraId="6D602F2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0.6238</w:t>
            </w:r>
          </w:p>
        </w:tc>
        <w:tc>
          <w:tcPr>
            <w:tcW w:w="1134" w:type="dxa"/>
            <w:tcBorders>
              <w:top w:val="nil"/>
              <w:left w:val="nil"/>
              <w:bottom w:val="nil"/>
              <w:right w:val="nil"/>
            </w:tcBorders>
            <w:shd w:val="clear" w:color="auto" w:fill="FFFFFF"/>
            <w:tcMar>
              <w:left w:w="67" w:type="dxa"/>
              <w:right w:w="67" w:type="dxa"/>
            </w:tcMar>
            <w:vAlign w:val="center"/>
          </w:tcPr>
          <w:p w14:paraId="1DFD354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1.8493</w:t>
            </w:r>
          </w:p>
        </w:tc>
        <w:tc>
          <w:tcPr>
            <w:tcW w:w="1134" w:type="dxa"/>
            <w:tcBorders>
              <w:top w:val="nil"/>
              <w:left w:val="nil"/>
              <w:bottom w:val="nil"/>
              <w:right w:val="nil"/>
            </w:tcBorders>
            <w:shd w:val="clear" w:color="auto" w:fill="FFFFFF"/>
            <w:tcMar>
              <w:left w:w="67" w:type="dxa"/>
              <w:right w:w="67" w:type="dxa"/>
            </w:tcMar>
            <w:vAlign w:val="center"/>
          </w:tcPr>
          <w:p w14:paraId="15F2678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1.24</w:t>
            </w:r>
          </w:p>
        </w:tc>
        <w:tc>
          <w:tcPr>
            <w:tcW w:w="567" w:type="dxa"/>
            <w:tcBorders>
              <w:top w:val="nil"/>
              <w:left w:val="nil"/>
              <w:bottom w:val="nil"/>
              <w:right w:val="nil"/>
            </w:tcBorders>
            <w:shd w:val="clear" w:color="auto" w:fill="FFFFFF"/>
            <w:tcMar>
              <w:left w:w="67" w:type="dxa"/>
              <w:right w:w="67" w:type="dxa"/>
            </w:tcMar>
            <w:vAlign w:val="center"/>
          </w:tcPr>
          <w:p w14:paraId="0F7A3B0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F37299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0.2649</w:t>
            </w:r>
          </w:p>
        </w:tc>
      </w:tr>
      <w:tr w:rsidR="00B77EA3" w:rsidRPr="0082484A" w14:paraId="56E9B38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CC60AB"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EA5801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3022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0.3345</w:t>
            </w:r>
          </w:p>
        </w:tc>
        <w:tc>
          <w:tcPr>
            <w:tcW w:w="1134" w:type="dxa"/>
            <w:tcBorders>
              <w:top w:val="nil"/>
              <w:left w:val="nil"/>
              <w:bottom w:val="nil"/>
              <w:right w:val="nil"/>
            </w:tcBorders>
            <w:shd w:val="clear" w:color="auto" w:fill="FFFFFF"/>
            <w:tcMar>
              <w:left w:w="67" w:type="dxa"/>
              <w:right w:w="67" w:type="dxa"/>
            </w:tcMar>
            <w:vAlign w:val="center"/>
          </w:tcPr>
          <w:p w14:paraId="679D575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0.2134</w:t>
            </w:r>
          </w:p>
        </w:tc>
        <w:tc>
          <w:tcPr>
            <w:tcW w:w="1134" w:type="dxa"/>
            <w:tcBorders>
              <w:top w:val="nil"/>
              <w:left w:val="nil"/>
              <w:bottom w:val="nil"/>
              <w:right w:val="nil"/>
            </w:tcBorders>
            <w:shd w:val="clear" w:color="auto" w:fill="FFFFFF"/>
            <w:tcMar>
              <w:left w:w="67" w:type="dxa"/>
              <w:right w:w="67" w:type="dxa"/>
            </w:tcMar>
            <w:vAlign w:val="center"/>
          </w:tcPr>
          <w:p w14:paraId="1A2DA49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1.3973</w:t>
            </w:r>
          </w:p>
        </w:tc>
        <w:tc>
          <w:tcPr>
            <w:tcW w:w="1134" w:type="dxa"/>
            <w:tcBorders>
              <w:top w:val="nil"/>
              <w:left w:val="nil"/>
              <w:bottom w:val="nil"/>
              <w:right w:val="nil"/>
            </w:tcBorders>
            <w:shd w:val="clear" w:color="auto" w:fill="FFFFFF"/>
            <w:tcMar>
              <w:left w:w="67" w:type="dxa"/>
              <w:right w:w="67" w:type="dxa"/>
            </w:tcMar>
            <w:vAlign w:val="center"/>
          </w:tcPr>
          <w:p w14:paraId="6410F15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0.8661</w:t>
            </w:r>
          </w:p>
        </w:tc>
        <w:tc>
          <w:tcPr>
            <w:tcW w:w="1134" w:type="dxa"/>
            <w:tcBorders>
              <w:top w:val="nil"/>
              <w:left w:val="nil"/>
              <w:bottom w:val="nil"/>
              <w:right w:val="nil"/>
            </w:tcBorders>
            <w:shd w:val="clear" w:color="auto" w:fill="FFFFFF"/>
            <w:tcMar>
              <w:left w:w="67" w:type="dxa"/>
              <w:right w:w="67" w:type="dxa"/>
            </w:tcMar>
            <w:vAlign w:val="center"/>
          </w:tcPr>
          <w:p w14:paraId="7907ED1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2.2542</w:t>
            </w:r>
          </w:p>
        </w:tc>
        <w:tc>
          <w:tcPr>
            <w:tcW w:w="1134" w:type="dxa"/>
            <w:tcBorders>
              <w:top w:val="nil"/>
              <w:left w:val="nil"/>
              <w:bottom w:val="nil"/>
              <w:right w:val="nil"/>
            </w:tcBorders>
            <w:shd w:val="clear" w:color="auto" w:fill="FFFFFF"/>
            <w:tcMar>
              <w:left w:w="67" w:type="dxa"/>
              <w:right w:w="67" w:type="dxa"/>
            </w:tcMar>
            <w:vAlign w:val="center"/>
          </w:tcPr>
          <w:p w14:paraId="4020BFE3"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36E4A98"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308EF8"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25655E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9A4B57"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049330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36848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0.3815</w:t>
            </w:r>
          </w:p>
        </w:tc>
        <w:tc>
          <w:tcPr>
            <w:tcW w:w="1134" w:type="dxa"/>
            <w:tcBorders>
              <w:top w:val="nil"/>
              <w:left w:val="nil"/>
              <w:bottom w:val="nil"/>
              <w:right w:val="nil"/>
            </w:tcBorders>
            <w:shd w:val="clear" w:color="auto" w:fill="FFFFFF"/>
            <w:tcMar>
              <w:left w:w="67" w:type="dxa"/>
              <w:right w:w="67" w:type="dxa"/>
            </w:tcMar>
            <w:vAlign w:val="center"/>
          </w:tcPr>
          <w:p w14:paraId="0D862C3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0.1554</w:t>
            </w:r>
          </w:p>
        </w:tc>
        <w:tc>
          <w:tcPr>
            <w:tcW w:w="1134" w:type="dxa"/>
            <w:tcBorders>
              <w:top w:val="nil"/>
              <w:left w:val="nil"/>
              <w:bottom w:val="nil"/>
              <w:right w:val="nil"/>
            </w:tcBorders>
            <w:shd w:val="clear" w:color="auto" w:fill="FFFFFF"/>
            <w:tcMar>
              <w:left w:w="67" w:type="dxa"/>
              <w:right w:w="67" w:type="dxa"/>
            </w:tcMar>
            <w:vAlign w:val="center"/>
          </w:tcPr>
          <w:p w14:paraId="6F5B34C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1.4644</w:t>
            </w:r>
          </w:p>
        </w:tc>
        <w:tc>
          <w:tcPr>
            <w:tcW w:w="1134" w:type="dxa"/>
            <w:tcBorders>
              <w:top w:val="nil"/>
              <w:left w:val="nil"/>
              <w:bottom w:val="nil"/>
              <w:right w:val="nil"/>
            </w:tcBorders>
            <w:shd w:val="clear" w:color="auto" w:fill="FFFFFF"/>
            <w:tcMar>
              <w:left w:w="67" w:type="dxa"/>
              <w:right w:w="67" w:type="dxa"/>
            </w:tcMar>
            <w:vAlign w:val="center"/>
          </w:tcPr>
          <w:p w14:paraId="1904F80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1.0336</w:t>
            </w:r>
          </w:p>
        </w:tc>
        <w:tc>
          <w:tcPr>
            <w:tcW w:w="1134" w:type="dxa"/>
            <w:tcBorders>
              <w:top w:val="nil"/>
              <w:left w:val="nil"/>
              <w:bottom w:val="nil"/>
              <w:right w:val="nil"/>
            </w:tcBorders>
            <w:shd w:val="clear" w:color="auto" w:fill="FFFFFF"/>
            <w:tcMar>
              <w:left w:w="67" w:type="dxa"/>
              <w:right w:w="67" w:type="dxa"/>
            </w:tcMar>
            <w:vAlign w:val="center"/>
          </w:tcPr>
          <w:p w14:paraId="6EAD26C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2.0749</w:t>
            </w:r>
          </w:p>
        </w:tc>
        <w:tc>
          <w:tcPr>
            <w:tcW w:w="1134" w:type="dxa"/>
            <w:tcBorders>
              <w:top w:val="nil"/>
              <w:left w:val="nil"/>
              <w:bottom w:val="nil"/>
              <w:right w:val="nil"/>
            </w:tcBorders>
            <w:shd w:val="clear" w:color="auto" w:fill="FFFFFF"/>
            <w:tcMar>
              <w:left w:w="67" w:type="dxa"/>
              <w:right w:w="67" w:type="dxa"/>
            </w:tcMar>
            <w:vAlign w:val="center"/>
          </w:tcPr>
          <w:p w14:paraId="03B647AA"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2E7F970"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58E567"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3C5C94F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CDD0F0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79609E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205FF7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0.2094</w:t>
            </w:r>
          </w:p>
        </w:tc>
        <w:tc>
          <w:tcPr>
            <w:tcW w:w="1134" w:type="dxa"/>
            <w:tcBorders>
              <w:top w:val="nil"/>
              <w:left w:val="nil"/>
              <w:bottom w:val="nil"/>
              <w:right w:val="nil"/>
            </w:tcBorders>
            <w:shd w:val="clear" w:color="auto" w:fill="FFFFFF"/>
            <w:tcMar>
              <w:left w:w="67" w:type="dxa"/>
              <w:right w:w="67" w:type="dxa"/>
            </w:tcMar>
            <w:vAlign w:val="center"/>
          </w:tcPr>
          <w:p w14:paraId="5B2736D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0.2167</w:t>
            </w:r>
          </w:p>
        </w:tc>
        <w:tc>
          <w:tcPr>
            <w:tcW w:w="1134" w:type="dxa"/>
            <w:tcBorders>
              <w:top w:val="nil"/>
              <w:left w:val="nil"/>
              <w:bottom w:val="nil"/>
              <w:right w:val="nil"/>
            </w:tcBorders>
            <w:shd w:val="clear" w:color="auto" w:fill="FFFFFF"/>
            <w:tcMar>
              <w:left w:w="67" w:type="dxa"/>
              <w:right w:w="67" w:type="dxa"/>
            </w:tcMar>
            <w:vAlign w:val="center"/>
          </w:tcPr>
          <w:p w14:paraId="0A6F236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1.2330</w:t>
            </w:r>
          </w:p>
        </w:tc>
        <w:tc>
          <w:tcPr>
            <w:tcW w:w="1134" w:type="dxa"/>
            <w:tcBorders>
              <w:top w:val="nil"/>
              <w:left w:val="nil"/>
              <w:bottom w:val="nil"/>
              <w:right w:val="nil"/>
            </w:tcBorders>
            <w:shd w:val="clear" w:color="auto" w:fill="FFFFFF"/>
            <w:tcMar>
              <w:left w:w="67" w:type="dxa"/>
              <w:right w:w="67" w:type="dxa"/>
            </w:tcMar>
            <w:vAlign w:val="center"/>
          </w:tcPr>
          <w:p w14:paraId="64AD1B3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0.7586</w:t>
            </w:r>
          </w:p>
        </w:tc>
        <w:tc>
          <w:tcPr>
            <w:tcW w:w="1134" w:type="dxa"/>
            <w:tcBorders>
              <w:top w:val="nil"/>
              <w:left w:val="nil"/>
              <w:bottom w:val="nil"/>
              <w:right w:val="nil"/>
            </w:tcBorders>
            <w:shd w:val="clear" w:color="auto" w:fill="FFFFFF"/>
            <w:tcMar>
              <w:left w:w="67" w:type="dxa"/>
              <w:right w:w="67" w:type="dxa"/>
            </w:tcMar>
            <w:vAlign w:val="center"/>
          </w:tcPr>
          <w:p w14:paraId="5FF960F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2.0040</w:t>
            </w:r>
          </w:p>
        </w:tc>
        <w:tc>
          <w:tcPr>
            <w:tcW w:w="1134" w:type="dxa"/>
            <w:tcBorders>
              <w:top w:val="nil"/>
              <w:left w:val="nil"/>
              <w:bottom w:val="nil"/>
              <w:right w:val="nil"/>
            </w:tcBorders>
            <w:shd w:val="clear" w:color="auto" w:fill="FFFFFF"/>
            <w:tcMar>
              <w:left w:w="67" w:type="dxa"/>
              <w:right w:w="67" w:type="dxa"/>
            </w:tcMar>
            <w:vAlign w:val="center"/>
          </w:tcPr>
          <w:p w14:paraId="7D0AFEEF"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9E31109"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1143A4"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63BA25F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6CC806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66EF1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DEF595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0.0924</w:t>
            </w:r>
          </w:p>
        </w:tc>
        <w:tc>
          <w:tcPr>
            <w:tcW w:w="1134" w:type="dxa"/>
            <w:tcBorders>
              <w:top w:val="nil"/>
              <w:left w:val="nil"/>
              <w:bottom w:val="nil"/>
              <w:right w:val="nil"/>
            </w:tcBorders>
            <w:shd w:val="clear" w:color="auto" w:fill="FFFFFF"/>
            <w:tcMar>
              <w:left w:w="67" w:type="dxa"/>
              <w:right w:w="67" w:type="dxa"/>
            </w:tcMar>
            <w:vAlign w:val="center"/>
          </w:tcPr>
          <w:p w14:paraId="22432E7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0.2128</w:t>
            </w:r>
          </w:p>
        </w:tc>
        <w:tc>
          <w:tcPr>
            <w:tcW w:w="1134" w:type="dxa"/>
            <w:tcBorders>
              <w:top w:val="nil"/>
              <w:left w:val="nil"/>
              <w:bottom w:val="nil"/>
              <w:right w:val="nil"/>
            </w:tcBorders>
            <w:shd w:val="clear" w:color="auto" w:fill="FFFFFF"/>
            <w:tcMar>
              <w:left w:w="67" w:type="dxa"/>
              <w:right w:w="67" w:type="dxa"/>
            </w:tcMar>
            <w:vAlign w:val="center"/>
          </w:tcPr>
          <w:p w14:paraId="065AF04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1.0968</w:t>
            </w:r>
          </w:p>
        </w:tc>
        <w:tc>
          <w:tcPr>
            <w:tcW w:w="1134" w:type="dxa"/>
            <w:tcBorders>
              <w:top w:val="nil"/>
              <w:left w:val="nil"/>
              <w:bottom w:val="nil"/>
              <w:right w:val="nil"/>
            </w:tcBorders>
            <w:shd w:val="clear" w:color="auto" w:fill="FFFFFF"/>
            <w:tcMar>
              <w:left w:w="67" w:type="dxa"/>
              <w:right w:w="67" w:type="dxa"/>
            </w:tcMar>
            <w:vAlign w:val="center"/>
          </w:tcPr>
          <w:p w14:paraId="69C104E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0.6807</w:t>
            </w:r>
          </w:p>
        </w:tc>
        <w:tc>
          <w:tcPr>
            <w:tcW w:w="1134" w:type="dxa"/>
            <w:tcBorders>
              <w:top w:val="nil"/>
              <w:left w:val="nil"/>
              <w:bottom w:val="nil"/>
              <w:right w:val="nil"/>
            </w:tcBorders>
            <w:shd w:val="clear" w:color="auto" w:fill="FFFFFF"/>
            <w:tcMar>
              <w:left w:w="67" w:type="dxa"/>
              <w:right w:w="67" w:type="dxa"/>
            </w:tcMar>
            <w:vAlign w:val="center"/>
          </w:tcPr>
          <w:p w14:paraId="2CE6BAD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1.7672</w:t>
            </w:r>
          </w:p>
        </w:tc>
        <w:tc>
          <w:tcPr>
            <w:tcW w:w="1134" w:type="dxa"/>
            <w:tcBorders>
              <w:top w:val="nil"/>
              <w:left w:val="nil"/>
              <w:bottom w:val="nil"/>
              <w:right w:val="nil"/>
            </w:tcBorders>
            <w:shd w:val="clear" w:color="auto" w:fill="FFFFFF"/>
            <w:tcMar>
              <w:left w:w="67" w:type="dxa"/>
              <w:right w:w="67" w:type="dxa"/>
            </w:tcMar>
            <w:vAlign w:val="center"/>
          </w:tcPr>
          <w:p w14:paraId="2A9B5DB1"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5662BFD"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BB256D6"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11978BA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750110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5A9591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CC69D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0.5091</w:t>
            </w:r>
          </w:p>
        </w:tc>
        <w:tc>
          <w:tcPr>
            <w:tcW w:w="1134" w:type="dxa"/>
            <w:tcBorders>
              <w:top w:val="nil"/>
              <w:left w:val="nil"/>
              <w:bottom w:val="nil"/>
              <w:right w:val="nil"/>
            </w:tcBorders>
            <w:shd w:val="clear" w:color="auto" w:fill="FFFFFF"/>
            <w:tcMar>
              <w:left w:w="67" w:type="dxa"/>
              <w:right w:w="67" w:type="dxa"/>
            </w:tcMar>
            <w:vAlign w:val="center"/>
          </w:tcPr>
          <w:p w14:paraId="2905B28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0.2224</w:t>
            </w:r>
          </w:p>
        </w:tc>
        <w:tc>
          <w:tcPr>
            <w:tcW w:w="1134" w:type="dxa"/>
            <w:tcBorders>
              <w:top w:val="nil"/>
              <w:left w:val="nil"/>
              <w:bottom w:val="nil"/>
              <w:right w:val="nil"/>
            </w:tcBorders>
            <w:shd w:val="clear" w:color="auto" w:fill="FFFFFF"/>
            <w:tcMar>
              <w:left w:w="67" w:type="dxa"/>
              <w:right w:w="67" w:type="dxa"/>
            </w:tcMar>
            <w:vAlign w:val="center"/>
          </w:tcPr>
          <w:p w14:paraId="5A9DBE5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1.6638</w:t>
            </w:r>
          </w:p>
        </w:tc>
        <w:tc>
          <w:tcPr>
            <w:tcW w:w="1134" w:type="dxa"/>
            <w:tcBorders>
              <w:top w:val="nil"/>
              <w:left w:val="nil"/>
              <w:bottom w:val="nil"/>
              <w:right w:val="nil"/>
            </w:tcBorders>
            <w:shd w:val="clear" w:color="auto" w:fill="FFFFFF"/>
            <w:tcMar>
              <w:left w:w="67" w:type="dxa"/>
              <w:right w:w="67" w:type="dxa"/>
            </w:tcMar>
            <w:vAlign w:val="center"/>
          </w:tcPr>
          <w:p w14:paraId="709B709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1.0107</w:t>
            </w:r>
          </w:p>
        </w:tc>
        <w:tc>
          <w:tcPr>
            <w:tcW w:w="1134" w:type="dxa"/>
            <w:tcBorders>
              <w:top w:val="nil"/>
              <w:left w:val="nil"/>
              <w:bottom w:val="nil"/>
              <w:right w:val="nil"/>
            </w:tcBorders>
            <w:shd w:val="clear" w:color="auto" w:fill="FFFFFF"/>
            <w:tcMar>
              <w:left w:w="67" w:type="dxa"/>
              <w:right w:w="67" w:type="dxa"/>
            </w:tcMar>
            <w:vAlign w:val="center"/>
          </w:tcPr>
          <w:p w14:paraId="163AFCB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2.7388</w:t>
            </w:r>
          </w:p>
        </w:tc>
        <w:tc>
          <w:tcPr>
            <w:tcW w:w="1134" w:type="dxa"/>
            <w:tcBorders>
              <w:top w:val="nil"/>
              <w:left w:val="nil"/>
              <w:bottom w:val="nil"/>
              <w:right w:val="nil"/>
            </w:tcBorders>
            <w:shd w:val="clear" w:color="auto" w:fill="FFFFFF"/>
            <w:tcMar>
              <w:left w:w="67" w:type="dxa"/>
              <w:right w:w="67" w:type="dxa"/>
            </w:tcMar>
            <w:vAlign w:val="center"/>
          </w:tcPr>
          <w:p w14:paraId="6FFCCFD0"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0BD63A2"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CA42E79"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7157CF4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DD5929B"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56637B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D739D6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0.2992</w:t>
            </w:r>
          </w:p>
        </w:tc>
        <w:tc>
          <w:tcPr>
            <w:tcW w:w="1134" w:type="dxa"/>
            <w:tcBorders>
              <w:top w:val="nil"/>
              <w:left w:val="nil"/>
              <w:bottom w:val="nil"/>
              <w:right w:val="nil"/>
            </w:tcBorders>
            <w:shd w:val="clear" w:color="auto" w:fill="FFFFFF"/>
            <w:tcMar>
              <w:left w:w="67" w:type="dxa"/>
              <w:right w:w="67" w:type="dxa"/>
            </w:tcMar>
            <w:vAlign w:val="center"/>
          </w:tcPr>
          <w:p w14:paraId="1769536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0.1850</w:t>
            </w:r>
          </w:p>
        </w:tc>
        <w:tc>
          <w:tcPr>
            <w:tcW w:w="1134" w:type="dxa"/>
            <w:tcBorders>
              <w:top w:val="nil"/>
              <w:left w:val="nil"/>
              <w:bottom w:val="nil"/>
              <w:right w:val="nil"/>
            </w:tcBorders>
            <w:shd w:val="clear" w:color="auto" w:fill="FFFFFF"/>
            <w:tcMar>
              <w:left w:w="67" w:type="dxa"/>
              <w:right w:w="67" w:type="dxa"/>
            </w:tcMar>
            <w:vAlign w:val="center"/>
          </w:tcPr>
          <w:p w14:paraId="3EB2577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1.3488</w:t>
            </w:r>
          </w:p>
        </w:tc>
        <w:tc>
          <w:tcPr>
            <w:tcW w:w="1134" w:type="dxa"/>
            <w:tcBorders>
              <w:top w:val="nil"/>
              <w:left w:val="nil"/>
              <w:bottom w:val="nil"/>
              <w:right w:val="nil"/>
            </w:tcBorders>
            <w:shd w:val="clear" w:color="auto" w:fill="FFFFFF"/>
            <w:tcMar>
              <w:left w:w="67" w:type="dxa"/>
              <w:right w:w="67" w:type="dxa"/>
            </w:tcMar>
            <w:vAlign w:val="center"/>
          </w:tcPr>
          <w:p w14:paraId="5AD3168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0.8909</w:t>
            </w:r>
          </w:p>
        </w:tc>
        <w:tc>
          <w:tcPr>
            <w:tcW w:w="1134" w:type="dxa"/>
            <w:tcBorders>
              <w:top w:val="nil"/>
              <w:left w:val="nil"/>
              <w:bottom w:val="nil"/>
              <w:right w:val="nil"/>
            </w:tcBorders>
            <w:shd w:val="clear" w:color="auto" w:fill="FFFFFF"/>
            <w:tcMar>
              <w:left w:w="67" w:type="dxa"/>
              <w:right w:w="67" w:type="dxa"/>
            </w:tcMar>
            <w:vAlign w:val="center"/>
          </w:tcPr>
          <w:p w14:paraId="6F14E54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2.0422</w:t>
            </w:r>
          </w:p>
        </w:tc>
        <w:tc>
          <w:tcPr>
            <w:tcW w:w="1134" w:type="dxa"/>
            <w:tcBorders>
              <w:top w:val="nil"/>
              <w:left w:val="nil"/>
              <w:bottom w:val="nil"/>
              <w:right w:val="nil"/>
            </w:tcBorders>
            <w:shd w:val="clear" w:color="auto" w:fill="FFFFFF"/>
            <w:tcMar>
              <w:left w:w="67" w:type="dxa"/>
              <w:right w:w="67" w:type="dxa"/>
            </w:tcMar>
            <w:vAlign w:val="center"/>
          </w:tcPr>
          <w:p w14:paraId="0FACCEA1"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37FB773"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ADA321"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137D672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B7A9AA"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0F4B4B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6C51DF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0.3911</w:t>
            </w:r>
          </w:p>
        </w:tc>
        <w:tc>
          <w:tcPr>
            <w:tcW w:w="1134" w:type="dxa"/>
            <w:tcBorders>
              <w:top w:val="nil"/>
              <w:left w:val="nil"/>
              <w:bottom w:val="nil"/>
              <w:right w:val="nil"/>
            </w:tcBorders>
            <w:shd w:val="clear" w:color="auto" w:fill="FFFFFF"/>
            <w:tcMar>
              <w:left w:w="67" w:type="dxa"/>
              <w:right w:w="67" w:type="dxa"/>
            </w:tcMar>
            <w:vAlign w:val="center"/>
          </w:tcPr>
          <w:p w14:paraId="431BEFB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0.2105</w:t>
            </w:r>
          </w:p>
        </w:tc>
        <w:tc>
          <w:tcPr>
            <w:tcW w:w="1134" w:type="dxa"/>
            <w:tcBorders>
              <w:top w:val="nil"/>
              <w:left w:val="nil"/>
              <w:bottom w:val="nil"/>
              <w:right w:val="nil"/>
            </w:tcBorders>
            <w:shd w:val="clear" w:color="auto" w:fill="FFFFFF"/>
            <w:tcMar>
              <w:left w:w="67" w:type="dxa"/>
              <w:right w:w="67" w:type="dxa"/>
            </w:tcMar>
            <w:vAlign w:val="center"/>
          </w:tcPr>
          <w:p w14:paraId="21C7140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1.4786</w:t>
            </w:r>
          </w:p>
        </w:tc>
        <w:tc>
          <w:tcPr>
            <w:tcW w:w="1134" w:type="dxa"/>
            <w:tcBorders>
              <w:top w:val="nil"/>
              <w:left w:val="nil"/>
              <w:bottom w:val="nil"/>
              <w:right w:val="nil"/>
            </w:tcBorders>
            <w:shd w:val="clear" w:color="auto" w:fill="FFFFFF"/>
            <w:tcMar>
              <w:left w:w="67" w:type="dxa"/>
              <w:right w:w="67" w:type="dxa"/>
            </w:tcMar>
            <w:vAlign w:val="center"/>
          </w:tcPr>
          <w:p w14:paraId="6D58D36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0.9225</w:t>
            </w:r>
          </w:p>
        </w:tc>
        <w:tc>
          <w:tcPr>
            <w:tcW w:w="1134" w:type="dxa"/>
            <w:tcBorders>
              <w:top w:val="nil"/>
              <w:left w:val="nil"/>
              <w:bottom w:val="nil"/>
              <w:right w:val="nil"/>
            </w:tcBorders>
            <w:shd w:val="clear" w:color="auto" w:fill="FFFFFF"/>
            <w:tcMar>
              <w:left w:w="67" w:type="dxa"/>
              <w:right w:w="67" w:type="dxa"/>
            </w:tcMar>
            <w:vAlign w:val="center"/>
          </w:tcPr>
          <w:p w14:paraId="03B39F8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2.3700</w:t>
            </w:r>
          </w:p>
        </w:tc>
        <w:tc>
          <w:tcPr>
            <w:tcW w:w="1134" w:type="dxa"/>
            <w:tcBorders>
              <w:top w:val="nil"/>
              <w:left w:val="nil"/>
              <w:bottom w:val="nil"/>
              <w:right w:val="nil"/>
            </w:tcBorders>
            <w:shd w:val="clear" w:color="auto" w:fill="FFFFFF"/>
            <w:tcMar>
              <w:left w:w="67" w:type="dxa"/>
              <w:right w:w="67" w:type="dxa"/>
            </w:tcMar>
            <w:vAlign w:val="center"/>
          </w:tcPr>
          <w:p w14:paraId="1CFB574F"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5128B2"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931AF1"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0D00D3B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CEAB6E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376B7A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71047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0.2417</w:t>
            </w:r>
          </w:p>
        </w:tc>
        <w:tc>
          <w:tcPr>
            <w:tcW w:w="1134" w:type="dxa"/>
            <w:tcBorders>
              <w:top w:val="nil"/>
              <w:left w:val="nil"/>
              <w:bottom w:val="nil"/>
              <w:right w:val="nil"/>
            </w:tcBorders>
            <w:shd w:val="clear" w:color="auto" w:fill="FFFFFF"/>
            <w:tcMar>
              <w:left w:w="67" w:type="dxa"/>
              <w:right w:w="67" w:type="dxa"/>
            </w:tcMar>
            <w:vAlign w:val="center"/>
          </w:tcPr>
          <w:p w14:paraId="76C5584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0.1934</w:t>
            </w:r>
          </w:p>
        </w:tc>
        <w:tc>
          <w:tcPr>
            <w:tcW w:w="1134" w:type="dxa"/>
            <w:tcBorders>
              <w:top w:val="nil"/>
              <w:left w:val="nil"/>
              <w:bottom w:val="nil"/>
              <w:right w:val="nil"/>
            </w:tcBorders>
            <w:shd w:val="clear" w:color="auto" w:fill="FFFFFF"/>
            <w:tcMar>
              <w:left w:w="67" w:type="dxa"/>
              <w:right w:w="67" w:type="dxa"/>
            </w:tcMar>
            <w:vAlign w:val="center"/>
          </w:tcPr>
          <w:p w14:paraId="0BD81F6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1.2734</w:t>
            </w:r>
          </w:p>
        </w:tc>
        <w:tc>
          <w:tcPr>
            <w:tcW w:w="1134" w:type="dxa"/>
            <w:tcBorders>
              <w:top w:val="nil"/>
              <w:left w:val="nil"/>
              <w:bottom w:val="nil"/>
              <w:right w:val="nil"/>
            </w:tcBorders>
            <w:shd w:val="clear" w:color="auto" w:fill="FFFFFF"/>
            <w:tcMar>
              <w:left w:w="67" w:type="dxa"/>
              <w:right w:w="67" w:type="dxa"/>
            </w:tcMar>
            <w:vAlign w:val="center"/>
          </w:tcPr>
          <w:p w14:paraId="7D390E6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0.8255</w:t>
            </w:r>
          </w:p>
        </w:tc>
        <w:tc>
          <w:tcPr>
            <w:tcW w:w="1134" w:type="dxa"/>
            <w:tcBorders>
              <w:top w:val="nil"/>
              <w:left w:val="nil"/>
              <w:bottom w:val="nil"/>
              <w:right w:val="nil"/>
            </w:tcBorders>
            <w:shd w:val="clear" w:color="auto" w:fill="FFFFFF"/>
            <w:tcMar>
              <w:left w:w="67" w:type="dxa"/>
              <w:right w:w="67" w:type="dxa"/>
            </w:tcMar>
            <w:vAlign w:val="center"/>
          </w:tcPr>
          <w:p w14:paraId="10E96AE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1.9643</w:t>
            </w:r>
          </w:p>
        </w:tc>
        <w:tc>
          <w:tcPr>
            <w:tcW w:w="1134" w:type="dxa"/>
            <w:tcBorders>
              <w:top w:val="nil"/>
              <w:left w:val="nil"/>
              <w:bottom w:val="nil"/>
              <w:right w:val="nil"/>
            </w:tcBorders>
            <w:shd w:val="clear" w:color="auto" w:fill="FFFFFF"/>
            <w:tcMar>
              <w:left w:w="67" w:type="dxa"/>
              <w:right w:w="67" w:type="dxa"/>
            </w:tcMar>
            <w:vAlign w:val="center"/>
          </w:tcPr>
          <w:p w14:paraId="65B77E87"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B7DF3FC"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05D673"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0BD3F04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3C605F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0EDEC3D3"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30B1E0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0.0129</w:t>
            </w:r>
          </w:p>
        </w:tc>
        <w:tc>
          <w:tcPr>
            <w:tcW w:w="1134" w:type="dxa"/>
            <w:tcBorders>
              <w:top w:val="nil"/>
              <w:left w:val="nil"/>
              <w:bottom w:val="nil"/>
              <w:right w:val="nil"/>
            </w:tcBorders>
            <w:shd w:val="clear" w:color="auto" w:fill="FFFFFF"/>
            <w:tcMar>
              <w:left w:w="67" w:type="dxa"/>
              <w:right w:w="67" w:type="dxa"/>
            </w:tcMar>
            <w:vAlign w:val="center"/>
          </w:tcPr>
          <w:p w14:paraId="2C8C3BC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0.0108</w:t>
            </w:r>
          </w:p>
        </w:tc>
        <w:tc>
          <w:tcPr>
            <w:tcW w:w="1134" w:type="dxa"/>
            <w:tcBorders>
              <w:top w:val="nil"/>
              <w:left w:val="nil"/>
              <w:bottom w:val="nil"/>
              <w:right w:val="nil"/>
            </w:tcBorders>
            <w:shd w:val="clear" w:color="auto" w:fill="FFFFFF"/>
            <w:tcMar>
              <w:left w:w="67" w:type="dxa"/>
              <w:right w:w="67" w:type="dxa"/>
            </w:tcMar>
            <w:vAlign w:val="center"/>
          </w:tcPr>
          <w:p w14:paraId="1ADEFCF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1.0130</w:t>
            </w:r>
          </w:p>
        </w:tc>
        <w:tc>
          <w:tcPr>
            <w:tcW w:w="1134" w:type="dxa"/>
            <w:tcBorders>
              <w:top w:val="nil"/>
              <w:left w:val="nil"/>
              <w:bottom w:val="nil"/>
              <w:right w:val="nil"/>
            </w:tcBorders>
            <w:shd w:val="clear" w:color="auto" w:fill="FFFFFF"/>
            <w:tcMar>
              <w:left w:w="67" w:type="dxa"/>
              <w:right w:w="67" w:type="dxa"/>
            </w:tcMar>
            <w:vAlign w:val="center"/>
          </w:tcPr>
          <w:p w14:paraId="779B733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0.9888</w:t>
            </w:r>
          </w:p>
        </w:tc>
        <w:tc>
          <w:tcPr>
            <w:tcW w:w="1134" w:type="dxa"/>
            <w:tcBorders>
              <w:top w:val="nil"/>
              <w:left w:val="nil"/>
              <w:bottom w:val="nil"/>
              <w:right w:val="nil"/>
            </w:tcBorders>
            <w:shd w:val="clear" w:color="auto" w:fill="FFFFFF"/>
            <w:tcMar>
              <w:left w:w="67" w:type="dxa"/>
              <w:right w:w="67" w:type="dxa"/>
            </w:tcMar>
            <w:vAlign w:val="center"/>
          </w:tcPr>
          <w:p w14:paraId="21A0A70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1.0379</w:t>
            </w:r>
          </w:p>
        </w:tc>
        <w:tc>
          <w:tcPr>
            <w:tcW w:w="1134" w:type="dxa"/>
            <w:tcBorders>
              <w:top w:val="nil"/>
              <w:left w:val="nil"/>
              <w:bottom w:val="nil"/>
              <w:right w:val="nil"/>
            </w:tcBorders>
            <w:shd w:val="clear" w:color="auto" w:fill="FFFFFF"/>
            <w:tcMar>
              <w:left w:w="67" w:type="dxa"/>
              <w:right w:w="67" w:type="dxa"/>
            </w:tcMar>
            <w:vAlign w:val="center"/>
          </w:tcPr>
          <w:p w14:paraId="2B34967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1.43</w:t>
            </w:r>
          </w:p>
        </w:tc>
        <w:tc>
          <w:tcPr>
            <w:tcW w:w="567" w:type="dxa"/>
            <w:tcBorders>
              <w:top w:val="nil"/>
              <w:left w:val="nil"/>
              <w:bottom w:val="nil"/>
              <w:right w:val="nil"/>
            </w:tcBorders>
            <w:shd w:val="clear" w:color="auto" w:fill="FFFFFF"/>
            <w:tcMar>
              <w:left w:w="67" w:type="dxa"/>
              <w:right w:w="67" w:type="dxa"/>
            </w:tcMar>
            <w:vAlign w:val="center"/>
          </w:tcPr>
          <w:p w14:paraId="1B7DA57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422D6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0.2316</w:t>
            </w:r>
          </w:p>
        </w:tc>
      </w:tr>
      <w:tr w:rsidR="00B77EA3" w:rsidRPr="0082484A" w14:paraId="0DD8274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CB6A2CC"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65904A5E"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B81E55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0.0196</w:t>
            </w:r>
          </w:p>
        </w:tc>
        <w:tc>
          <w:tcPr>
            <w:tcW w:w="1134" w:type="dxa"/>
            <w:tcBorders>
              <w:top w:val="nil"/>
              <w:left w:val="nil"/>
              <w:bottom w:val="nil"/>
              <w:right w:val="nil"/>
            </w:tcBorders>
            <w:shd w:val="clear" w:color="auto" w:fill="FFFFFF"/>
            <w:tcMar>
              <w:left w:w="67" w:type="dxa"/>
              <w:right w:w="67" w:type="dxa"/>
            </w:tcMar>
            <w:vAlign w:val="center"/>
          </w:tcPr>
          <w:p w14:paraId="714747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0.0065</w:t>
            </w:r>
          </w:p>
        </w:tc>
        <w:tc>
          <w:tcPr>
            <w:tcW w:w="1134" w:type="dxa"/>
            <w:tcBorders>
              <w:top w:val="nil"/>
              <w:left w:val="nil"/>
              <w:bottom w:val="nil"/>
              <w:right w:val="nil"/>
            </w:tcBorders>
            <w:shd w:val="clear" w:color="auto" w:fill="FFFFFF"/>
            <w:tcMar>
              <w:left w:w="67" w:type="dxa"/>
              <w:right w:w="67" w:type="dxa"/>
            </w:tcMar>
            <w:vAlign w:val="center"/>
          </w:tcPr>
          <w:p w14:paraId="5683ED4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1.0198</w:t>
            </w:r>
          </w:p>
        </w:tc>
        <w:tc>
          <w:tcPr>
            <w:tcW w:w="1134" w:type="dxa"/>
            <w:tcBorders>
              <w:top w:val="nil"/>
              <w:left w:val="nil"/>
              <w:bottom w:val="nil"/>
              <w:right w:val="nil"/>
            </w:tcBorders>
            <w:shd w:val="clear" w:color="auto" w:fill="FFFFFF"/>
            <w:tcMar>
              <w:left w:w="67" w:type="dxa"/>
              <w:right w:w="67" w:type="dxa"/>
            </w:tcMar>
            <w:vAlign w:val="center"/>
          </w:tcPr>
          <w:p w14:paraId="1E33D1E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1.0050</w:t>
            </w:r>
          </w:p>
        </w:tc>
        <w:tc>
          <w:tcPr>
            <w:tcW w:w="1134" w:type="dxa"/>
            <w:tcBorders>
              <w:top w:val="nil"/>
              <w:left w:val="nil"/>
              <w:bottom w:val="nil"/>
              <w:right w:val="nil"/>
            </w:tcBorders>
            <w:shd w:val="clear" w:color="auto" w:fill="FFFFFF"/>
            <w:tcMar>
              <w:left w:w="67" w:type="dxa"/>
              <w:right w:w="67" w:type="dxa"/>
            </w:tcMar>
            <w:vAlign w:val="center"/>
          </w:tcPr>
          <w:p w14:paraId="4509765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1.0348</w:t>
            </w:r>
          </w:p>
        </w:tc>
        <w:tc>
          <w:tcPr>
            <w:tcW w:w="1134" w:type="dxa"/>
            <w:tcBorders>
              <w:top w:val="nil"/>
              <w:left w:val="nil"/>
              <w:bottom w:val="nil"/>
              <w:right w:val="nil"/>
            </w:tcBorders>
            <w:shd w:val="clear" w:color="auto" w:fill="FFFFFF"/>
            <w:tcMar>
              <w:left w:w="67" w:type="dxa"/>
              <w:right w:w="67" w:type="dxa"/>
            </w:tcMar>
            <w:vAlign w:val="center"/>
          </w:tcPr>
          <w:p w14:paraId="170CFFF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9.01</w:t>
            </w:r>
          </w:p>
        </w:tc>
        <w:tc>
          <w:tcPr>
            <w:tcW w:w="567" w:type="dxa"/>
            <w:tcBorders>
              <w:top w:val="nil"/>
              <w:left w:val="nil"/>
              <w:bottom w:val="nil"/>
              <w:right w:val="nil"/>
            </w:tcBorders>
            <w:shd w:val="clear" w:color="auto" w:fill="FFFFFF"/>
            <w:tcMar>
              <w:left w:w="67" w:type="dxa"/>
              <w:right w:w="67" w:type="dxa"/>
            </w:tcMar>
            <w:vAlign w:val="center"/>
          </w:tcPr>
          <w:p w14:paraId="68C5120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5097B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0.0027</w:t>
            </w:r>
          </w:p>
        </w:tc>
      </w:tr>
      <w:tr w:rsidR="00B77EA3" w:rsidRPr="0082484A" w14:paraId="7B872AC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67E82C"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0542B2DC"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AD4515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6E41C2B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6BD791D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0.9986</w:t>
            </w:r>
          </w:p>
        </w:tc>
        <w:tc>
          <w:tcPr>
            <w:tcW w:w="1134" w:type="dxa"/>
            <w:tcBorders>
              <w:top w:val="nil"/>
              <w:left w:val="nil"/>
              <w:bottom w:val="nil"/>
              <w:right w:val="nil"/>
            </w:tcBorders>
            <w:shd w:val="clear" w:color="auto" w:fill="FFFFFF"/>
            <w:tcMar>
              <w:left w:w="67" w:type="dxa"/>
              <w:right w:w="67" w:type="dxa"/>
            </w:tcMar>
            <w:vAlign w:val="center"/>
          </w:tcPr>
          <w:p w14:paraId="4803ABB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0.9948</w:t>
            </w:r>
          </w:p>
        </w:tc>
        <w:tc>
          <w:tcPr>
            <w:tcW w:w="1134" w:type="dxa"/>
            <w:tcBorders>
              <w:top w:val="nil"/>
              <w:left w:val="nil"/>
              <w:bottom w:val="nil"/>
              <w:right w:val="nil"/>
            </w:tcBorders>
            <w:shd w:val="clear" w:color="auto" w:fill="FFFFFF"/>
            <w:tcMar>
              <w:left w:w="67" w:type="dxa"/>
              <w:right w:w="67" w:type="dxa"/>
            </w:tcMar>
            <w:vAlign w:val="center"/>
          </w:tcPr>
          <w:p w14:paraId="4FDF82F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1.0024</w:t>
            </w:r>
          </w:p>
        </w:tc>
        <w:tc>
          <w:tcPr>
            <w:tcW w:w="1134" w:type="dxa"/>
            <w:tcBorders>
              <w:top w:val="nil"/>
              <w:left w:val="nil"/>
              <w:bottom w:val="nil"/>
              <w:right w:val="nil"/>
            </w:tcBorders>
            <w:shd w:val="clear" w:color="auto" w:fill="FFFFFF"/>
            <w:tcMar>
              <w:left w:w="67" w:type="dxa"/>
              <w:right w:w="67" w:type="dxa"/>
            </w:tcMar>
            <w:vAlign w:val="center"/>
          </w:tcPr>
          <w:p w14:paraId="4CB1193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0.72</w:t>
            </w:r>
          </w:p>
        </w:tc>
        <w:tc>
          <w:tcPr>
            <w:tcW w:w="567" w:type="dxa"/>
            <w:tcBorders>
              <w:top w:val="nil"/>
              <w:left w:val="nil"/>
              <w:bottom w:val="nil"/>
              <w:right w:val="nil"/>
            </w:tcBorders>
            <w:shd w:val="clear" w:color="auto" w:fill="FFFFFF"/>
            <w:tcMar>
              <w:left w:w="67" w:type="dxa"/>
              <w:right w:w="67" w:type="dxa"/>
            </w:tcMar>
            <w:vAlign w:val="center"/>
          </w:tcPr>
          <w:p w14:paraId="412270F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154567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0.3975</w:t>
            </w:r>
          </w:p>
        </w:tc>
      </w:tr>
      <w:tr w:rsidR="00B77EA3" w:rsidRPr="0082484A" w14:paraId="2EBD626C"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0B8078D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AA9CA91"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ECD086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AC8F8B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0.0539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FA6A6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0.9704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3D00CA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0.8600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F81BDB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1.0951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5873B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0.31</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F5C2A1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3DC7A2C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0.5778</w:t>
            </w:r>
          </w:p>
        </w:tc>
      </w:tr>
    </w:tbl>
    <w:p w14:paraId="32759BCE" w14:textId="77777777" w:rsidR="00B77EA3" w:rsidRPr="0082484A" w:rsidRDefault="00B77EA3" w:rsidP="00B77EA3">
      <w:pPr>
        <w:spacing w:before="0" w:after="160" w:line="259" w:lineRule="auto"/>
        <w:contextualSpacing/>
        <w:rPr>
          <w:sz w:val="22"/>
          <w:szCs w:val="22"/>
        </w:rPr>
      </w:pPr>
      <w:r w:rsidRPr="0082484A">
        <w:rPr>
          <w:sz w:val="22"/>
          <w:szCs w:val="22"/>
          <w:vertAlign w:val="superscript"/>
        </w:rPr>
        <w:t>a</w:t>
      </w:r>
      <w:r w:rsidRPr="0082484A">
        <w:rPr>
          <w:sz w:val="22"/>
          <w:szCs w:val="22"/>
        </w:rPr>
        <w:t xml:space="preserve"> The estimated number needed to treat for one patient with Type 2 diabetes to achieve blood pressure below 140/80 mmHg (or 130/80 mmHg if there is kidney, eye or cerebrovascular damage) is 168</w:t>
      </w:r>
      <w:r w:rsidRPr="0082484A">
        <w:rPr>
          <w:sz w:val="22"/>
          <w:szCs w:val="22"/>
        </w:rPr>
        <w:br w:type="page"/>
      </w:r>
    </w:p>
    <w:p w14:paraId="64E70E1E" w14:textId="2EC80165" w:rsidR="00B77EA3" w:rsidRPr="0082484A" w:rsidRDefault="00B77EA3" w:rsidP="00B77EA3">
      <w:pPr>
        <w:spacing w:before="0" w:line="240" w:lineRule="auto"/>
        <w:rPr>
          <w:bCs/>
          <w:sz w:val="22"/>
          <w:szCs w:val="22"/>
        </w:rPr>
      </w:pPr>
      <w:bookmarkStart w:id="50" w:name="_Ref502917762"/>
      <w:bookmarkStart w:id="51" w:name="_Toc8728088"/>
      <w:bookmarkStart w:id="52" w:name="_Toc19526743"/>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14</w:t>
      </w:r>
      <w:r w:rsidRPr="0082484A">
        <w:rPr>
          <w:bCs/>
          <w:noProof/>
          <w:sz w:val="22"/>
          <w:szCs w:val="22"/>
        </w:rPr>
        <w:fldChar w:fldCharType="end"/>
      </w:r>
      <w:bookmarkEnd w:id="50"/>
      <w:r w:rsidRPr="0082484A">
        <w:rPr>
          <w:bCs/>
          <w:sz w:val="22"/>
          <w:szCs w:val="22"/>
        </w:rPr>
        <w:t>: Secondary outcome for Trial 1: The proportion of patients with Type 2 diabetes achieving Haemoglobin A1c value below or equal to 59 mmol/mol (WP4A)</w:t>
      </w:r>
      <w:r w:rsidRPr="0082484A">
        <w:rPr>
          <w:bCs/>
          <w:sz w:val="22"/>
          <w:szCs w:val="22"/>
          <w:vertAlign w:val="superscript"/>
        </w:rPr>
        <w:t xml:space="preserve"> a</w:t>
      </w:r>
      <w:bookmarkEnd w:id="51"/>
      <w:bookmarkEnd w:id="52"/>
      <w:r w:rsidR="00D500CF">
        <w:rPr>
          <w:bCs/>
          <w:sz w:val="22"/>
          <w:szCs w:val="22"/>
          <w:vertAlign w:val="superscript"/>
        </w:rPr>
        <w:t>, b</w:t>
      </w:r>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4747680C"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F157E67" w14:textId="77777777" w:rsidR="00B77EA3" w:rsidRPr="0082484A" w:rsidRDefault="00B77EA3" w:rsidP="00B77EA3">
            <w:pPr>
              <w:spacing w:beforeLines="10" w:before="24" w:afterLines="10" w:after="24" w:line="240" w:lineRule="auto"/>
              <w:rPr>
                <w:bCs/>
                <w:sz w:val="22"/>
                <w:szCs w:val="22"/>
              </w:rPr>
            </w:pPr>
            <w:bookmarkStart w:id="53" w:name="IDX15"/>
            <w:bookmarkEnd w:id="53"/>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69EDF4E"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E97B6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33087A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7D1961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78E56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0648F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2AC2F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6873CC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D33621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419698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6F5DB8"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06B08A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537B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0.0497</w:t>
            </w:r>
          </w:p>
        </w:tc>
        <w:tc>
          <w:tcPr>
            <w:tcW w:w="1134" w:type="dxa"/>
            <w:tcBorders>
              <w:top w:val="nil"/>
              <w:left w:val="nil"/>
              <w:bottom w:val="nil"/>
              <w:right w:val="nil"/>
            </w:tcBorders>
            <w:shd w:val="clear" w:color="auto" w:fill="FFFFFF"/>
            <w:tcMar>
              <w:left w:w="67" w:type="dxa"/>
              <w:right w:w="67" w:type="dxa"/>
            </w:tcMar>
            <w:vAlign w:val="center"/>
          </w:tcPr>
          <w:p w14:paraId="45E64D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0.0525</w:t>
            </w:r>
          </w:p>
        </w:tc>
        <w:tc>
          <w:tcPr>
            <w:tcW w:w="1134" w:type="dxa"/>
            <w:tcBorders>
              <w:top w:val="nil"/>
              <w:left w:val="nil"/>
              <w:bottom w:val="nil"/>
              <w:right w:val="nil"/>
            </w:tcBorders>
            <w:shd w:val="clear" w:color="auto" w:fill="FFFFFF"/>
            <w:tcMar>
              <w:left w:w="67" w:type="dxa"/>
              <w:right w:w="67" w:type="dxa"/>
            </w:tcMar>
            <w:vAlign w:val="center"/>
          </w:tcPr>
          <w:p w14:paraId="2F4AB6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1.0510</w:t>
            </w:r>
          </w:p>
        </w:tc>
        <w:tc>
          <w:tcPr>
            <w:tcW w:w="1134" w:type="dxa"/>
            <w:tcBorders>
              <w:top w:val="nil"/>
              <w:left w:val="nil"/>
              <w:bottom w:val="nil"/>
              <w:right w:val="nil"/>
            </w:tcBorders>
            <w:shd w:val="clear" w:color="auto" w:fill="FFFFFF"/>
            <w:tcMar>
              <w:left w:w="67" w:type="dxa"/>
              <w:right w:w="67" w:type="dxa"/>
            </w:tcMar>
            <w:vAlign w:val="center"/>
          </w:tcPr>
          <w:p w14:paraId="603AEE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0.9342</w:t>
            </w:r>
          </w:p>
        </w:tc>
        <w:tc>
          <w:tcPr>
            <w:tcW w:w="1134" w:type="dxa"/>
            <w:tcBorders>
              <w:top w:val="nil"/>
              <w:left w:val="nil"/>
              <w:bottom w:val="nil"/>
              <w:right w:val="nil"/>
            </w:tcBorders>
            <w:shd w:val="clear" w:color="auto" w:fill="FFFFFF"/>
            <w:tcMar>
              <w:left w:w="67" w:type="dxa"/>
              <w:right w:w="67" w:type="dxa"/>
            </w:tcMar>
            <w:vAlign w:val="center"/>
          </w:tcPr>
          <w:p w14:paraId="4FE819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1.1823</w:t>
            </w:r>
          </w:p>
        </w:tc>
        <w:tc>
          <w:tcPr>
            <w:tcW w:w="1134" w:type="dxa"/>
            <w:tcBorders>
              <w:top w:val="nil"/>
              <w:left w:val="nil"/>
              <w:bottom w:val="nil"/>
              <w:right w:val="nil"/>
            </w:tcBorders>
            <w:shd w:val="clear" w:color="auto" w:fill="FFFFFF"/>
            <w:tcMar>
              <w:left w:w="67" w:type="dxa"/>
              <w:right w:w="67" w:type="dxa"/>
            </w:tcMar>
            <w:vAlign w:val="center"/>
          </w:tcPr>
          <w:p w14:paraId="161D59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w:t>
            </w:r>
          </w:p>
        </w:tc>
        <w:tc>
          <w:tcPr>
            <w:tcW w:w="567" w:type="dxa"/>
            <w:tcBorders>
              <w:top w:val="nil"/>
              <w:left w:val="nil"/>
              <w:bottom w:val="nil"/>
              <w:right w:val="nil"/>
            </w:tcBorders>
            <w:shd w:val="clear" w:color="auto" w:fill="FFFFFF"/>
            <w:tcMar>
              <w:left w:w="67" w:type="dxa"/>
              <w:right w:w="67" w:type="dxa"/>
            </w:tcMar>
            <w:vAlign w:val="center"/>
          </w:tcPr>
          <w:p w14:paraId="7EFF9E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82B2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0.3442</w:t>
            </w:r>
          </w:p>
        </w:tc>
      </w:tr>
      <w:tr w:rsidR="00B77EA3" w:rsidRPr="0082484A" w14:paraId="10BF906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F337AB"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6AB4EC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44F8D4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0.1157</w:t>
            </w:r>
          </w:p>
        </w:tc>
        <w:tc>
          <w:tcPr>
            <w:tcW w:w="1134" w:type="dxa"/>
            <w:tcBorders>
              <w:top w:val="nil"/>
              <w:left w:val="nil"/>
              <w:bottom w:val="nil"/>
              <w:right w:val="nil"/>
            </w:tcBorders>
            <w:shd w:val="clear" w:color="auto" w:fill="FFFFFF"/>
            <w:tcMar>
              <w:left w:w="67" w:type="dxa"/>
              <w:right w:w="67" w:type="dxa"/>
            </w:tcMar>
            <w:vAlign w:val="center"/>
          </w:tcPr>
          <w:p w14:paraId="19100B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0.0248</w:t>
            </w:r>
          </w:p>
        </w:tc>
        <w:tc>
          <w:tcPr>
            <w:tcW w:w="1134" w:type="dxa"/>
            <w:tcBorders>
              <w:top w:val="nil"/>
              <w:left w:val="nil"/>
              <w:bottom w:val="nil"/>
              <w:right w:val="nil"/>
            </w:tcBorders>
            <w:shd w:val="clear" w:color="auto" w:fill="FFFFFF"/>
            <w:tcMar>
              <w:left w:w="67" w:type="dxa"/>
              <w:right w:w="67" w:type="dxa"/>
            </w:tcMar>
            <w:vAlign w:val="center"/>
          </w:tcPr>
          <w:p w14:paraId="17A0EC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1.1227</w:t>
            </w:r>
          </w:p>
        </w:tc>
        <w:tc>
          <w:tcPr>
            <w:tcW w:w="1134" w:type="dxa"/>
            <w:tcBorders>
              <w:top w:val="nil"/>
              <w:left w:val="nil"/>
              <w:bottom w:val="nil"/>
              <w:right w:val="nil"/>
            </w:tcBorders>
            <w:shd w:val="clear" w:color="auto" w:fill="FFFFFF"/>
            <w:tcMar>
              <w:left w:w="67" w:type="dxa"/>
              <w:right w:w="67" w:type="dxa"/>
            </w:tcMar>
            <w:vAlign w:val="center"/>
          </w:tcPr>
          <w:p w14:paraId="13B0B7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1.0620</w:t>
            </w:r>
          </w:p>
        </w:tc>
        <w:tc>
          <w:tcPr>
            <w:tcW w:w="1134" w:type="dxa"/>
            <w:tcBorders>
              <w:top w:val="nil"/>
              <w:left w:val="nil"/>
              <w:bottom w:val="nil"/>
              <w:right w:val="nil"/>
            </w:tcBorders>
            <w:shd w:val="clear" w:color="auto" w:fill="FFFFFF"/>
            <w:tcMar>
              <w:left w:w="67" w:type="dxa"/>
              <w:right w:w="67" w:type="dxa"/>
            </w:tcMar>
            <w:vAlign w:val="center"/>
          </w:tcPr>
          <w:p w14:paraId="7D769A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1.1869</w:t>
            </w:r>
          </w:p>
        </w:tc>
        <w:tc>
          <w:tcPr>
            <w:tcW w:w="1134" w:type="dxa"/>
            <w:tcBorders>
              <w:top w:val="nil"/>
              <w:left w:val="nil"/>
              <w:bottom w:val="nil"/>
              <w:right w:val="nil"/>
            </w:tcBorders>
            <w:shd w:val="clear" w:color="auto" w:fill="FFFFFF"/>
            <w:tcMar>
              <w:left w:w="67" w:type="dxa"/>
              <w:right w:w="67" w:type="dxa"/>
            </w:tcMar>
            <w:vAlign w:val="center"/>
          </w:tcPr>
          <w:p w14:paraId="4A1085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21.76</w:t>
            </w:r>
          </w:p>
        </w:tc>
        <w:tc>
          <w:tcPr>
            <w:tcW w:w="567" w:type="dxa"/>
            <w:tcBorders>
              <w:top w:val="nil"/>
              <w:left w:val="nil"/>
              <w:bottom w:val="nil"/>
              <w:right w:val="nil"/>
            </w:tcBorders>
            <w:shd w:val="clear" w:color="auto" w:fill="FFFFFF"/>
            <w:tcMar>
              <w:left w:w="67" w:type="dxa"/>
              <w:right w:w="67" w:type="dxa"/>
            </w:tcMar>
            <w:vAlign w:val="center"/>
          </w:tcPr>
          <w:p w14:paraId="76DE30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05F6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F4EF92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12848D"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173C84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1D60D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0.0213</w:t>
            </w:r>
          </w:p>
        </w:tc>
        <w:tc>
          <w:tcPr>
            <w:tcW w:w="1134" w:type="dxa"/>
            <w:tcBorders>
              <w:top w:val="nil"/>
              <w:left w:val="nil"/>
              <w:bottom w:val="nil"/>
              <w:right w:val="nil"/>
            </w:tcBorders>
            <w:shd w:val="clear" w:color="auto" w:fill="FFFFFF"/>
            <w:tcMar>
              <w:left w:w="67" w:type="dxa"/>
              <w:right w:w="67" w:type="dxa"/>
            </w:tcMar>
            <w:vAlign w:val="center"/>
          </w:tcPr>
          <w:p w14:paraId="1BCFCD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0DFB29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1.0215</w:t>
            </w:r>
          </w:p>
        </w:tc>
        <w:tc>
          <w:tcPr>
            <w:tcW w:w="1134" w:type="dxa"/>
            <w:tcBorders>
              <w:top w:val="nil"/>
              <w:left w:val="nil"/>
              <w:bottom w:val="nil"/>
              <w:right w:val="nil"/>
            </w:tcBorders>
            <w:shd w:val="clear" w:color="auto" w:fill="FFFFFF"/>
            <w:tcMar>
              <w:left w:w="67" w:type="dxa"/>
              <w:right w:w="67" w:type="dxa"/>
            </w:tcMar>
            <w:vAlign w:val="center"/>
          </w:tcPr>
          <w:p w14:paraId="776DED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1.0194</w:t>
            </w:r>
          </w:p>
        </w:tc>
        <w:tc>
          <w:tcPr>
            <w:tcW w:w="1134" w:type="dxa"/>
            <w:tcBorders>
              <w:top w:val="nil"/>
              <w:left w:val="nil"/>
              <w:bottom w:val="nil"/>
              <w:right w:val="nil"/>
            </w:tcBorders>
            <w:shd w:val="clear" w:color="auto" w:fill="FFFFFF"/>
            <w:tcMar>
              <w:left w:w="67" w:type="dxa"/>
              <w:right w:w="67" w:type="dxa"/>
            </w:tcMar>
            <w:vAlign w:val="center"/>
          </w:tcPr>
          <w:p w14:paraId="4F49EE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1.0236</w:t>
            </w:r>
          </w:p>
        </w:tc>
        <w:tc>
          <w:tcPr>
            <w:tcW w:w="1134" w:type="dxa"/>
            <w:tcBorders>
              <w:top w:val="nil"/>
              <w:left w:val="nil"/>
              <w:bottom w:val="nil"/>
              <w:right w:val="nil"/>
            </w:tcBorders>
            <w:shd w:val="clear" w:color="auto" w:fill="FFFFFF"/>
            <w:tcMar>
              <w:left w:w="67" w:type="dxa"/>
              <w:right w:w="67" w:type="dxa"/>
            </w:tcMar>
            <w:vAlign w:val="center"/>
          </w:tcPr>
          <w:p w14:paraId="62517F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542.23</w:t>
            </w:r>
          </w:p>
        </w:tc>
        <w:tc>
          <w:tcPr>
            <w:tcW w:w="567" w:type="dxa"/>
            <w:tcBorders>
              <w:top w:val="nil"/>
              <w:left w:val="nil"/>
              <w:bottom w:val="nil"/>
              <w:right w:val="nil"/>
            </w:tcBorders>
            <w:shd w:val="clear" w:color="auto" w:fill="FFFFFF"/>
            <w:tcMar>
              <w:left w:w="67" w:type="dxa"/>
              <w:right w:w="67" w:type="dxa"/>
            </w:tcMar>
            <w:vAlign w:val="center"/>
          </w:tcPr>
          <w:p w14:paraId="6BA46A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A508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79107F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3B87FB0"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8078A3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44D01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3945D9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47BEC8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1.0007</w:t>
            </w:r>
          </w:p>
        </w:tc>
        <w:tc>
          <w:tcPr>
            <w:tcW w:w="1134" w:type="dxa"/>
            <w:tcBorders>
              <w:top w:val="nil"/>
              <w:left w:val="nil"/>
              <w:bottom w:val="nil"/>
              <w:right w:val="nil"/>
            </w:tcBorders>
            <w:shd w:val="clear" w:color="auto" w:fill="FFFFFF"/>
            <w:tcMar>
              <w:left w:w="67" w:type="dxa"/>
              <w:right w:w="67" w:type="dxa"/>
            </w:tcMar>
            <w:vAlign w:val="center"/>
          </w:tcPr>
          <w:p w14:paraId="7D153F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0.9989</w:t>
            </w:r>
          </w:p>
        </w:tc>
        <w:tc>
          <w:tcPr>
            <w:tcW w:w="1134" w:type="dxa"/>
            <w:tcBorders>
              <w:top w:val="nil"/>
              <w:left w:val="nil"/>
              <w:bottom w:val="nil"/>
              <w:right w:val="nil"/>
            </w:tcBorders>
            <w:shd w:val="clear" w:color="auto" w:fill="FFFFFF"/>
            <w:tcMar>
              <w:left w:w="67" w:type="dxa"/>
              <w:right w:w="67" w:type="dxa"/>
            </w:tcMar>
            <w:vAlign w:val="center"/>
          </w:tcPr>
          <w:p w14:paraId="334435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1.0026</w:t>
            </w:r>
          </w:p>
        </w:tc>
        <w:tc>
          <w:tcPr>
            <w:tcW w:w="1134" w:type="dxa"/>
            <w:tcBorders>
              <w:top w:val="nil"/>
              <w:left w:val="nil"/>
              <w:bottom w:val="nil"/>
              <w:right w:val="nil"/>
            </w:tcBorders>
            <w:shd w:val="clear" w:color="auto" w:fill="FFFFFF"/>
            <w:tcMar>
              <w:left w:w="67" w:type="dxa"/>
              <w:right w:w="67" w:type="dxa"/>
            </w:tcMar>
            <w:vAlign w:val="center"/>
          </w:tcPr>
          <w:p w14:paraId="5AD4E8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w:t>
            </w:r>
          </w:p>
        </w:tc>
        <w:tc>
          <w:tcPr>
            <w:tcW w:w="567" w:type="dxa"/>
            <w:tcBorders>
              <w:top w:val="nil"/>
              <w:left w:val="nil"/>
              <w:bottom w:val="nil"/>
              <w:right w:val="nil"/>
            </w:tcBorders>
            <w:shd w:val="clear" w:color="auto" w:fill="FFFFFF"/>
            <w:tcMar>
              <w:left w:w="67" w:type="dxa"/>
              <w:right w:w="67" w:type="dxa"/>
            </w:tcMar>
            <w:vAlign w:val="center"/>
          </w:tcPr>
          <w:p w14:paraId="34DF2A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6115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0.3739</w:t>
            </w:r>
          </w:p>
        </w:tc>
      </w:tr>
      <w:tr w:rsidR="00B77EA3" w:rsidRPr="0082484A" w14:paraId="0C95A9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1EA932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F1CEB0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7169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-0.1943</w:t>
            </w:r>
          </w:p>
        </w:tc>
        <w:tc>
          <w:tcPr>
            <w:tcW w:w="1134" w:type="dxa"/>
            <w:tcBorders>
              <w:top w:val="nil"/>
              <w:left w:val="nil"/>
              <w:bottom w:val="nil"/>
              <w:right w:val="nil"/>
            </w:tcBorders>
            <w:shd w:val="clear" w:color="auto" w:fill="FFFFFF"/>
            <w:tcMar>
              <w:left w:w="67" w:type="dxa"/>
              <w:right w:w="67" w:type="dxa"/>
            </w:tcMar>
            <w:vAlign w:val="center"/>
          </w:tcPr>
          <w:p w14:paraId="50D7D4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0.1390</w:t>
            </w:r>
          </w:p>
        </w:tc>
        <w:tc>
          <w:tcPr>
            <w:tcW w:w="1134" w:type="dxa"/>
            <w:tcBorders>
              <w:top w:val="nil"/>
              <w:left w:val="nil"/>
              <w:bottom w:val="nil"/>
              <w:right w:val="nil"/>
            </w:tcBorders>
            <w:shd w:val="clear" w:color="auto" w:fill="FFFFFF"/>
            <w:tcMar>
              <w:left w:w="67" w:type="dxa"/>
              <w:right w:w="67" w:type="dxa"/>
            </w:tcMar>
            <w:vAlign w:val="center"/>
          </w:tcPr>
          <w:p w14:paraId="030844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0.8234</w:t>
            </w:r>
          </w:p>
        </w:tc>
        <w:tc>
          <w:tcPr>
            <w:tcW w:w="1134" w:type="dxa"/>
            <w:tcBorders>
              <w:top w:val="nil"/>
              <w:left w:val="nil"/>
              <w:bottom w:val="nil"/>
              <w:right w:val="nil"/>
            </w:tcBorders>
            <w:shd w:val="clear" w:color="auto" w:fill="FFFFFF"/>
            <w:tcMar>
              <w:left w:w="67" w:type="dxa"/>
              <w:right w:w="67" w:type="dxa"/>
            </w:tcMar>
            <w:vAlign w:val="center"/>
          </w:tcPr>
          <w:p w14:paraId="6F4347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0.6030</w:t>
            </w:r>
          </w:p>
        </w:tc>
        <w:tc>
          <w:tcPr>
            <w:tcW w:w="1134" w:type="dxa"/>
            <w:tcBorders>
              <w:top w:val="nil"/>
              <w:left w:val="nil"/>
              <w:bottom w:val="nil"/>
              <w:right w:val="nil"/>
            </w:tcBorders>
            <w:shd w:val="clear" w:color="auto" w:fill="FFFFFF"/>
            <w:tcMar>
              <w:left w:w="67" w:type="dxa"/>
              <w:right w:w="67" w:type="dxa"/>
            </w:tcMar>
            <w:vAlign w:val="center"/>
          </w:tcPr>
          <w:p w14:paraId="0308D5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1.1245</w:t>
            </w:r>
          </w:p>
        </w:tc>
        <w:tc>
          <w:tcPr>
            <w:tcW w:w="1134" w:type="dxa"/>
            <w:tcBorders>
              <w:top w:val="nil"/>
              <w:left w:val="nil"/>
              <w:bottom w:val="nil"/>
              <w:right w:val="nil"/>
            </w:tcBorders>
            <w:shd w:val="clear" w:color="auto" w:fill="FFFFFF"/>
            <w:tcMar>
              <w:left w:w="67" w:type="dxa"/>
              <w:right w:w="67" w:type="dxa"/>
            </w:tcMar>
            <w:vAlign w:val="center"/>
          </w:tcPr>
          <w:p w14:paraId="04EDA7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3.17</w:t>
            </w:r>
          </w:p>
        </w:tc>
        <w:tc>
          <w:tcPr>
            <w:tcW w:w="567" w:type="dxa"/>
            <w:tcBorders>
              <w:top w:val="nil"/>
              <w:left w:val="nil"/>
              <w:bottom w:val="nil"/>
              <w:right w:val="nil"/>
            </w:tcBorders>
            <w:shd w:val="clear" w:color="auto" w:fill="FFFFFF"/>
            <w:tcMar>
              <w:left w:w="67" w:type="dxa"/>
              <w:right w:w="67" w:type="dxa"/>
            </w:tcMar>
            <w:vAlign w:val="center"/>
          </w:tcPr>
          <w:p w14:paraId="2C3430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93AB7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r>
      <w:tr w:rsidR="00B77EA3" w:rsidRPr="0082484A" w14:paraId="0ED8334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90693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32282C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DFF23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-0.1423</w:t>
            </w:r>
          </w:p>
        </w:tc>
        <w:tc>
          <w:tcPr>
            <w:tcW w:w="1134" w:type="dxa"/>
            <w:tcBorders>
              <w:top w:val="nil"/>
              <w:left w:val="nil"/>
              <w:bottom w:val="nil"/>
              <w:right w:val="nil"/>
            </w:tcBorders>
            <w:shd w:val="clear" w:color="auto" w:fill="FFFFFF"/>
            <w:tcMar>
              <w:left w:w="67" w:type="dxa"/>
              <w:right w:w="67" w:type="dxa"/>
            </w:tcMar>
            <w:vAlign w:val="center"/>
          </w:tcPr>
          <w:p w14:paraId="2FFDA8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0.1312</w:t>
            </w:r>
          </w:p>
        </w:tc>
        <w:tc>
          <w:tcPr>
            <w:tcW w:w="1134" w:type="dxa"/>
            <w:tcBorders>
              <w:top w:val="nil"/>
              <w:left w:val="nil"/>
              <w:bottom w:val="nil"/>
              <w:right w:val="nil"/>
            </w:tcBorders>
            <w:shd w:val="clear" w:color="auto" w:fill="FFFFFF"/>
            <w:tcMar>
              <w:left w:w="67" w:type="dxa"/>
              <w:right w:w="67" w:type="dxa"/>
            </w:tcMar>
            <w:vAlign w:val="center"/>
          </w:tcPr>
          <w:p w14:paraId="31284D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0.8673</w:t>
            </w:r>
          </w:p>
        </w:tc>
        <w:tc>
          <w:tcPr>
            <w:tcW w:w="1134" w:type="dxa"/>
            <w:tcBorders>
              <w:top w:val="nil"/>
              <w:left w:val="nil"/>
              <w:bottom w:val="nil"/>
              <w:right w:val="nil"/>
            </w:tcBorders>
            <w:shd w:val="clear" w:color="auto" w:fill="FFFFFF"/>
            <w:tcMar>
              <w:left w:w="67" w:type="dxa"/>
              <w:right w:w="67" w:type="dxa"/>
            </w:tcMar>
            <w:vAlign w:val="center"/>
          </w:tcPr>
          <w:p w14:paraId="723B0B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0.6463</w:t>
            </w:r>
          </w:p>
        </w:tc>
        <w:tc>
          <w:tcPr>
            <w:tcW w:w="1134" w:type="dxa"/>
            <w:tcBorders>
              <w:top w:val="nil"/>
              <w:left w:val="nil"/>
              <w:bottom w:val="nil"/>
              <w:right w:val="nil"/>
            </w:tcBorders>
            <w:shd w:val="clear" w:color="auto" w:fill="FFFFFF"/>
            <w:tcMar>
              <w:left w:w="67" w:type="dxa"/>
              <w:right w:w="67" w:type="dxa"/>
            </w:tcMar>
            <w:vAlign w:val="center"/>
          </w:tcPr>
          <w:p w14:paraId="5E2C5E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1.1640</w:t>
            </w:r>
          </w:p>
        </w:tc>
        <w:tc>
          <w:tcPr>
            <w:tcW w:w="1134" w:type="dxa"/>
            <w:tcBorders>
              <w:top w:val="nil"/>
              <w:left w:val="nil"/>
              <w:bottom w:val="nil"/>
              <w:right w:val="nil"/>
            </w:tcBorders>
            <w:shd w:val="clear" w:color="auto" w:fill="FFFFFF"/>
            <w:tcMar>
              <w:left w:w="67" w:type="dxa"/>
              <w:right w:w="67" w:type="dxa"/>
            </w:tcMar>
            <w:vAlign w:val="center"/>
          </w:tcPr>
          <w:p w14:paraId="672FB8A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CCB502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CDF90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A51919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732FBB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9EE55D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75F2C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-0.1156</w:t>
            </w:r>
          </w:p>
        </w:tc>
        <w:tc>
          <w:tcPr>
            <w:tcW w:w="1134" w:type="dxa"/>
            <w:tcBorders>
              <w:top w:val="nil"/>
              <w:left w:val="nil"/>
              <w:bottom w:val="nil"/>
              <w:right w:val="nil"/>
            </w:tcBorders>
            <w:shd w:val="clear" w:color="auto" w:fill="FFFFFF"/>
            <w:tcMar>
              <w:left w:w="67" w:type="dxa"/>
              <w:right w:w="67" w:type="dxa"/>
            </w:tcMar>
            <w:vAlign w:val="center"/>
          </w:tcPr>
          <w:p w14:paraId="494215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0.0930</w:t>
            </w:r>
          </w:p>
        </w:tc>
        <w:tc>
          <w:tcPr>
            <w:tcW w:w="1134" w:type="dxa"/>
            <w:tcBorders>
              <w:top w:val="nil"/>
              <w:left w:val="nil"/>
              <w:bottom w:val="nil"/>
              <w:right w:val="nil"/>
            </w:tcBorders>
            <w:shd w:val="clear" w:color="auto" w:fill="FFFFFF"/>
            <w:tcMar>
              <w:left w:w="67" w:type="dxa"/>
              <w:right w:w="67" w:type="dxa"/>
            </w:tcMar>
            <w:vAlign w:val="center"/>
          </w:tcPr>
          <w:p w14:paraId="074A7C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0.8908</w:t>
            </w:r>
          </w:p>
        </w:tc>
        <w:tc>
          <w:tcPr>
            <w:tcW w:w="1134" w:type="dxa"/>
            <w:tcBorders>
              <w:top w:val="nil"/>
              <w:left w:val="nil"/>
              <w:bottom w:val="nil"/>
              <w:right w:val="nil"/>
            </w:tcBorders>
            <w:shd w:val="clear" w:color="auto" w:fill="FFFFFF"/>
            <w:tcMar>
              <w:left w:w="67" w:type="dxa"/>
              <w:right w:w="67" w:type="dxa"/>
            </w:tcMar>
            <w:vAlign w:val="center"/>
          </w:tcPr>
          <w:p w14:paraId="4F8B11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0.7233</w:t>
            </w:r>
          </w:p>
        </w:tc>
        <w:tc>
          <w:tcPr>
            <w:tcW w:w="1134" w:type="dxa"/>
            <w:tcBorders>
              <w:top w:val="nil"/>
              <w:left w:val="nil"/>
              <w:bottom w:val="nil"/>
              <w:right w:val="nil"/>
            </w:tcBorders>
            <w:shd w:val="clear" w:color="auto" w:fill="FFFFFF"/>
            <w:tcMar>
              <w:left w:w="67" w:type="dxa"/>
              <w:right w:w="67" w:type="dxa"/>
            </w:tcMar>
            <w:vAlign w:val="center"/>
          </w:tcPr>
          <w:p w14:paraId="2536F9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1.0972</w:t>
            </w:r>
          </w:p>
        </w:tc>
        <w:tc>
          <w:tcPr>
            <w:tcW w:w="1134" w:type="dxa"/>
            <w:tcBorders>
              <w:top w:val="nil"/>
              <w:left w:val="nil"/>
              <w:bottom w:val="nil"/>
              <w:right w:val="nil"/>
            </w:tcBorders>
            <w:shd w:val="clear" w:color="auto" w:fill="FFFFFF"/>
            <w:tcMar>
              <w:left w:w="67" w:type="dxa"/>
              <w:right w:w="67" w:type="dxa"/>
            </w:tcMar>
            <w:vAlign w:val="center"/>
          </w:tcPr>
          <w:p w14:paraId="491E0C9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0D6493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C276B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38BB53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4A32E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78FAFD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59C8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0.0733</w:t>
            </w:r>
          </w:p>
        </w:tc>
        <w:tc>
          <w:tcPr>
            <w:tcW w:w="1134" w:type="dxa"/>
            <w:tcBorders>
              <w:top w:val="nil"/>
              <w:left w:val="nil"/>
              <w:bottom w:val="nil"/>
              <w:right w:val="nil"/>
            </w:tcBorders>
            <w:shd w:val="clear" w:color="auto" w:fill="FFFFFF"/>
            <w:tcMar>
              <w:left w:w="67" w:type="dxa"/>
              <w:right w:w="67" w:type="dxa"/>
            </w:tcMar>
            <w:vAlign w:val="center"/>
          </w:tcPr>
          <w:p w14:paraId="257A8B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0.1298</w:t>
            </w:r>
          </w:p>
        </w:tc>
        <w:tc>
          <w:tcPr>
            <w:tcW w:w="1134" w:type="dxa"/>
            <w:tcBorders>
              <w:top w:val="nil"/>
              <w:left w:val="nil"/>
              <w:bottom w:val="nil"/>
              <w:right w:val="nil"/>
            </w:tcBorders>
            <w:shd w:val="clear" w:color="auto" w:fill="FFFFFF"/>
            <w:tcMar>
              <w:left w:w="67" w:type="dxa"/>
              <w:right w:w="67" w:type="dxa"/>
            </w:tcMar>
            <w:vAlign w:val="center"/>
          </w:tcPr>
          <w:p w14:paraId="694BDA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1.0760</w:t>
            </w:r>
          </w:p>
        </w:tc>
        <w:tc>
          <w:tcPr>
            <w:tcW w:w="1134" w:type="dxa"/>
            <w:tcBorders>
              <w:top w:val="nil"/>
              <w:left w:val="nil"/>
              <w:bottom w:val="nil"/>
              <w:right w:val="nil"/>
            </w:tcBorders>
            <w:shd w:val="clear" w:color="auto" w:fill="FFFFFF"/>
            <w:tcMar>
              <w:left w:w="67" w:type="dxa"/>
              <w:right w:w="67" w:type="dxa"/>
            </w:tcMar>
            <w:vAlign w:val="center"/>
          </w:tcPr>
          <w:p w14:paraId="1E0A95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0.8045</w:t>
            </w:r>
          </w:p>
        </w:tc>
        <w:tc>
          <w:tcPr>
            <w:tcW w:w="1134" w:type="dxa"/>
            <w:tcBorders>
              <w:top w:val="nil"/>
              <w:left w:val="nil"/>
              <w:bottom w:val="nil"/>
              <w:right w:val="nil"/>
            </w:tcBorders>
            <w:shd w:val="clear" w:color="auto" w:fill="FFFFFF"/>
            <w:tcMar>
              <w:left w:w="67" w:type="dxa"/>
              <w:right w:w="67" w:type="dxa"/>
            </w:tcMar>
            <w:vAlign w:val="center"/>
          </w:tcPr>
          <w:p w14:paraId="171450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1.4393</w:t>
            </w:r>
          </w:p>
        </w:tc>
        <w:tc>
          <w:tcPr>
            <w:tcW w:w="1134" w:type="dxa"/>
            <w:tcBorders>
              <w:top w:val="nil"/>
              <w:left w:val="nil"/>
              <w:bottom w:val="nil"/>
              <w:right w:val="nil"/>
            </w:tcBorders>
            <w:shd w:val="clear" w:color="auto" w:fill="FFFFFF"/>
            <w:tcMar>
              <w:left w:w="67" w:type="dxa"/>
              <w:right w:w="67" w:type="dxa"/>
            </w:tcMar>
            <w:vAlign w:val="center"/>
          </w:tcPr>
          <w:p w14:paraId="014E913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264DD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85F16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3C0A1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1B4F2C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5D27B5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D156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0.3717</w:t>
            </w:r>
          </w:p>
        </w:tc>
        <w:tc>
          <w:tcPr>
            <w:tcW w:w="1134" w:type="dxa"/>
            <w:tcBorders>
              <w:top w:val="nil"/>
              <w:left w:val="nil"/>
              <w:bottom w:val="nil"/>
              <w:right w:val="nil"/>
            </w:tcBorders>
            <w:shd w:val="clear" w:color="auto" w:fill="FFFFFF"/>
            <w:tcMar>
              <w:left w:w="67" w:type="dxa"/>
              <w:right w:w="67" w:type="dxa"/>
            </w:tcMar>
            <w:vAlign w:val="center"/>
          </w:tcPr>
          <w:p w14:paraId="57E972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0.1334</w:t>
            </w:r>
          </w:p>
        </w:tc>
        <w:tc>
          <w:tcPr>
            <w:tcW w:w="1134" w:type="dxa"/>
            <w:tcBorders>
              <w:top w:val="nil"/>
              <w:left w:val="nil"/>
              <w:bottom w:val="nil"/>
              <w:right w:val="nil"/>
            </w:tcBorders>
            <w:shd w:val="clear" w:color="auto" w:fill="FFFFFF"/>
            <w:tcMar>
              <w:left w:w="67" w:type="dxa"/>
              <w:right w:w="67" w:type="dxa"/>
            </w:tcMar>
            <w:vAlign w:val="center"/>
          </w:tcPr>
          <w:p w14:paraId="31E291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1.4502</w:t>
            </w:r>
          </w:p>
        </w:tc>
        <w:tc>
          <w:tcPr>
            <w:tcW w:w="1134" w:type="dxa"/>
            <w:tcBorders>
              <w:top w:val="nil"/>
              <w:left w:val="nil"/>
              <w:bottom w:val="nil"/>
              <w:right w:val="nil"/>
            </w:tcBorders>
            <w:shd w:val="clear" w:color="auto" w:fill="FFFFFF"/>
            <w:tcMar>
              <w:left w:w="67" w:type="dxa"/>
              <w:right w:w="67" w:type="dxa"/>
            </w:tcMar>
            <w:vAlign w:val="center"/>
          </w:tcPr>
          <w:p w14:paraId="5BFE40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1.0755</w:t>
            </w:r>
          </w:p>
        </w:tc>
        <w:tc>
          <w:tcPr>
            <w:tcW w:w="1134" w:type="dxa"/>
            <w:tcBorders>
              <w:top w:val="nil"/>
              <w:left w:val="nil"/>
              <w:bottom w:val="nil"/>
              <w:right w:val="nil"/>
            </w:tcBorders>
            <w:shd w:val="clear" w:color="auto" w:fill="FFFFFF"/>
            <w:tcMar>
              <w:left w:w="67" w:type="dxa"/>
              <w:right w:w="67" w:type="dxa"/>
            </w:tcMar>
            <w:vAlign w:val="center"/>
          </w:tcPr>
          <w:p w14:paraId="43F2C3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1.9555</w:t>
            </w:r>
          </w:p>
        </w:tc>
        <w:tc>
          <w:tcPr>
            <w:tcW w:w="1134" w:type="dxa"/>
            <w:tcBorders>
              <w:top w:val="nil"/>
              <w:left w:val="nil"/>
              <w:bottom w:val="nil"/>
              <w:right w:val="nil"/>
            </w:tcBorders>
            <w:shd w:val="clear" w:color="auto" w:fill="FFFFFF"/>
            <w:tcMar>
              <w:left w:w="67" w:type="dxa"/>
              <w:right w:w="67" w:type="dxa"/>
            </w:tcMar>
            <w:vAlign w:val="center"/>
          </w:tcPr>
          <w:p w14:paraId="5350EA7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40011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C76C71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E6626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FF6598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8D49A7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373A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0.0690</w:t>
            </w:r>
          </w:p>
        </w:tc>
        <w:tc>
          <w:tcPr>
            <w:tcW w:w="1134" w:type="dxa"/>
            <w:tcBorders>
              <w:top w:val="nil"/>
              <w:left w:val="nil"/>
              <w:bottom w:val="nil"/>
              <w:right w:val="nil"/>
            </w:tcBorders>
            <w:shd w:val="clear" w:color="auto" w:fill="FFFFFF"/>
            <w:tcMar>
              <w:left w:w="67" w:type="dxa"/>
              <w:right w:w="67" w:type="dxa"/>
            </w:tcMar>
            <w:vAlign w:val="center"/>
          </w:tcPr>
          <w:p w14:paraId="54D598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0.1354</w:t>
            </w:r>
          </w:p>
        </w:tc>
        <w:tc>
          <w:tcPr>
            <w:tcW w:w="1134" w:type="dxa"/>
            <w:tcBorders>
              <w:top w:val="nil"/>
              <w:left w:val="nil"/>
              <w:bottom w:val="nil"/>
              <w:right w:val="nil"/>
            </w:tcBorders>
            <w:shd w:val="clear" w:color="auto" w:fill="FFFFFF"/>
            <w:tcMar>
              <w:left w:w="67" w:type="dxa"/>
              <w:right w:w="67" w:type="dxa"/>
            </w:tcMar>
            <w:vAlign w:val="center"/>
          </w:tcPr>
          <w:p w14:paraId="21396B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1.0714</w:t>
            </w:r>
          </w:p>
        </w:tc>
        <w:tc>
          <w:tcPr>
            <w:tcW w:w="1134" w:type="dxa"/>
            <w:tcBorders>
              <w:top w:val="nil"/>
              <w:left w:val="nil"/>
              <w:bottom w:val="nil"/>
              <w:right w:val="nil"/>
            </w:tcBorders>
            <w:shd w:val="clear" w:color="auto" w:fill="FFFFFF"/>
            <w:tcMar>
              <w:left w:w="67" w:type="dxa"/>
              <w:right w:w="67" w:type="dxa"/>
            </w:tcMar>
            <w:vAlign w:val="center"/>
          </w:tcPr>
          <w:p w14:paraId="32DDD4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0.7909</w:t>
            </w:r>
          </w:p>
        </w:tc>
        <w:tc>
          <w:tcPr>
            <w:tcW w:w="1134" w:type="dxa"/>
            <w:tcBorders>
              <w:top w:val="nil"/>
              <w:left w:val="nil"/>
              <w:bottom w:val="nil"/>
              <w:right w:val="nil"/>
            </w:tcBorders>
            <w:shd w:val="clear" w:color="auto" w:fill="FFFFFF"/>
            <w:tcMar>
              <w:left w:w="67" w:type="dxa"/>
              <w:right w:w="67" w:type="dxa"/>
            </w:tcMar>
            <w:vAlign w:val="center"/>
          </w:tcPr>
          <w:p w14:paraId="033226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1.4513</w:t>
            </w:r>
          </w:p>
        </w:tc>
        <w:tc>
          <w:tcPr>
            <w:tcW w:w="1134" w:type="dxa"/>
            <w:tcBorders>
              <w:top w:val="nil"/>
              <w:left w:val="nil"/>
              <w:bottom w:val="nil"/>
              <w:right w:val="nil"/>
            </w:tcBorders>
            <w:shd w:val="clear" w:color="auto" w:fill="FFFFFF"/>
            <w:tcMar>
              <w:left w:w="67" w:type="dxa"/>
              <w:right w:w="67" w:type="dxa"/>
            </w:tcMar>
            <w:vAlign w:val="center"/>
          </w:tcPr>
          <w:p w14:paraId="3600028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96D659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4DFF27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66F807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D5A58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23D500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53387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-0.0604</w:t>
            </w:r>
          </w:p>
        </w:tc>
        <w:tc>
          <w:tcPr>
            <w:tcW w:w="1134" w:type="dxa"/>
            <w:tcBorders>
              <w:top w:val="nil"/>
              <w:left w:val="nil"/>
              <w:bottom w:val="nil"/>
              <w:right w:val="nil"/>
            </w:tcBorders>
            <w:shd w:val="clear" w:color="auto" w:fill="FFFFFF"/>
            <w:tcMar>
              <w:left w:w="67" w:type="dxa"/>
              <w:right w:w="67" w:type="dxa"/>
            </w:tcMar>
            <w:vAlign w:val="center"/>
          </w:tcPr>
          <w:p w14:paraId="64D05F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0.1122</w:t>
            </w:r>
          </w:p>
        </w:tc>
        <w:tc>
          <w:tcPr>
            <w:tcW w:w="1134" w:type="dxa"/>
            <w:tcBorders>
              <w:top w:val="nil"/>
              <w:left w:val="nil"/>
              <w:bottom w:val="nil"/>
              <w:right w:val="nil"/>
            </w:tcBorders>
            <w:shd w:val="clear" w:color="auto" w:fill="FFFFFF"/>
            <w:tcMar>
              <w:left w:w="67" w:type="dxa"/>
              <w:right w:w="67" w:type="dxa"/>
            </w:tcMar>
            <w:vAlign w:val="center"/>
          </w:tcPr>
          <w:p w14:paraId="28EAB0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0.9414</w:t>
            </w:r>
          </w:p>
        </w:tc>
        <w:tc>
          <w:tcPr>
            <w:tcW w:w="1134" w:type="dxa"/>
            <w:tcBorders>
              <w:top w:val="nil"/>
              <w:left w:val="nil"/>
              <w:bottom w:val="nil"/>
              <w:right w:val="nil"/>
            </w:tcBorders>
            <w:shd w:val="clear" w:color="auto" w:fill="FFFFFF"/>
            <w:tcMar>
              <w:left w:w="67" w:type="dxa"/>
              <w:right w:w="67" w:type="dxa"/>
            </w:tcMar>
            <w:vAlign w:val="center"/>
          </w:tcPr>
          <w:p w14:paraId="4E7A0E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0.7321</w:t>
            </w:r>
          </w:p>
        </w:tc>
        <w:tc>
          <w:tcPr>
            <w:tcW w:w="1134" w:type="dxa"/>
            <w:tcBorders>
              <w:top w:val="nil"/>
              <w:left w:val="nil"/>
              <w:bottom w:val="nil"/>
              <w:right w:val="nil"/>
            </w:tcBorders>
            <w:shd w:val="clear" w:color="auto" w:fill="FFFFFF"/>
            <w:tcMar>
              <w:left w:w="67" w:type="dxa"/>
              <w:right w:w="67" w:type="dxa"/>
            </w:tcMar>
            <w:vAlign w:val="center"/>
          </w:tcPr>
          <w:p w14:paraId="3B7FBC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1.2105</w:t>
            </w:r>
          </w:p>
        </w:tc>
        <w:tc>
          <w:tcPr>
            <w:tcW w:w="1134" w:type="dxa"/>
            <w:tcBorders>
              <w:top w:val="nil"/>
              <w:left w:val="nil"/>
              <w:bottom w:val="nil"/>
              <w:right w:val="nil"/>
            </w:tcBorders>
            <w:shd w:val="clear" w:color="auto" w:fill="FFFFFF"/>
            <w:tcMar>
              <w:left w:w="67" w:type="dxa"/>
              <w:right w:w="67" w:type="dxa"/>
            </w:tcMar>
            <w:vAlign w:val="center"/>
          </w:tcPr>
          <w:p w14:paraId="2E6AA6C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C8C524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3DDDB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0CD25A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A0E81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F3B7E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9E310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0.1037</w:t>
            </w:r>
          </w:p>
        </w:tc>
        <w:tc>
          <w:tcPr>
            <w:tcW w:w="1134" w:type="dxa"/>
            <w:tcBorders>
              <w:top w:val="nil"/>
              <w:left w:val="nil"/>
              <w:bottom w:val="nil"/>
              <w:right w:val="nil"/>
            </w:tcBorders>
            <w:shd w:val="clear" w:color="auto" w:fill="FFFFFF"/>
            <w:tcMar>
              <w:left w:w="67" w:type="dxa"/>
              <w:right w:w="67" w:type="dxa"/>
            </w:tcMar>
            <w:vAlign w:val="center"/>
          </w:tcPr>
          <w:p w14:paraId="46EBBB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0.1304</w:t>
            </w:r>
          </w:p>
        </w:tc>
        <w:tc>
          <w:tcPr>
            <w:tcW w:w="1134" w:type="dxa"/>
            <w:tcBorders>
              <w:top w:val="nil"/>
              <w:left w:val="nil"/>
              <w:bottom w:val="nil"/>
              <w:right w:val="nil"/>
            </w:tcBorders>
            <w:shd w:val="clear" w:color="auto" w:fill="FFFFFF"/>
            <w:tcMar>
              <w:left w:w="67" w:type="dxa"/>
              <w:right w:w="67" w:type="dxa"/>
            </w:tcMar>
            <w:vAlign w:val="center"/>
          </w:tcPr>
          <w:p w14:paraId="5C881C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1.1093</w:t>
            </w:r>
          </w:p>
        </w:tc>
        <w:tc>
          <w:tcPr>
            <w:tcW w:w="1134" w:type="dxa"/>
            <w:tcBorders>
              <w:top w:val="nil"/>
              <w:left w:val="nil"/>
              <w:bottom w:val="nil"/>
              <w:right w:val="nil"/>
            </w:tcBorders>
            <w:shd w:val="clear" w:color="auto" w:fill="FFFFFF"/>
            <w:tcMar>
              <w:left w:w="67" w:type="dxa"/>
              <w:right w:w="67" w:type="dxa"/>
            </w:tcMar>
            <w:vAlign w:val="center"/>
          </w:tcPr>
          <w:p w14:paraId="6CB808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0.8280</w:t>
            </w:r>
          </w:p>
        </w:tc>
        <w:tc>
          <w:tcPr>
            <w:tcW w:w="1134" w:type="dxa"/>
            <w:tcBorders>
              <w:top w:val="nil"/>
              <w:left w:val="nil"/>
              <w:bottom w:val="nil"/>
              <w:right w:val="nil"/>
            </w:tcBorders>
            <w:shd w:val="clear" w:color="auto" w:fill="FFFFFF"/>
            <w:tcMar>
              <w:left w:w="67" w:type="dxa"/>
              <w:right w:w="67" w:type="dxa"/>
            </w:tcMar>
            <w:vAlign w:val="center"/>
          </w:tcPr>
          <w:p w14:paraId="6B317E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1.4860</w:t>
            </w:r>
          </w:p>
        </w:tc>
        <w:tc>
          <w:tcPr>
            <w:tcW w:w="1134" w:type="dxa"/>
            <w:tcBorders>
              <w:top w:val="nil"/>
              <w:left w:val="nil"/>
              <w:bottom w:val="nil"/>
              <w:right w:val="nil"/>
            </w:tcBorders>
            <w:shd w:val="clear" w:color="auto" w:fill="FFFFFF"/>
            <w:tcMar>
              <w:left w:w="67" w:type="dxa"/>
              <w:right w:w="67" w:type="dxa"/>
            </w:tcMar>
            <w:vAlign w:val="center"/>
          </w:tcPr>
          <w:p w14:paraId="64C95B2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BBB996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F8C5E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AB4F9F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92B5A3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F3150F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1FCE5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-0.1398</w:t>
            </w:r>
          </w:p>
        </w:tc>
        <w:tc>
          <w:tcPr>
            <w:tcW w:w="1134" w:type="dxa"/>
            <w:tcBorders>
              <w:top w:val="nil"/>
              <w:left w:val="nil"/>
              <w:bottom w:val="nil"/>
              <w:right w:val="nil"/>
            </w:tcBorders>
            <w:shd w:val="clear" w:color="auto" w:fill="FFFFFF"/>
            <w:tcMar>
              <w:left w:w="67" w:type="dxa"/>
              <w:right w:w="67" w:type="dxa"/>
            </w:tcMar>
            <w:vAlign w:val="center"/>
          </w:tcPr>
          <w:p w14:paraId="7E033F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0.1161</w:t>
            </w:r>
          </w:p>
        </w:tc>
        <w:tc>
          <w:tcPr>
            <w:tcW w:w="1134" w:type="dxa"/>
            <w:tcBorders>
              <w:top w:val="nil"/>
              <w:left w:val="nil"/>
              <w:bottom w:val="nil"/>
              <w:right w:val="nil"/>
            </w:tcBorders>
            <w:shd w:val="clear" w:color="auto" w:fill="FFFFFF"/>
            <w:tcMar>
              <w:left w:w="67" w:type="dxa"/>
              <w:right w:w="67" w:type="dxa"/>
            </w:tcMar>
            <w:vAlign w:val="center"/>
          </w:tcPr>
          <w:p w14:paraId="5DAE2A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0.8695</w:t>
            </w:r>
          </w:p>
        </w:tc>
        <w:tc>
          <w:tcPr>
            <w:tcW w:w="1134" w:type="dxa"/>
            <w:tcBorders>
              <w:top w:val="nil"/>
              <w:left w:val="nil"/>
              <w:bottom w:val="nil"/>
              <w:right w:val="nil"/>
            </w:tcBorders>
            <w:shd w:val="clear" w:color="auto" w:fill="FFFFFF"/>
            <w:tcMar>
              <w:left w:w="67" w:type="dxa"/>
              <w:right w:w="67" w:type="dxa"/>
            </w:tcMar>
            <w:vAlign w:val="center"/>
          </w:tcPr>
          <w:p w14:paraId="7D9712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0.6703</w:t>
            </w:r>
          </w:p>
        </w:tc>
        <w:tc>
          <w:tcPr>
            <w:tcW w:w="1134" w:type="dxa"/>
            <w:tcBorders>
              <w:top w:val="nil"/>
              <w:left w:val="nil"/>
              <w:bottom w:val="nil"/>
              <w:right w:val="nil"/>
            </w:tcBorders>
            <w:shd w:val="clear" w:color="auto" w:fill="FFFFFF"/>
            <w:tcMar>
              <w:left w:w="67" w:type="dxa"/>
              <w:right w:w="67" w:type="dxa"/>
            </w:tcMar>
            <w:vAlign w:val="center"/>
          </w:tcPr>
          <w:p w14:paraId="27B6DF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1.1279</w:t>
            </w:r>
          </w:p>
        </w:tc>
        <w:tc>
          <w:tcPr>
            <w:tcW w:w="1134" w:type="dxa"/>
            <w:tcBorders>
              <w:top w:val="nil"/>
              <w:left w:val="nil"/>
              <w:bottom w:val="nil"/>
              <w:right w:val="nil"/>
            </w:tcBorders>
            <w:shd w:val="clear" w:color="auto" w:fill="FFFFFF"/>
            <w:tcMar>
              <w:left w:w="67" w:type="dxa"/>
              <w:right w:w="67" w:type="dxa"/>
            </w:tcMar>
            <w:vAlign w:val="center"/>
          </w:tcPr>
          <w:p w14:paraId="2DB3F71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C1A00D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CA03F9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678674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BE77990"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A2F5F8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671A7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112256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0.0068</w:t>
            </w:r>
          </w:p>
        </w:tc>
        <w:tc>
          <w:tcPr>
            <w:tcW w:w="1134" w:type="dxa"/>
            <w:tcBorders>
              <w:top w:val="nil"/>
              <w:left w:val="nil"/>
              <w:bottom w:val="nil"/>
              <w:right w:val="nil"/>
            </w:tcBorders>
            <w:shd w:val="clear" w:color="auto" w:fill="FFFFFF"/>
            <w:tcMar>
              <w:left w:w="67" w:type="dxa"/>
              <w:right w:w="67" w:type="dxa"/>
            </w:tcMar>
            <w:vAlign w:val="center"/>
          </w:tcPr>
          <w:p w14:paraId="6D6699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142090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0.9866</w:t>
            </w:r>
          </w:p>
        </w:tc>
        <w:tc>
          <w:tcPr>
            <w:tcW w:w="1134" w:type="dxa"/>
            <w:tcBorders>
              <w:top w:val="nil"/>
              <w:left w:val="nil"/>
              <w:bottom w:val="nil"/>
              <w:right w:val="nil"/>
            </w:tcBorders>
            <w:shd w:val="clear" w:color="auto" w:fill="FFFFFF"/>
            <w:tcMar>
              <w:left w:w="67" w:type="dxa"/>
              <w:right w:w="67" w:type="dxa"/>
            </w:tcMar>
            <w:vAlign w:val="center"/>
          </w:tcPr>
          <w:p w14:paraId="4060D8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1.0171</w:t>
            </w:r>
          </w:p>
        </w:tc>
        <w:tc>
          <w:tcPr>
            <w:tcW w:w="1134" w:type="dxa"/>
            <w:tcBorders>
              <w:top w:val="nil"/>
              <w:left w:val="nil"/>
              <w:bottom w:val="nil"/>
              <w:right w:val="nil"/>
            </w:tcBorders>
            <w:shd w:val="clear" w:color="auto" w:fill="FFFFFF"/>
            <w:tcMar>
              <w:left w:w="67" w:type="dxa"/>
              <w:right w:w="67" w:type="dxa"/>
            </w:tcMar>
            <w:vAlign w:val="center"/>
          </w:tcPr>
          <w:p w14:paraId="5E653F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w:t>
            </w:r>
          </w:p>
        </w:tc>
        <w:tc>
          <w:tcPr>
            <w:tcW w:w="567" w:type="dxa"/>
            <w:tcBorders>
              <w:top w:val="nil"/>
              <w:left w:val="nil"/>
              <w:bottom w:val="nil"/>
              <w:right w:val="nil"/>
            </w:tcBorders>
            <w:shd w:val="clear" w:color="auto" w:fill="FFFFFF"/>
            <w:tcMar>
              <w:left w:w="67" w:type="dxa"/>
              <w:right w:w="67" w:type="dxa"/>
            </w:tcMar>
            <w:vAlign w:val="center"/>
          </w:tcPr>
          <w:p w14:paraId="6D4256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F141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0.7978</w:t>
            </w:r>
          </w:p>
        </w:tc>
      </w:tr>
      <w:tr w:rsidR="00B77EA3" w:rsidRPr="0082484A" w14:paraId="711DAA1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1E8D7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03251DE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1F969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0.0214</w:t>
            </w:r>
          </w:p>
        </w:tc>
        <w:tc>
          <w:tcPr>
            <w:tcW w:w="1134" w:type="dxa"/>
            <w:tcBorders>
              <w:top w:val="nil"/>
              <w:left w:val="nil"/>
              <w:bottom w:val="nil"/>
              <w:right w:val="nil"/>
            </w:tcBorders>
            <w:shd w:val="clear" w:color="auto" w:fill="FFFFFF"/>
            <w:tcMar>
              <w:left w:w="67" w:type="dxa"/>
              <w:right w:w="67" w:type="dxa"/>
            </w:tcMar>
            <w:vAlign w:val="center"/>
          </w:tcPr>
          <w:p w14:paraId="184310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0.0039</w:t>
            </w:r>
          </w:p>
        </w:tc>
        <w:tc>
          <w:tcPr>
            <w:tcW w:w="1134" w:type="dxa"/>
            <w:tcBorders>
              <w:top w:val="nil"/>
              <w:left w:val="nil"/>
              <w:bottom w:val="nil"/>
              <w:right w:val="nil"/>
            </w:tcBorders>
            <w:shd w:val="clear" w:color="auto" w:fill="FFFFFF"/>
            <w:tcMar>
              <w:left w:w="67" w:type="dxa"/>
              <w:right w:w="67" w:type="dxa"/>
            </w:tcMar>
            <w:vAlign w:val="center"/>
          </w:tcPr>
          <w:p w14:paraId="5FC9A7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1.0217</w:t>
            </w:r>
          </w:p>
        </w:tc>
        <w:tc>
          <w:tcPr>
            <w:tcW w:w="1134" w:type="dxa"/>
            <w:tcBorders>
              <w:top w:val="nil"/>
              <w:left w:val="nil"/>
              <w:bottom w:val="nil"/>
              <w:right w:val="nil"/>
            </w:tcBorders>
            <w:shd w:val="clear" w:color="auto" w:fill="FFFFFF"/>
            <w:tcMar>
              <w:left w:w="67" w:type="dxa"/>
              <w:right w:w="67" w:type="dxa"/>
            </w:tcMar>
            <w:vAlign w:val="center"/>
          </w:tcPr>
          <w:p w14:paraId="563AB2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1.0127</w:t>
            </w:r>
          </w:p>
        </w:tc>
        <w:tc>
          <w:tcPr>
            <w:tcW w:w="1134" w:type="dxa"/>
            <w:tcBorders>
              <w:top w:val="nil"/>
              <w:left w:val="nil"/>
              <w:bottom w:val="nil"/>
              <w:right w:val="nil"/>
            </w:tcBorders>
            <w:shd w:val="clear" w:color="auto" w:fill="FFFFFF"/>
            <w:tcMar>
              <w:left w:w="67" w:type="dxa"/>
              <w:right w:w="67" w:type="dxa"/>
            </w:tcMar>
            <w:vAlign w:val="center"/>
          </w:tcPr>
          <w:p w14:paraId="24D0E0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1.0307</w:t>
            </w:r>
          </w:p>
        </w:tc>
        <w:tc>
          <w:tcPr>
            <w:tcW w:w="1134" w:type="dxa"/>
            <w:tcBorders>
              <w:top w:val="nil"/>
              <w:left w:val="nil"/>
              <w:bottom w:val="nil"/>
              <w:right w:val="nil"/>
            </w:tcBorders>
            <w:shd w:val="clear" w:color="auto" w:fill="FFFFFF"/>
            <w:tcMar>
              <w:left w:w="67" w:type="dxa"/>
              <w:right w:w="67" w:type="dxa"/>
            </w:tcMar>
            <w:vAlign w:val="center"/>
          </w:tcPr>
          <w:p w14:paraId="7C425F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29.57</w:t>
            </w:r>
          </w:p>
        </w:tc>
        <w:tc>
          <w:tcPr>
            <w:tcW w:w="567" w:type="dxa"/>
            <w:tcBorders>
              <w:top w:val="nil"/>
              <w:left w:val="nil"/>
              <w:bottom w:val="nil"/>
              <w:right w:val="nil"/>
            </w:tcBorders>
            <w:shd w:val="clear" w:color="auto" w:fill="FFFFFF"/>
            <w:tcMar>
              <w:left w:w="67" w:type="dxa"/>
              <w:right w:w="67" w:type="dxa"/>
            </w:tcMar>
            <w:vAlign w:val="center"/>
          </w:tcPr>
          <w:p w14:paraId="195798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8749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7E51F0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A134EEF"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71C7F62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F3BDD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56AEAB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0601F2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0.9995</w:t>
            </w:r>
          </w:p>
        </w:tc>
        <w:tc>
          <w:tcPr>
            <w:tcW w:w="1134" w:type="dxa"/>
            <w:tcBorders>
              <w:top w:val="nil"/>
              <w:left w:val="nil"/>
              <w:bottom w:val="nil"/>
              <w:right w:val="nil"/>
            </w:tcBorders>
            <w:shd w:val="clear" w:color="auto" w:fill="FFFFFF"/>
            <w:tcMar>
              <w:left w:w="67" w:type="dxa"/>
              <w:right w:w="67" w:type="dxa"/>
            </w:tcMar>
            <w:vAlign w:val="center"/>
          </w:tcPr>
          <w:p w14:paraId="13B84B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0.9971</w:t>
            </w:r>
          </w:p>
        </w:tc>
        <w:tc>
          <w:tcPr>
            <w:tcW w:w="1134" w:type="dxa"/>
            <w:tcBorders>
              <w:top w:val="nil"/>
              <w:left w:val="nil"/>
              <w:bottom w:val="nil"/>
              <w:right w:val="nil"/>
            </w:tcBorders>
            <w:shd w:val="clear" w:color="auto" w:fill="FFFFFF"/>
            <w:tcMar>
              <w:left w:w="67" w:type="dxa"/>
              <w:right w:w="67" w:type="dxa"/>
            </w:tcMar>
            <w:vAlign w:val="center"/>
          </w:tcPr>
          <w:p w14:paraId="203973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1.0020</w:t>
            </w:r>
          </w:p>
        </w:tc>
        <w:tc>
          <w:tcPr>
            <w:tcW w:w="1134" w:type="dxa"/>
            <w:tcBorders>
              <w:top w:val="nil"/>
              <w:left w:val="nil"/>
              <w:bottom w:val="nil"/>
              <w:right w:val="nil"/>
            </w:tcBorders>
            <w:shd w:val="clear" w:color="auto" w:fill="FFFFFF"/>
            <w:tcMar>
              <w:left w:w="67" w:type="dxa"/>
              <w:right w:w="67" w:type="dxa"/>
            </w:tcMar>
            <w:vAlign w:val="center"/>
          </w:tcPr>
          <w:p w14:paraId="571FD1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7AC6A5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D873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0.6681</w:t>
            </w:r>
          </w:p>
        </w:tc>
      </w:tr>
      <w:tr w:rsidR="00B77EA3" w:rsidRPr="0082484A" w14:paraId="0E2CD771"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0BE4ED2C"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86B745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5B39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AB3C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736CC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C6207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0.8786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7B870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9B928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F5EC0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0F97C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0.1185</w:t>
            </w:r>
          </w:p>
        </w:tc>
      </w:tr>
    </w:tbl>
    <w:p w14:paraId="705E7F01" w14:textId="49EA54E2" w:rsidR="00D500CF" w:rsidRDefault="00B77EA3" w:rsidP="00B77EA3">
      <w:pPr>
        <w:spacing w:before="0" w:after="160" w:line="259" w:lineRule="auto"/>
        <w:rPr>
          <w:sz w:val="22"/>
          <w:szCs w:val="22"/>
        </w:rPr>
      </w:pPr>
      <w:r w:rsidRPr="0082484A">
        <w:rPr>
          <w:sz w:val="22"/>
          <w:szCs w:val="22"/>
          <w:vertAlign w:val="superscript"/>
        </w:rPr>
        <w:t>a</w:t>
      </w:r>
      <w:r w:rsidRPr="0082484A">
        <w:rPr>
          <w:sz w:val="22"/>
          <w:szCs w:val="22"/>
        </w:rPr>
        <w:t xml:space="preserve"> The estimated number needed to treat for one patient with Type 2 diabetes to achieve Haemoglobin A1c value below or equal to 59 mmol/mol is 94</w:t>
      </w:r>
    </w:p>
    <w:p w14:paraId="3DC75019" w14:textId="679CEEF8" w:rsidR="00D500CF" w:rsidRDefault="00D500CF" w:rsidP="00B77EA3">
      <w:pPr>
        <w:spacing w:before="0" w:after="160" w:line="259" w:lineRule="auto"/>
        <w:rPr>
          <w:sz w:val="22"/>
          <w:szCs w:val="22"/>
        </w:rPr>
      </w:pPr>
      <w:r>
        <w:rPr>
          <w:sz w:val="22"/>
          <w:szCs w:val="22"/>
          <w:vertAlign w:val="superscript"/>
        </w:rPr>
        <w:t xml:space="preserve">b </w:t>
      </w:r>
      <w:r>
        <w:rPr>
          <w:color w:val="333333"/>
          <w:sz w:val="22"/>
          <w:szCs w:val="22"/>
          <w:shd w:val="clear" w:color="auto" w:fill="FFFFFF"/>
        </w:rPr>
        <w:t xml:space="preserve"> Table reproduced from: G</w:t>
      </w:r>
      <w:r w:rsidRPr="00D500CF">
        <w:rPr>
          <w:color w:val="333333"/>
          <w:sz w:val="22"/>
          <w:szCs w:val="22"/>
          <w:shd w:val="clear" w:color="auto" w:fill="FFFFFF"/>
        </w:rPr>
        <w:t>lidewell, L., Willis, T.A., Petty, D. </w:t>
      </w:r>
      <w:r w:rsidRPr="00D500CF">
        <w:rPr>
          <w:i/>
          <w:iCs/>
          <w:color w:val="333333"/>
          <w:sz w:val="22"/>
          <w:szCs w:val="22"/>
          <w:shd w:val="clear" w:color="auto" w:fill="FFFFFF"/>
        </w:rPr>
        <w:t>et al.</w:t>
      </w:r>
      <w:r w:rsidRPr="00D500CF">
        <w:rPr>
          <w:color w:val="333333"/>
          <w:sz w:val="22"/>
          <w:szCs w:val="22"/>
          <w:shd w:val="clear" w:color="auto" w:fill="FFFFFF"/>
        </w:rPr>
        <w:t> To what extent can behaviour change techniques be identified within an adaptable implementation package for primary care? A prospective directed content analysis. </w:t>
      </w:r>
      <w:r w:rsidRPr="00D500CF">
        <w:rPr>
          <w:i/>
          <w:iCs/>
          <w:color w:val="333333"/>
          <w:sz w:val="22"/>
          <w:szCs w:val="22"/>
          <w:shd w:val="clear" w:color="auto" w:fill="FFFFFF"/>
        </w:rPr>
        <w:t>Implementation Sci</w:t>
      </w:r>
      <w:r w:rsidRPr="00D500CF">
        <w:rPr>
          <w:color w:val="333333"/>
          <w:sz w:val="22"/>
          <w:szCs w:val="22"/>
          <w:shd w:val="clear" w:color="auto" w:fill="FFFFFF"/>
        </w:rPr>
        <w:t> </w:t>
      </w:r>
      <w:r w:rsidRPr="00D500CF">
        <w:rPr>
          <w:b/>
          <w:bCs/>
          <w:color w:val="333333"/>
          <w:sz w:val="22"/>
          <w:szCs w:val="22"/>
          <w:shd w:val="clear" w:color="auto" w:fill="FFFFFF"/>
        </w:rPr>
        <w:t>13, </w:t>
      </w:r>
      <w:r w:rsidRPr="00D500CF">
        <w:rPr>
          <w:color w:val="333333"/>
          <w:sz w:val="22"/>
          <w:szCs w:val="22"/>
          <w:shd w:val="clear" w:color="auto" w:fill="FFFFFF"/>
        </w:rPr>
        <w:t>32 (2018) doi:10.1186/s13012-017-0704-7</w:t>
      </w:r>
    </w:p>
    <w:p w14:paraId="6951BAD4" w14:textId="312EED9D" w:rsidR="00B77EA3" w:rsidRPr="0082484A" w:rsidRDefault="00B77EA3" w:rsidP="00B77EA3">
      <w:pPr>
        <w:spacing w:before="0" w:after="160" w:line="259" w:lineRule="auto"/>
        <w:rPr>
          <w:sz w:val="22"/>
          <w:szCs w:val="22"/>
        </w:rPr>
      </w:pPr>
      <w:r w:rsidRPr="0082484A">
        <w:rPr>
          <w:sz w:val="22"/>
          <w:szCs w:val="22"/>
        </w:rPr>
        <w:br w:type="page"/>
      </w:r>
    </w:p>
    <w:p w14:paraId="7F793A5E" w14:textId="07DF1D3A" w:rsidR="00B77EA3" w:rsidRPr="0082484A" w:rsidRDefault="00B77EA3" w:rsidP="00B77EA3">
      <w:pPr>
        <w:spacing w:before="0" w:line="240" w:lineRule="auto"/>
        <w:rPr>
          <w:bCs/>
          <w:sz w:val="22"/>
          <w:szCs w:val="22"/>
        </w:rPr>
      </w:pPr>
      <w:bookmarkStart w:id="54" w:name="_Ref502917764"/>
      <w:bookmarkStart w:id="55" w:name="_Toc8728089"/>
      <w:bookmarkStart w:id="56" w:name="_Toc19526744"/>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15</w:t>
      </w:r>
      <w:r w:rsidRPr="0082484A">
        <w:rPr>
          <w:bCs/>
          <w:noProof/>
          <w:sz w:val="22"/>
          <w:szCs w:val="22"/>
        </w:rPr>
        <w:fldChar w:fldCharType="end"/>
      </w:r>
      <w:bookmarkEnd w:id="54"/>
      <w:r w:rsidRPr="0082484A">
        <w:rPr>
          <w:bCs/>
          <w:sz w:val="22"/>
          <w:szCs w:val="22"/>
        </w:rPr>
        <w:t>: Secondary outcome for Trial 1: The proportion of patients with Type 2 diabetes achieving total serum cholesterol level below or equal to 5.0 mmol/l (WP4A)</w:t>
      </w:r>
      <w:r w:rsidRPr="0082484A">
        <w:rPr>
          <w:bCs/>
          <w:sz w:val="22"/>
          <w:szCs w:val="22"/>
          <w:vertAlign w:val="superscript"/>
        </w:rPr>
        <w:t xml:space="preserve"> a</w:t>
      </w:r>
      <w:bookmarkEnd w:id="55"/>
      <w:bookmarkEnd w:id="56"/>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47A41796"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68C122CE" w14:textId="77777777" w:rsidR="00B77EA3" w:rsidRPr="0082484A" w:rsidRDefault="00B77EA3" w:rsidP="00B77EA3">
            <w:pPr>
              <w:spacing w:beforeLines="10" w:before="24" w:afterLines="10" w:after="24" w:line="240" w:lineRule="auto"/>
              <w:rPr>
                <w:bCs/>
                <w:sz w:val="22"/>
                <w:szCs w:val="22"/>
              </w:rPr>
            </w:pPr>
            <w:bookmarkStart w:id="57" w:name="IDX32"/>
            <w:bookmarkEnd w:id="57"/>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4612003"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D15F18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DDE903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E50851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0DE89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AA1D08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C906A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71054E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896436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668F2C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D29C189"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5F2A22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8427B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-0.0825</w:t>
            </w:r>
          </w:p>
        </w:tc>
        <w:tc>
          <w:tcPr>
            <w:tcW w:w="1134" w:type="dxa"/>
            <w:tcBorders>
              <w:top w:val="nil"/>
              <w:left w:val="nil"/>
              <w:bottom w:val="nil"/>
              <w:right w:val="nil"/>
            </w:tcBorders>
            <w:shd w:val="clear" w:color="auto" w:fill="FFFFFF"/>
            <w:tcMar>
              <w:left w:w="67" w:type="dxa"/>
              <w:right w:w="67" w:type="dxa"/>
            </w:tcMar>
            <w:vAlign w:val="center"/>
          </w:tcPr>
          <w:p w14:paraId="797A11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0.0693</w:t>
            </w:r>
          </w:p>
        </w:tc>
        <w:tc>
          <w:tcPr>
            <w:tcW w:w="1134" w:type="dxa"/>
            <w:tcBorders>
              <w:top w:val="nil"/>
              <w:left w:val="nil"/>
              <w:bottom w:val="nil"/>
              <w:right w:val="nil"/>
            </w:tcBorders>
            <w:shd w:val="clear" w:color="auto" w:fill="FFFFFF"/>
            <w:tcMar>
              <w:left w:w="67" w:type="dxa"/>
              <w:right w:w="67" w:type="dxa"/>
            </w:tcMar>
            <w:vAlign w:val="center"/>
          </w:tcPr>
          <w:p w14:paraId="5AFA7E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0.9208</w:t>
            </w:r>
          </w:p>
        </w:tc>
        <w:tc>
          <w:tcPr>
            <w:tcW w:w="1134" w:type="dxa"/>
            <w:tcBorders>
              <w:top w:val="nil"/>
              <w:left w:val="nil"/>
              <w:bottom w:val="nil"/>
              <w:right w:val="nil"/>
            </w:tcBorders>
            <w:shd w:val="clear" w:color="auto" w:fill="FFFFFF"/>
            <w:tcMar>
              <w:left w:w="67" w:type="dxa"/>
              <w:right w:w="67" w:type="dxa"/>
            </w:tcMar>
            <w:vAlign w:val="center"/>
          </w:tcPr>
          <w:p w14:paraId="56D985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0.7884</w:t>
            </w:r>
          </w:p>
        </w:tc>
        <w:tc>
          <w:tcPr>
            <w:tcW w:w="1134" w:type="dxa"/>
            <w:tcBorders>
              <w:top w:val="nil"/>
              <w:left w:val="nil"/>
              <w:bottom w:val="nil"/>
              <w:right w:val="nil"/>
            </w:tcBorders>
            <w:shd w:val="clear" w:color="auto" w:fill="FFFFFF"/>
            <w:tcMar>
              <w:left w:w="67" w:type="dxa"/>
              <w:right w:w="67" w:type="dxa"/>
            </w:tcMar>
            <w:vAlign w:val="center"/>
          </w:tcPr>
          <w:p w14:paraId="71D954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1.0755</w:t>
            </w:r>
          </w:p>
        </w:tc>
        <w:tc>
          <w:tcPr>
            <w:tcW w:w="1134" w:type="dxa"/>
            <w:tcBorders>
              <w:top w:val="nil"/>
              <w:left w:val="nil"/>
              <w:bottom w:val="nil"/>
              <w:right w:val="nil"/>
            </w:tcBorders>
            <w:shd w:val="clear" w:color="auto" w:fill="FFFFFF"/>
            <w:tcMar>
              <w:left w:w="67" w:type="dxa"/>
              <w:right w:w="67" w:type="dxa"/>
            </w:tcMar>
            <w:vAlign w:val="center"/>
          </w:tcPr>
          <w:p w14:paraId="39849B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w:t>
            </w:r>
          </w:p>
        </w:tc>
        <w:tc>
          <w:tcPr>
            <w:tcW w:w="567" w:type="dxa"/>
            <w:tcBorders>
              <w:top w:val="nil"/>
              <w:left w:val="nil"/>
              <w:bottom w:val="nil"/>
              <w:right w:val="nil"/>
            </w:tcBorders>
            <w:shd w:val="clear" w:color="auto" w:fill="FFFFFF"/>
            <w:tcMar>
              <w:left w:w="67" w:type="dxa"/>
              <w:right w:w="67" w:type="dxa"/>
            </w:tcMar>
            <w:vAlign w:val="center"/>
          </w:tcPr>
          <w:p w14:paraId="2F4DF2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50E4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0.2339</w:t>
            </w:r>
          </w:p>
        </w:tc>
      </w:tr>
      <w:tr w:rsidR="00B77EA3" w:rsidRPr="0082484A" w14:paraId="23E35B8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336F691"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0E9DE19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9E3E0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-0.4097</w:t>
            </w:r>
          </w:p>
        </w:tc>
        <w:tc>
          <w:tcPr>
            <w:tcW w:w="1134" w:type="dxa"/>
            <w:tcBorders>
              <w:top w:val="nil"/>
              <w:left w:val="nil"/>
              <w:bottom w:val="nil"/>
              <w:right w:val="nil"/>
            </w:tcBorders>
            <w:shd w:val="clear" w:color="auto" w:fill="FFFFFF"/>
            <w:tcMar>
              <w:left w:w="67" w:type="dxa"/>
              <w:right w:w="67" w:type="dxa"/>
            </w:tcMar>
            <w:vAlign w:val="center"/>
          </w:tcPr>
          <w:p w14:paraId="1635EF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0.0261</w:t>
            </w:r>
          </w:p>
        </w:tc>
        <w:tc>
          <w:tcPr>
            <w:tcW w:w="1134" w:type="dxa"/>
            <w:tcBorders>
              <w:top w:val="nil"/>
              <w:left w:val="nil"/>
              <w:bottom w:val="nil"/>
              <w:right w:val="nil"/>
            </w:tcBorders>
            <w:shd w:val="clear" w:color="auto" w:fill="FFFFFF"/>
            <w:tcMar>
              <w:left w:w="67" w:type="dxa"/>
              <w:right w:w="67" w:type="dxa"/>
            </w:tcMar>
            <w:vAlign w:val="center"/>
          </w:tcPr>
          <w:p w14:paraId="2E274A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0.6638</w:t>
            </w:r>
          </w:p>
        </w:tc>
        <w:tc>
          <w:tcPr>
            <w:tcW w:w="1134" w:type="dxa"/>
            <w:tcBorders>
              <w:top w:val="nil"/>
              <w:left w:val="nil"/>
              <w:bottom w:val="nil"/>
              <w:right w:val="nil"/>
            </w:tcBorders>
            <w:shd w:val="clear" w:color="auto" w:fill="FFFFFF"/>
            <w:tcMar>
              <w:left w:w="67" w:type="dxa"/>
              <w:right w:w="67" w:type="dxa"/>
            </w:tcMar>
            <w:vAlign w:val="center"/>
          </w:tcPr>
          <w:p w14:paraId="345C47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0.6261</w:t>
            </w:r>
          </w:p>
        </w:tc>
        <w:tc>
          <w:tcPr>
            <w:tcW w:w="1134" w:type="dxa"/>
            <w:tcBorders>
              <w:top w:val="nil"/>
              <w:left w:val="nil"/>
              <w:bottom w:val="nil"/>
              <w:right w:val="nil"/>
            </w:tcBorders>
            <w:shd w:val="clear" w:color="auto" w:fill="FFFFFF"/>
            <w:tcMar>
              <w:left w:w="67" w:type="dxa"/>
              <w:right w:w="67" w:type="dxa"/>
            </w:tcMar>
            <w:vAlign w:val="center"/>
          </w:tcPr>
          <w:p w14:paraId="531F58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0.7038</w:t>
            </w:r>
          </w:p>
        </w:tc>
        <w:tc>
          <w:tcPr>
            <w:tcW w:w="1134" w:type="dxa"/>
            <w:tcBorders>
              <w:top w:val="nil"/>
              <w:left w:val="nil"/>
              <w:bottom w:val="nil"/>
              <w:right w:val="nil"/>
            </w:tcBorders>
            <w:shd w:val="clear" w:color="auto" w:fill="FFFFFF"/>
            <w:tcMar>
              <w:left w:w="67" w:type="dxa"/>
              <w:right w:w="67" w:type="dxa"/>
            </w:tcMar>
            <w:vAlign w:val="center"/>
          </w:tcPr>
          <w:p w14:paraId="748D54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246.14</w:t>
            </w:r>
          </w:p>
        </w:tc>
        <w:tc>
          <w:tcPr>
            <w:tcW w:w="567" w:type="dxa"/>
            <w:tcBorders>
              <w:top w:val="nil"/>
              <w:left w:val="nil"/>
              <w:bottom w:val="nil"/>
              <w:right w:val="nil"/>
            </w:tcBorders>
            <w:shd w:val="clear" w:color="auto" w:fill="FFFFFF"/>
            <w:tcMar>
              <w:left w:w="67" w:type="dxa"/>
              <w:right w:w="67" w:type="dxa"/>
            </w:tcMar>
            <w:vAlign w:val="center"/>
          </w:tcPr>
          <w:p w14:paraId="6CE525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DE0CB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0A36B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3A2F3D"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7332D0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1530E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0.0229</w:t>
            </w:r>
          </w:p>
        </w:tc>
        <w:tc>
          <w:tcPr>
            <w:tcW w:w="1134" w:type="dxa"/>
            <w:tcBorders>
              <w:top w:val="nil"/>
              <w:left w:val="nil"/>
              <w:bottom w:val="nil"/>
              <w:right w:val="nil"/>
            </w:tcBorders>
            <w:shd w:val="clear" w:color="auto" w:fill="FFFFFF"/>
            <w:tcMar>
              <w:left w:w="67" w:type="dxa"/>
              <w:right w:w="67" w:type="dxa"/>
            </w:tcMar>
            <w:vAlign w:val="center"/>
          </w:tcPr>
          <w:p w14:paraId="1A5898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53F1BC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1.0231</w:t>
            </w:r>
          </w:p>
        </w:tc>
        <w:tc>
          <w:tcPr>
            <w:tcW w:w="1134" w:type="dxa"/>
            <w:tcBorders>
              <w:top w:val="nil"/>
              <w:left w:val="nil"/>
              <w:bottom w:val="nil"/>
              <w:right w:val="nil"/>
            </w:tcBorders>
            <w:shd w:val="clear" w:color="auto" w:fill="FFFFFF"/>
            <w:tcMar>
              <w:left w:w="67" w:type="dxa"/>
              <w:right w:w="67" w:type="dxa"/>
            </w:tcMar>
            <w:vAlign w:val="center"/>
          </w:tcPr>
          <w:p w14:paraId="7BD9B3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1.0209</w:t>
            </w:r>
          </w:p>
        </w:tc>
        <w:tc>
          <w:tcPr>
            <w:tcW w:w="1134" w:type="dxa"/>
            <w:tcBorders>
              <w:top w:val="nil"/>
              <w:left w:val="nil"/>
              <w:bottom w:val="nil"/>
              <w:right w:val="nil"/>
            </w:tcBorders>
            <w:shd w:val="clear" w:color="auto" w:fill="FFFFFF"/>
            <w:tcMar>
              <w:left w:w="67" w:type="dxa"/>
              <w:right w:w="67" w:type="dxa"/>
            </w:tcMar>
            <w:vAlign w:val="center"/>
          </w:tcPr>
          <w:p w14:paraId="69CADA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1.0254</w:t>
            </w:r>
          </w:p>
        </w:tc>
        <w:tc>
          <w:tcPr>
            <w:tcW w:w="1134" w:type="dxa"/>
            <w:tcBorders>
              <w:top w:val="nil"/>
              <w:left w:val="nil"/>
              <w:bottom w:val="nil"/>
              <w:right w:val="nil"/>
            </w:tcBorders>
            <w:shd w:val="clear" w:color="auto" w:fill="FFFFFF"/>
            <w:tcMar>
              <w:left w:w="67" w:type="dxa"/>
              <w:right w:w="67" w:type="dxa"/>
            </w:tcMar>
            <w:vAlign w:val="center"/>
          </w:tcPr>
          <w:p w14:paraId="263CBB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563.71</w:t>
            </w:r>
          </w:p>
        </w:tc>
        <w:tc>
          <w:tcPr>
            <w:tcW w:w="567" w:type="dxa"/>
            <w:tcBorders>
              <w:top w:val="nil"/>
              <w:left w:val="nil"/>
              <w:bottom w:val="nil"/>
              <w:right w:val="nil"/>
            </w:tcBorders>
            <w:shd w:val="clear" w:color="auto" w:fill="FFFFFF"/>
            <w:tcMar>
              <w:left w:w="67" w:type="dxa"/>
              <w:right w:w="67" w:type="dxa"/>
            </w:tcMar>
            <w:vAlign w:val="center"/>
          </w:tcPr>
          <w:p w14:paraId="02E9EA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E4DA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4E09C27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6CE76E"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4F7360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ADFE8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3ADE72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02E408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0.9997</w:t>
            </w:r>
          </w:p>
        </w:tc>
        <w:tc>
          <w:tcPr>
            <w:tcW w:w="1134" w:type="dxa"/>
            <w:tcBorders>
              <w:top w:val="nil"/>
              <w:left w:val="nil"/>
              <w:bottom w:val="nil"/>
              <w:right w:val="nil"/>
            </w:tcBorders>
            <w:shd w:val="clear" w:color="auto" w:fill="FFFFFF"/>
            <w:tcMar>
              <w:left w:w="67" w:type="dxa"/>
              <w:right w:w="67" w:type="dxa"/>
            </w:tcMar>
            <w:vAlign w:val="center"/>
          </w:tcPr>
          <w:p w14:paraId="012D12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0.9973</w:t>
            </w:r>
          </w:p>
        </w:tc>
        <w:tc>
          <w:tcPr>
            <w:tcW w:w="1134" w:type="dxa"/>
            <w:tcBorders>
              <w:top w:val="nil"/>
              <w:left w:val="nil"/>
              <w:bottom w:val="nil"/>
              <w:right w:val="nil"/>
            </w:tcBorders>
            <w:shd w:val="clear" w:color="auto" w:fill="FFFFFF"/>
            <w:tcMar>
              <w:left w:w="67" w:type="dxa"/>
              <w:right w:w="67" w:type="dxa"/>
            </w:tcMar>
            <w:vAlign w:val="center"/>
          </w:tcPr>
          <w:p w14:paraId="393E34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1.0021</w:t>
            </w:r>
          </w:p>
        </w:tc>
        <w:tc>
          <w:tcPr>
            <w:tcW w:w="1134" w:type="dxa"/>
            <w:tcBorders>
              <w:top w:val="nil"/>
              <w:left w:val="nil"/>
              <w:bottom w:val="nil"/>
              <w:right w:val="nil"/>
            </w:tcBorders>
            <w:shd w:val="clear" w:color="auto" w:fill="FFFFFF"/>
            <w:tcMar>
              <w:left w:w="67" w:type="dxa"/>
              <w:right w:w="67" w:type="dxa"/>
            </w:tcMar>
            <w:vAlign w:val="center"/>
          </w:tcPr>
          <w:p w14:paraId="226B33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w:t>
            </w:r>
          </w:p>
        </w:tc>
        <w:tc>
          <w:tcPr>
            <w:tcW w:w="567" w:type="dxa"/>
            <w:tcBorders>
              <w:top w:val="nil"/>
              <w:left w:val="nil"/>
              <w:bottom w:val="nil"/>
              <w:right w:val="nil"/>
            </w:tcBorders>
            <w:shd w:val="clear" w:color="auto" w:fill="FFFFFF"/>
            <w:tcMar>
              <w:left w:w="67" w:type="dxa"/>
              <w:right w:w="67" w:type="dxa"/>
            </w:tcMar>
            <w:vAlign w:val="center"/>
          </w:tcPr>
          <w:p w14:paraId="059A5E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28CB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0.7973</w:t>
            </w:r>
          </w:p>
        </w:tc>
      </w:tr>
      <w:tr w:rsidR="00B77EA3" w:rsidRPr="0082484A" w14:paraId="4C94E4B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76513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1723E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FC8CB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-0.3689</w:t>
            </w:r>
          </w:p>
        </w:tc>
        <w:tc>
          <w:tcPr>
            <w:tcW w:w="1134" w:type="dxa"/>
            <w:tcBorders>
              <w:top w:val="nil"/>
              <w:left w:val="nil"/>
              <w:bottom w:val="nil"/>
              <w:right w:val="nil"/>
            </w:tcBorders>
            <w:shd w:val="clear" w:color="auto" w:fill="FFFFFF"/>
            <w:tcMar>
              <w:left w:w="67" w:type="dxa"/>
              <w:right w:w="67" w:type="dxa"/>
            </w:tcMar>
            <w:vAlign w:val="center"/>
          </w:tcPr>
          <w:p w14:paraId="453005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0.1886</w:t>
            </w:r>
          </w:p>
        </w:tc>
        <w:tc>
          <w:tcPr>
            <w:tcW w:w="1134" w:type="dxa"/>
            <w:tcBorders>
              <w:top w:val="nil"/>
              <w:left w:val="nil"/>
              <w:bottom w:val="nil"/>
              <w:right w:val="nil"/>
            </w:tcBorders>
            <w:shd w:val="clear" w:color="auto" w:fill="FFFFFF"/>
            <w:tcMar>
              <w:left w:w="67" w:type="dxa"/>
              <w:right w:w="67" w:type="dxa"/>
            </w:tcMar>
            <w:vAlign w:val="center"/>
          </w:tcPr>
          <w:p w14:paraId="5E5502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0.6915</w:t>
            </w:r>
          </w:p>
        </w:tc>
        <w:tc>
          <w:tcPr>
            <w:tcW w:w="1134" w:type="dxa"/>
            <w:tcBorders>
              <w:top w:val="nil"/>
              <w:left w:val="nil"/>
              <w:bottom w:val="nil"/>
              <w:right w:val="nil"/>
            </w:tcBorders>
            <w:shd w:val="clear" w:color="auto" w:fill="FFFFFF"/>
            <w:tcMar>
              <w:left w:w="67" w:type="dxa"/>
              <w:right w:w="67" w:type="dxa"/>
            </w:tcMar>
            <w:vAlign w:val="center"/>
          </w:tcPr>
          <w:p w14:paraId="7E4148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0.4531</w:t>
            </w:r>
          </w:p>
        </w:tc>
        <w:tc>
          <w:tcPr>
            <w:tcW w:w="1134" w:type="dxa"/>
            <w:tcBorders>
              <w:top w:val="nil"/>
              <w:left w:val="nil"/>
              <w:bottom w:val="nil"/>
              <w:right w:val="nil"/>
            </w:tcBorders>
            <w:shd w:val="clear" w:color="auto" w:fill="FFFFFF"/>
            <w:tcMar>
              <w:left w:w="67" w:type="dxa"/>
              <w:right w:w="67" w:type="dxa"/>
            </w:tcMar>
            <w:vAlign w:val="center"/>
          </w:tcPr>
          <w:p w14:paraId="2987FD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1.0553</w:t>
            </w:r>
          </w:p>
        </w:tc>
        <w:tc>
          <w:tcPr>
            <w:tcW w:w="1134" w:type="dxa"/>
            <w:tcBorders>
              <w:top w:val="nil"/>
              <w:left w:val="nil"/>
              <w:bottom w:val="nil"/>
              <w:right w:val="nil"/>
            </w:tcBorders>
            <w:shd w:val="clear" w:color="auto" w:fill="FFFFFF"/>
            <w:tcMar>
              <w:left w:w="67" w:type="dxa"/>
              <w:right w:w="67" w:type="dxa"/>
            </w:tcMar>
            <w:vAlign w:val="center"/>
          </w:tcPr>
          <w:p w14:paraId="612028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2.17</w:t>
            </w:r>
          </w:p>
        </w:tc>
        <w:tc>
          <w:tcPr>
            <w:tcW w:w="567" w:type="dxa"/>
            <w:tcBorders>
              <w:top w:val="nil"/>
              <w:left w:val="nil"/>
              <w:bottom w:val="nil"/>
              <w:right w:val="nil"/>
            </w:tcBorders>
            <w:shd w:val="clear" w:color="auto" w:fill="FFFFFF"/>
            <w:tcMar>
              <w:left w:w="67" w:type="dxa"/>
              <w:right w:w="67" w:type="dxa"/>
            </w:tcMar>
            <w:vAlign w:val="center"/>
          </w:tcPr>
          <w:p w14:paraId="29C7CC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F39B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0.0208</w:t>
            </w:r>
          </w:p>
        </w:tc>
      </w:tr>
      <w:tr w:rsidR="00B77EA3" w:rsidRPr="0082484A" w14:paraId="04ECC3D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717128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B2E9AE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5F9BC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0.0759</w:t>
            </w:r>
          </w:p>
        </w:tc>
        <w:tc>
          <w:tcPr>
            <w:tcW w:w="1134" w:type="dxa"/>
            <w:tcBorders>
              <w:top w:val="nil"/>
              <w:left w:val="nil"/>
              <w:bottom w:val="nil"/>
              <w:right w:val="nil"/>
            </w:tcBorders>
            <w:shd w:val="clear" w:color="auto" w:fill="FFFFFF"/>
            <w:tcMar>
              <w:left w:w="67" w:type="dxa"/>
              <w:right w:w="67" w:type="dxa"/>
            </w:tcMar>
            <w:vAlign w:val="center"/>
          </w:tcPr>
          <w:p w14:paraId="38C63A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0.1727</w:t>
            </w:r>
          </w:p>
        </w:tc>
        <w:tc>
          <w:tcPr>
            <w:tcW w:w="1134" w:type="dxa"/>
            <w:tcBorders>
              <w:top w:val="nil"/>
              <w:left w:val="nil"/>
              <w:bottom w:val="nil"/>
              <w:right w:val="nil"/>
            </w:tcBorders>
            <w:shd w:val="clear" w:color="auto" w:fill="FFFFFF"/>
            <w:tcMar>
              <w:left w:w="67" w:type="dxa"/>
              <w:right w:w="67" w:type="dxa"/>
            </w:tcMar>
            <w:vAlign w:val="center"/>
          </w:tcPr>
          <w:p w14:paraId="27B04B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1.0788</w:t>
            </w:r>
          </w:p>
        </w:tc>
        <w:tc>
          <w:tcPr>
            <w:tcW w:w="1134" w:type="dxa"/>
            <w:tcBorders>
              <w:top w:val="nil"/>
              <w:left w:val="nil"/>
              <w:bottom w:val="nil"/>
              <w:right w:val="nil"/>
            </w:tcBorders>
            <w:shd w:val="clear" w:color="auto" w:fill="FFFFFF"/>
            <w:tcMar>
              <w:left w:w="67" w:type="dxa"/>
              <w:right w:w="67" w:type="dxa"/>
            </w:tcMar>
            <w:vAlign w:val="center"/>
          </w:tcPr>
          <w:p w14:paraId="31445C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0.7325</w:t>
            </w:r>
          </w:p>
        </w:tc>
        <w:tc>
          <w:tcPr>
            <w:tcW w:w="1134" w:type="dxa"/>
            <w:tcBorders>
              <w:top w:val="nil"/>
              <w:left w:val="nil"/>
              <w:bottom w:val="nil"/>
              <w:right w:val="nil"/>
            </w:tcBorders>
            <w:shd w:val="clear" w:color="auto" w:fill="FFFFFF"/>
            <w:tcMar>
              <w:left w:w="67" w:type="dxa"/>
              <w:right w:w="67" w:type="dxa"/>
            </w:tcMar>
            <w:vAlign w:val="center"/>
          </w:tcPr>
          <w:p w14:paraId="26A32A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1.5888</w:t>
            </w:r>
          </w:p>
        </w:tc>
        <w:tc>
          <w:tcPr>
            <w:tcW w:w="1134" w:type="dxa"/>
            <w:tcBorders>
              <w:top w:val="nil"/>
              <w:left w:val="nil"/>
              <w:bottom w:val="nil"/>
              <w:right w:val="nil"/>
            </w:tcBorders>
            <w:shd w:val="clear" w:color="auto" w:fill="FFFFFF"/>
            <w:tcMar>
              <w:left w:w="67" w:type="dxa"/>
              <w:right w:w="67" w:type="dxa"/>
            </w:tcMar>
            <w:vAlign w:val="center"/>
          </w:tcPr>
          <w:p w14:paraId="5C96642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08C270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C1CD4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9A6DAA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A218E4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45C3A1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12C9D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-0.0905</w:t>
            </w:r>
          </w:p>
        </w:tc>
        <w:tc>
          <w:tcPr>
            <w:tcW w:w="1134" w:type="dxa"/>
            <w:tcBorders>
              <w:top w:val="nil"/>
              <w:left w:val="nil"/>
              <w:bottom w:val="nil"/>
              <w:right w:val="nil"/>
            </w:tcBorders>
            <w:shd w:val="clear" w:color="auto" w:fill="FFFFFF"/>
            <w:tcMar>
              <w:left w:w="67" w:type="dxa"/>
              <w:right w:w="67" w:type="dxa"/>
            </w:tcMar>
            <w:vAlign w:val="center"/>
          </w:tcPr>
          <w:p w14:paraId="4796C2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0.1238</w:t>
            </w:r>
          </w:p>
        </w:tc>
        <w:tc>
          <w:tcPr>
            <w:tcW w:w="1134" w:type="dxa"/>
            <w:tcBorders>
              <w:top w:val="nil"/>
              <w:left w:val="nil"/>
              <w:bottom w:val="nil"/>
              <w:right w:val="nil"/>
            </w:tcBorders>
            <w:shd w:val="clear" w:color="auto" w:fill="FFFFFF"/>
            <w:tcMar>
              <w:left w:w="67" w:type="dxa"/>
              <w:right w:w="67" w:type="dxa"/>
            </w:tcMar>
            <w:vAlign w:val="center"/>
          </w:tcPr>
          <w:p w14:paraId="7DC2E5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0.9135</w:t>
            </w:r>
          </w:p>
        </w:tc>
        <w:tc>
          <w:tcPr>
            <w:tcW w:w="1134" w:type="dxa"/>
            <w:tcBorders>
              <w:top w:val="nil"/>
              <w:left w:val="nil"/>
              <w:bottom w:val="nil"/>
              <w:right w:val="nil"/>
            </w:tcBorders>
            <w:shd w:val="clear" w:color="auto" w:fill="FFFFFF"/>
            <w:tcMar>
              <w:left w:w="67" w:type="dxa"/>
              <w:right w:w="67" w:type="dxa"/>
            </w:tcMar>
            <w:vAlign w:val="center"/>
          </w:tcPr>
          <w:p w14:paraId="38F618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0.6922</w:t>
            </w:r>
          </w:p>
        </w:tc>
        <w:tc>
          <w:tcPr>
            <w:tcW w:w="1134" w:type="dxa"/>
            <w:tcBorders>
              <w:top w:val="nil"/>
              <w:left w:val="nil"/>
              <w:bottom w:val="nil"/>
              <w:right w:val="nil"/>
            </w:tcBorders>
            <w:shd w:val="clear" w:color="auto" w:fill="FFFFFF"/>
            <w:tcMar>
              <w:left w:w="67" w:type="dxa"/>
              <w:right w:w="67" w:type="dxa"/>
            </w:tcMar>
            <w:vAlign w:val="center"/>
          </w:tcPr>
          <w:p w14:paraId="540D2C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1.2055</w:t>
            </w:r>
          </w:p>
        </w:tc>
        <w:tc>
          <w:tcPr>
            <w:tcW w:w="1134" w:type="dxa"/>
            <w:tcBorders>
              <w:top w:val="nil"/>
              <w:left w:val="nil"/>
              <w:bottom w:val="nil"/>
              <w:right w:val="nil"/>
            </w:tcBorders>
            <w:shd w:val="clear" w:color="auto" w:fill="FFFFFF"/>
            <w:tcMar>
              <w:left w:w="67" w:type="dxa"/>
              <w:right w:w="67" w:type="dxa"/>
            </w:tcMar>
            <w:vAlign w:val="center"/>
          </w:tcPr>
          <w:p w14:paraId="1883A24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CF64D4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FFE4B9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5683A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11F7A6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FA8C38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61C5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-0.2171</w:t>
            </w:r>
          </w:p>
        </w:tc>
        <w:tc>
          <w:tcPr>
            <w:tcW w:w="1134" w:type="dxa"/>
            <w:tcBorders>
              <w:top w:val="nil"/>
              <w:left w:val="nil"/>
              <w:bottom w:val="nil"/>
              <w:right w:val="nil"/>
            </w:tcBorders>
            <w:shd w:val="clear" w:color="auto" w:fill="FFFFFF"/>
            <w:tcMar>
              <w:left w:w="67" w:type="dxa"/>
              <w:right w:w="67" w:type="dxa"/>
            </w:tcMar>
            <w:vAlign w:val="center"/>
          </w:tcPr>
          <w:p w14:paraId="69DAB1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0.1721</w:t>
            </w:r>
          </w:p>
        </w:tc>
        <w:tc>
          <w:tcPr>
            <w:tcW w:w="1134" w:type="dxa"/>
            <w:tcBorders>
              <w:top w:val="nil"/>
              <w:left w:val="nil"/>
              <w:bottom w:val="nil"/>
              <w:right w:val="nil"/>
            </w:tcBorders>
            <w:shd w:val="clear" w:color="auto" w:fill="FFFFFF"/>
            <w:tcMar>
              <w:left w:w="67" w:type="dxa"/>
              <w:right w:w="67" w:type="dxa"/>
            </w:tcMar>
            <w:vAlign w:val="center"/>
          </w:tcPr>
          <w:p w14:paraId="05D395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0.8049</w:t>
            </w:r>
          </w:p>
        </w:tc>
        <w:tc>
          <w:tcPr>
            <w:tcW w:w="1134" w:type="dxa"/>
            <w:tcBorders>
              <w:top w:val="nil"/>
              <w:left w:val="nil"/>
              <w:bottom w:val="nil"/>
              <w:right w:val="nil"/>
            </w:tcBorders>
            <w:shd w:val="clear" w:color="auto" w:fill="FFFFFF"/>
            <w:tcMar>
              <w:left w:w="67" w:type="dxa"/>
              <w:right w:w="67" w:type="dxa"/>
            </w:tcMar>
            <w:vAlign w:val="center"/>
          </w:tcPr>
          <w:p w14:paraId="21200E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0.5473</w:t>
            </w:r>
          </w:p>
        </w:tc>
        <w:tc>
          <w:tcPr>
            <w:tcW w:w="1134" w:type="dxa"/>
            <w:tcBorders>
              <w:top w:val="nil"/>
              <w:left w:val="nil"/>
              <w:bottom w:val="nil"/>
              <w:right w:val="nil"/>
            </w:tcBorders>
            <w:shd w:val="clear" w:color="auto" w:fill="FFFFFF"/>
            <w:tcMar>
              <w:left w:w="67" w:type="dxa"/>
              <w:right w:w="67" w:type="dxa"/>
            </w:tcMar>
            <w:vAlign w:val="center"/>
          </w:tcPr>
          <w:p w14:paraId="65DC8D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1.1837</w:t>
            </w:r>
          </w:p>
        </w:tc>
        <w:tc>
          <w:tcPr>
            <w:tcW w:w="1134" w:type="dxa"/>
            <w:tcBorders>
              <w:top w:val="nil"/>
              <w:left w:val="nil"/>
              <w:bottom w:val="nil"/>
              <w:right w:val="nil"/>
            </w:tcBorders>
            <w:shd w:val="clear" w:color="auto" w:fill="FFFFFF"/>
            <w:tcMar>
              <w:left w:w="67" w:type="dxa"/>
              <w:right w:w="67" w:type="dxa"/>
            </w:tcMar>
            <w:vAlign w:val="center"/>
          </w:tcPr>
          <w:p w14:paraId="5920B46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6B621C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3A658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219588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506593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F98827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D11A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-0.2716</w:t>
            </w:r>
          </w:p>
        </w:tc>
        <w:tc>
          <w:tcPr>
            <w:tcW w:w="1134" w:type="dxa"/>
            <w:tcBorders>
              <w:top w:val="nil"/>
              <w:left w:val="nil"/>
              <w:bottom w:val="nil"/>
              <w:right w:val="nil"/>
            </w:tcBorders>
            <w:shd w:val="clear" w:color="auto" w:fill="FFFFFF"/>
            <w:tcMar>
              <w:left w:w="67" w:type="dxa"/>
              <w:right w:w="67" w:type="dxa"/>
            </w:tcMar>
            <w:vAlign w:val="center"/>
          </w:tcPr>
          <w:p w14:paraId="68F22D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0.1718</w:t>
            </w:r>
          </w:p>
        </w:tc>
        <w:tc>
          <w:tcPr>
            <w:tcW w:w="1134" w:type="dxa"/>
            <w:tcBorders>
              <w:top w:val="nil"/>
              <w:left w:val="nil"/>
              <w:bottom w:val="nil"/>
              <w:right w:val="nil"/>
            </w:tcBorders>
            <w:shd w:val="clear" w:color="auto" w:fill="FFFFFF"/>
            <w:tcMar>
              <w:left w:w="67" w:type="dxa"/>
              <w:right w:w="67" w:type="dxa"/>
            </w:tcMar>
            <w:vAlign w:val="center"/>
          </w:tcPr>
          <w:p w14:paraId="2DD271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0.7621</w:t>
            </w:r>
          </w:p>
        </w:tc>
        <w:tc>
          <w:tcPr>
            <w:tcW w:w="1134" w:type="dxa"/>
            <w:tcBorders>
              <w:top w:val="nil"/>
              <w:left w:val="nil"/>
              <w:bottom w:val="nil"/>
              <w:right w:val="nil"/>
            </w:tcBorders>
            <w:shd w:val="clear" w:color="auto" w:fill="FFFFFF"/>
            <w:tcMar>
              <w:left w:w="67" w:type="dxa"/>
              <w:right w:w="67" w:type="dxa"/>
            </w:tcMar>
            <w:vAlign w:val="center"/>
          </w:tcPr>
          <w:p w14:paraId="7D5719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0.5186</w:t>
            </w:r>
          </w:p>
        </w:tc>
        <w:tc>
          <w:tcPr>
            <w:tcW w:w="1134" w:type="dxa"/>
            <w:tcBorders>
              <w:top w:val="nil"/>
              <w:left w:val="nil"/>
              <w:bottom w:val="nil"/>
              <w:right w:val="nil"/>
            </w:tcBorders>
            <w:shd w:val="clear" w:color="auto" w:fill="FFFFFF"/>
            <w:tcMar>
              <w:left w:w="67" w:type="dxa"/>
              <w:right w:w="67" w:type="dxa"/>
            </w:tcMar>
            <w:vAlign w:val="center"/>
          </w:tcPr>
          <w:p w14:paraId="118A68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1.1201</w:t>
            </w:r>
          </w:p>
        </w:tc>
        <w:tc>
          <w:tcPr>
            <w:tcW w:w="1134" w:type="dxa"/>
            <w:tcBorders>
              <w:top w:val="nil"/>
              <w:left w:val="nil"/>
              <w:bottom w:val="nil"/>
              <w:right w:val="nil"/>
            </w:tcBorders>
            <w:shd w:val="clear" w:color="auto" w:fill="FFFFFF"/>
            <w:tcMar>
              <w:left w:w="67" w:type="dxa"/>
              <w:right w:w="67" w:type="dxa"/>
            </w:tcMar>
            <w:vAlign w:val="center"/>
          </w:tcPr>
          <w:p w14:paraId="05C765C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D97C0E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D060A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5CCED0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66667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076F11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E0C39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0.1499</w:t>
            </w:r>
          </w:p>
        </w:tc>
        <w:tc>
          <w:tcPr>
            <w:tcW w:w="1134" w:type="dxa"/>
            <w:tcBorders>
              <w:top w:val="nil"/>
              <w:left w:val="nil"/>
              <w:bottom w:val="nil"/>
              <w:right w:val="nil"/>
            </w:tcBorders>
            <w:shd w:val="clear" w:color="auto" w:fill="FFFFFF"/>
            <w:tcMar>
              <w:left w:w="67" w:type="dxa"/>
              <w:right w:w="67" w:type="dxa"/>
            </w:tcMar>
            <w:vAlign w:val="center"/>
          </w:tcPr>
          <w:p w14:paraId="1608BE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0.1795</w:t>
            </w:r>
          </w:p>
        </w:tc>
        <w:tc>
          <w:tcPr>
            <w:tcW w:w="1134" w:type="dxa"/>
            <w:tcBorders>
              <w:top w:val="nil"/>
              <w:left w:val="nil"/>
              <w:bottom w:val="nil"/>
              <w:right w:val="nil"/>
            </w:tcBorders>
            <w:shd w:val="clear" w:color="auto" w:fill="FFFFFF"/>
            <w:tcMar>
              <w:left w:w="67" w:type="dxa"/>
              <w:right w:w="67" w:type="dxa"/>
            </w:tcMar>
            <w:vAlign w:val="center"/>
          </w:tcPr>
          <w:p w14:paraId="6881EE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1.1617</w:t>
            </w:r>
          </w:p>
        </w:tc>
        <w:tc>
          <w:tcPr>
            <w:tcW w:w="1134" w:type="dxa"/>
            <w:tcBorders>
              <w:top w:val="nil"/>
              <w:left w:val="nil"/>
              <w:bottom w:val="nil"/>
              <w:right w:val="nil"/>
            </w:tcBorders>
            <w:shd w:val="clear" w:color="auto" w:fill="FFFFFF"/>
            <w:tcMar>
              <w:left w:w="67" w:type="dxa"/>
              <w:right w:w="67" w:type="dxa"/>
            </w:tcMar>
            <w:vAlign w:val="center"/>
          </w:tcPr>
          <w:p w14:paraId="5BA86E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0.7768</w:t>
            </w:r>
          </w:p>
        </w:tc>
        <w:tc>
          <w:tcPr>
            <w:tcW w:w="1134" w:type="dxa"/>
            <w:tcBorders>
              <w:top w:val="nil"/>
              <w:left w:val="nil"/>
              <w:bottom w:val="nil"/>
              <w:right w:val="nil"/>
            </w:tcBorders>
            <w:shd w:val="clear" w:color="auto" w:fill="FFFFFF"/>
            <w:tcMar>
              <w:left w:w="67" w:type="dxa"/>
              <w:right w:w="67" w:type="dxa"/>
            </w:tcMar>
            <w:vAlign w:val="center"/>
          </w:tcPr>
          <w:p w14:paraId="679DA3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1.7373</w:t>
            </w:r>
          </w:p>
        </w:tc>
        <w:tc>
          <w:tcPr>
            <w:tcW w:w="1134" w:type="dxa"/>
            <w:tcBorders>
              <w:top w:val="nil"/>
              <w:left w:val="nil"/>
              <w:bottom w:val="nil"/>
              <w:right w:val="nil"/>
            </w:tcBorders>
            <w:shd w:val="clear" w:color="auto" w:fill="FFFFFF"/>
            <w:tcMar>
              <w:left w:w="67" w:type="dxa"/>
              <w:right w:w="67" w:type="dxa"/>
            </w:tcMar>
            <w:vAlign w:val="center"/>
          </w:tcPr>
          <w:p w14:paraId="2584D9F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4AB24C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4AE179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5C9FAD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ADFD3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AD7C80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3216B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-0.1002</w:t>
            </w:r>
          </w:p>
        </w:tc>
        <w:tc>
          <w:tcPr>
            <w:tcW w:w="1134" w:type="dxa"/>
            <w:tcBorders>
              <w:top w:val="nil"/>
              <w:left w:val="nil"/>
              <w:bottom w:val="nil"/>
              <w:right w:val="nil"/>
            </w:tcBorders>
            <w:shd w:val="clear" w:color="auto" w:fill="FFFFFF"/>
            <w:tcMar>
              <w:left w:w="67" w:type="dxa"/>
              <w:right w:w="67" w:type="dxa"/>
            </w:tcMar>
            <w:vAlign w:val="center"/>
          </w:tcPr>
          <w:p w14:paraId="2438B2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0.1482</w:t>
            </w:r>
          </w:p>
        </w:tc>
        <w:tc>
          <w:tcPr>
            <w:tcW w:w="1134" w:type="dxa"/>
            <w:tcBorders>
              <w:top w:val="nil"/>
              <w:left w:val="nil"/>
              <w:bottom w:val="nil"/>
              <w:right w:val="nil"/>
            </w:tcBorders>
            <w:shd w:val="clear" w:color="auto" w:fill="FFFFFF"/>
            <w:tcMar>
              <w:left w:w="67" w:type="dxa"/>
              <w:right w:w="67" w:type="dxa"/>
            </w:tcMar>
            <w:vAlign w:val="center"/>
          </w:tcPr>
          <w:p w14:paraId="2E29D6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0.9046</w:t>
            </w:r>
          </w:p>
        </w:tc>
        <w:tc>
          <w:tcPr>
            <w:tcW w:w="1134" w:type="dxa"/>
            <w:tcBorders>
              <w:top w:val="nil"/>
              <w:left w:val="nil"/>
              <w:bottom w:val="nil"/>
              <w:right w:val="nil"/>
            </w:tcBorders>
            <w:shd w:val="clear" w:color="auto" w:fill="FFFFFF"/>
            <w:tcMar>
              <w:left w:w="67" w:type="dxa"/>
              <w:right w:w="67" w:type="dxa"/>
            </w:tcMar>
            <w:vAlign w:val="center"/>
          </w:tcPr>
          <w:p w14:paraId="1603C6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0.6489</w:t>
            </w:r>
          </w:p>
        </w:tc>
        <w:tc>
          <w:tcPr>
            <w:tcW w:w="1134" w:type="dxa"/>
            <w:tcBorders>
              <w:top w:val="nil"/>
              <w:left w:val="nil"/>
              <w:bottom w:val="nil"/>
              <w:right w:val="nil"/>
            </w:tcBorders>
            <w:shd w:val="clear" w:color="auto" w:fill="FFFFFF"/>
            <w:tcMar>
              <w:left w:w="67" w:type="dxa"/>
              <w:right w:w="67" w:type="dxa"/>
            </w:tcMar>
            <w:vAlign w:val="center"/>
          </w:tcPr>
          <w:p w14:paraId="29E0D4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1.2612</w:t>
            </w:r>
          </w:p>
        </w:tc>
        <w:tc>
          <w:tcPr>
            <w:tcW w:w="1134" w:type="dxa"/>
            <w:tcBorders>
              <w:top w:val="nil"/>
              <w:left w:val="nil"/>
              <w:bottom w:val="nil"/>
              <w:right w:val="nil"/>
            </w:tcBorders>
            <w:shd w:val="clear" w:color="auto" w:fill="FFFFFF"/>
            <w:tcMar>
              <w:left w:w="67" w:type="dxa"/>
              <w:right w:w="67" w:type="dxa"/>
            </w:tcMar>
            <w:vAlign w:val="center"/>
          </w:tcPr>
          <w:p w14:paraId="313EC7A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07F08E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4860DB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C4E7F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A96C5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AD213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E000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-0.0691</w:t>
            </w:r>
          </w:p>
        </w:tc>
        <w:tc>
          <w:tcPr>
            <w:tcW w:w="1134" w:type="dxa"/>
            <w:tcBorders>
              <w:top w:val="nil"/>
              <w:left w:val="nil"/>
              <w:bottom w:val="nil"/>
              <w:right w:val="nil"/>
            </w:tcBorders>
            <w:shd w:val="clear" w:color="auto" w:fill="FFFFFF"/>
            <w:tcMar>
              <w:left w:w="67" w:type="dxa"/>
              <w:right w:w="67" w:type="dxa"/>
            </w:tcMar>
            <w:vAlign w:val="center"/>
          </w:tcPr>
          <w:p w14:paraId="768EFB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0.1707</w:t>
            </w:r>
          </w:p>
        </w:tc>
        <w:tc>
          <w:tcPr>
            <w:tcW w:w="1134" w:type="dxa"/>
            <w:tcBorders>
              <w:top w:val="nil"/>
              <w:left w:val="nil"/>
              <w:bottom w:val="nil"/>
              <w:right w:val="nil"/>
            </w:tcBorders>
            <w:shd w:val="clear" w:color="auto" w:fill="FFFFFF"/>
            <w:tcMar>
              <w:left w:w="67" w:type="dxa"/>
              <w:right w:w="67" w:type="dxa"/>
            </w:tcMar>
            <w:vAlign w:val="center"/>
          </w:tcPr>
          <w:p w14:paraId="666574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0.9333</w:t>
            </w:r>
          </w:p>
        </w:tc>
        <w:tc>
          <w:tcPr>
            <w:tcW w:w="1134" w:type="dxa"/>
            <w:tcBorders>
              <w:top w:val="nil"/>
              <w:left w:val="nil"/>
              <w:bottom w:val="nil"/>
              <w:right w:val="nil"/>
            </w:tcBorders>
            <w:shd w:val="clear" w:color="auto" w:fill="FFFFFF"/>
            <w:tcMar>
              <w:left w:w="67" w:type="dxa"/>
              <w:right w:w="67" w:type="dxa"/>
            </w:tcMar>
            <w:vAlign w:val="center"/>
          </w:tcPr>
          <w:p w14:paraId="5D3E7A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0.6366</w:t>
            </w:r>
          </w:p>
        </w:tc>
        <w:tc>
          <w:tcPr>
            <w:tcW w:w="1134" w:type="dxa"/>
            <w:tcBorders>
              <w:top w:val="nil"/>
              <w:left w:val="nil"/>
              <w:bottom w:val="nil"/>
              <w:right w:val="nil"/>
            </w:tcBorders>
            <w:shd w:val="clear" w:color="auto" w:fill="FFFFFF"/>
            <w:tcMar>
              <w:left w:w="67" w:type="dxa"/>
              <w:right w:w="67" w:type="dxa"/>
            </w:tcMar>
            <w:vAlign w:val="center"/>
          </w:tcPr>
          <w:p w14:paraId="410053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1.3682</w:t>
            </w:r>
          </w:p>
        </w:tc>
        <w:tc>
          <w:tcPr>
            <w:tcW w:w="1134" w:type="dxa"/>
            <w:tcBorders>
              <w:top w:val="nil"/>
              <w:left w:val="nil"/>
              <w:bottom w:val="nil"/>
              <w:right w:val="nil"/>
            </w:tcBorders>
            <w:shd w:val="clear" w:color="auto" w:fill="FFFFFF"/>
            <w:tcMar>
              <w:left w:w="67" w:type="dxa"/>
              <w:right w:w="67" w:type="dxa"/>
            </w:tcMar>
            <w:vAlign w:val="center"/>
          </w:tcPr>
          <w:p w14:paraId="4483284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6AD2A9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C4709C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44DDEC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A743BA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2220B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04D96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0.2559</w:t>
            </w:r>
          </w:p>
        </w:tc>
        <w:tc>
          <w:tcPr>
            <w:tcW w:w="1134" w:type="dxa"/>
            <w:tcBorders>
              <w:top w:val="nil"/>
              <w:left w:val="nil"/>
              <w:bottom w:val="nil"/>
              <w:right w:val="nil"/>
            </w:tcBorders>
            <w:shd w:val="clear" w:color="auto" w:fill="FFFFFF"/>
            <w:tcMar>
              <w:left w:w="67" w:type="dxa"/>
              <w:right w:w="67" w:type="dxa"/>
            </w:tcMar>
            <w:vAlign w:val="center"/>
          </w:tcPr>
          <w:p w14:paraId="5B9FD2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0.1549</w:t>
            </w:r>
          </w:p>
        </w:tc>
        <w:tc>
          <w:tcPr>
            <w:tcW w:w="1134" w:type="dxa"/>
            <w:tcBorders>
              <w:top w:val="nil"/>
              <w:left w:val="nil"/>
              <w:bottom w:val="nil"/>
              <w:right w:val="nil"/>
            </w:tcBorders>
            <w:shd w:val="clear" w:color="auto" w:fill="FFFFFF"/>
            <w:tcMar>
              <w:left w:w="67" w:type="dxa"/>
              <w:right w:w="67" w:type="dxa"/>
            </w:tcMar>
            <w:vAlign w:val="center"/>
          </w:tcPr>
          <w:p w14:paraId="1D620F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1.2917</w:t>
            </w:r>
          </w:p>
        </w:tc>
        <w:tc>
          <w:tcPr>
            <w:tcW w:w="1134" w:type="dxa"/>
            <w:tcBorders>
              <w:top w:val="nil"/>
              <w:left w:val="nil"/>
              <w:bottom w:val="nil"/>
              <w:right w:val="nil"/>
            </w:tcBorders>
            <w:shd w:val="clear" w:color="auto" w:fill="FFFFFF"/>
            <w:tcMar>
              <w:left w:w="67" w:type="dxa"/>
              <w:right w:w="67" w:type="dxa"/>
            </w:tcMar>
            <w:vAlign w:val="center"/>
          </w:tcPr>
          <w:p w14:paraId="55F064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0.9128</w:t>
            </w:r>
          </w:p>
        </w:tc>
        <w:tc>
          <w:tcPr>
            <w:tcW w:w="1134" w:type="dxa"/>
            <w:tcBorders>
              <w:top w:val="nil"/>
              <w:left w:val="nil"/>
              <w:bottom w:val="nil"/>
              <w:right w:val="nil"/>
            </w:tcBorders>
            <w:shd w:val="clear" w:color="auto" w:fill="FFFFFF"/>
            <w:tcMar>
              <w:left w:w="67" w:type="dxa"/>
              <w:right w:w="67" w:type="dxa"/>
            </w:tcMar>
            <w:vAlign w:val="center"/>
          </w:tcPr>
          <w:p w14:paraId="023BBB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1.8278</w:t>
            </w:r>
          </w:p>
        </w:tc>
        <w:tc>
          <w:tcPr>
            <w:tcW w:w="1134" w:type="dxa"/>
            <w:tcBorders>
              <w:top w:val="nil"/>
              <w:left w:val="nil"/>
              <w:bottom w:val="nil"/>
              <w:right w:val="nil"/>
            </w:tcBorders>
            <w:shd w:val="clear" w:color="auto" w:fill="FFFFFF"/>
            <w:tcMar>
              <w:left w:w="67" w:type="dxa"/>
              <w:right w:w="67" w:type="dxa"/>
            </w:tcMar>
            <w:vAlign w:val="center"/>
          </w:tcPr>
          <w:p w14:paraId="48871B2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22AC26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D6FC7B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2F9261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6919BE"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6D0D5B7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47C10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0.0046</w:t>
            </w:r>
          </w:p>
        </w:tc>
        <w:tc>
          <w:tcPr>
            <w:tcW w:w="1134" w:type="dxa"/>
            <w:tcBorders>
              <w:top w:val="nil"/>
              <w:left w:val="nil"/>
              <w:bottom w:val="nil"/>
              <w:right w:val="nil"/>
            </w:tcBorders>
            <w:shd w:val="clear" w:color="auto" w:fill="FFFFFF"/>
            <w:tcMar>
              <w:left w:w="67" w:type="dxa"/>
              <w:right w:w="67" w:type="dxa"/>
            </w:tcMar>
            <w:vAlign w:val="center"/>
          </w:tcPr>
          <w:p w14:paraId="168A02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0.0088</w:t>
            </w:r>
          </w:p>
        </w:tc>
        <w:tc>
          <w:tcPr>
            <w:tcW w:w="1134" w:type="dxa"/>
            <w:tcBorders>
              <w:top w:val="nil"/>
              <w:left w:val="nil"/>
              <w:bottom w:val="nil"/>
              <w:right w:val="nil"/>
            </w:tcBorders>
            <w:shd w:val="clear" w:color="auto" w:fill="FFFFFF"/>
            <w:tcMar>
              <w:left w:w="67" w:type="dxa"/>
              <w:right w:w="67" w:type="dxa"/>
            </w:tcMar>
            <w:vAlign w:val="center"/>
          </w:tcPr>
          <w:p w14:paraId="478F19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1.0046</w:t>
            </w:r>
          </w:p>
        </w:tc>
        <w:tc>
          <w:tcPr>
            <w:tcW w:w="1134" w:type="dxa"/>
            <w:tcBorders>
              <w:top w:val="nil"/>
              <w:left w:val="nil"/>
              <w:bottom w:val="nil"/>
              <w:right w:val="nil"/>
            </w:tcBorders>
            <w:shd w:val="clear" w:color="auto" w:fill="FFFFFF"/>
            <w:tcMar>
              <w:left w:w="67" w:type="dxa"/>
              <w:right w:w="67" w:type="dxa"/>
            </w:tcMar>
            <w:vAlign w:val="center"/>
          </w:tcPr>
          <w:p w14:paraId="57CB9F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0.9850</w:t>
            </w:r>
          </w:p>
        </w:tc>
        <w:tc>
          <w:tcPr>
            <w:tcW w:w="1134" w:type="dxa"/>
            <w:tcBorders>
              <w:top w:val="nil"/>
              <w:left w:val="nil"/>
              <w:bottom w:val="nil"/>
              <w:right w:val="nil"/>
            </w:tcBorders>
            <w:shd w:val="clear" w:color="auto" w:fill="FFFFFF"/>
            <w:tcMar>
              <w:left w:w="67" w:type="dxa"/>
              <w:right w:w="67" w:type="dxa"/>
            </w:tcMar>
            <w:vAlign w:val="center"/>
          </w:tcPr>
          <w:p w14:paraId="39A499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1.0246</w:t>
            </w:r>
          </w:p>
        </w:tc>
        <w:tc>
          <w:tcPr>
            <w:tcW w:w="1134" w:type="dxa"/>
            <w:tcBorders>
              <w:top w:val="nil"/>
              <w:left w:val="nil"/>
              <w:bottom w:val="nil"/>
              <w:right w:val="nil"/>
            </w:tcBorders>
            <w:shd w:val="clear" w:color="auto" w:fill="FFFFFF"/>
            <w:tcMar>
              <w:left w:w="67" w:type="dxa"/>
              <w:right w:w="67" w:type="dxa"/>
            </w:tcMar>
            <w:vAlign w:val="center"/>
          </w:tcPr>
          <w:p w14:paraId="7A97BA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w:t>
            </w:r>
          </w:p>
        </w:tc>
        <w:tc>
          <w:tcPr>
            <w:tcW w:w="567" w:type="dxa"/>
            <w:tcBorders>
              <w:top w:val="nil"/>
              <w:left w:val="nil"/>
              <w:bottom w:val="nil"/>
              <w:right w:val="nil"/>
            </w:tcBorders>
            <w:shd w:val="clear" w:color="auto" w:fill="FFFFFF"/>
            <w:tcMar>
              <w:left w:w="67" w:type="dxa"/>
              <w:right w:w="67" w:type="dxa"/>
            </w:tcMar>
            <w:vAlign w:val="center"/>
          </w:tcPr>
          <w:p w14:paraId="29E2B4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2531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0.6048</w:t>
            </w:r>
          </w:p>
        </w:tc>
      </w:tr>
      <w:tr w:rsidR="00B77EA3" w:rsidRPr="0082484A" w14:paraId="6759BB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B36336A"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795F502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89308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0.0197</w:t>
            </w:r>
          </w:p>
        </w:tc>
        <w:tc>
          <w:tcPr>
            <w:tcW w:w="1134" w:type="dxa"/>
            <w:tcBorders>
              <w:top w:val="nil"/>
              <w:left w:val="nil"/>
              <w:bottom w:val="nil"/>
              <w:right w:val="nil"/>
            </w:tcBorders>
            <w:shd w:val="clear" w:color="auto" w:fill="FFFFFF"/>
            <w:tcMar>
              <w:left w:w="67" w:type="dxa"/>
              <w:right w:w="67" w:type="dxa"/>
            </w:tcMar>
            <w:vAlign w:val="center"/>
          </w:tcPr>
          <w:p w14:paraId="1BC8DE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0.0052</w:t>
            </w:r>
          </w:p>
        </w:tc>
        <w:tc>
          <w:tcPr>
            <w:tcW w:w="1134" w:type="dxa"/>
            <w:tcBorders>
              <w:top w:val="nil"/>
              <w:left w:val="nil"/>
              <w:bottom w:val="nil"/>
              <w:right w:val="nil"/>
            </w:tcBorders>
            <w:shd w:val="clear" w:color="auto" w:fill="FFFFFF"/>
            <w:tcMar>
              <w:left w:w="67" w:type="dxa"/>
              <w:right w:w="67" w:type="dxa"/>
            </w:tcMar>
            <w:vAlign w:val="center"/>
          </w:tcPr>
          <w:p w14:paraId="03FE86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1.0199</w:t>
            </w:r>
          </w:p>
        </w:tc>
        <w:tc>
          <w:tcPr>
            <w:tcW w:w="1134" w:type="dxa"/>
            <w:tcBorders>
              <w:top w:val="nil"/>
              <w:left w:val="nil"/>
              <w:bottom w:val="nil"/>
              <w:right w:val="nil"/>
            </w:tcBorders>
            <w:shd w:val="clear" w:color="auto" w:fill="FFFFFF"/>
            <w:tcMar>
              <w:left w:w="67" w:type="dxa"/>
              <w:right w:w="67" w:type="dxa"/>
            </w:tcMar>
            <w:vAlign w:val="center"/>
          </w:tcPr>
          <w:p w14:paraId="56895F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1.0080</w:t>
            </w:r>
          </w:p>
        </w:tc>
        <w:tc>
          <w:tcPr>
            <w:tcW w:w="1134" w:type="dxa"/>
            <w:tcBorders>
              <w:top w:val="nil"/>
              <w:left w:val="nil"/>
              <w:bottom w:val="nil"/>
              <w:right w:val="nil"/>
            </w:tcBorders>
            <w:shd w:val="clear" w:color="auto" w:fill="FFFFFF"/>
            <w:tcMar>
              <w:left w:w="67" w:type="dxa"/>
              <w:right w:w="67" w:type="dxa"/>
            </w:tcMar>
            <w:vAlign w:val="center"/>
          </w:tcPr>
          <w:p w14:paraId="6F1BAB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1.0319</w:t>
            </w:r>
          </w:p>
        </w:tc>
        <w:tc>
          <w:tcPr>
            <w:tcW w:w="1134" w:type="dxa"/>
            <w:tcBorders>
              <w:top w:val="nil"/>
              <w:left w:val="nil"/>
              <w:bottom w:val="nil"/>
              <w:right w:val="nil"/>
            </w:tcBorders>
            <w:shd w:val="clear" w:color="auto" w:fill="FFFFFF"/>
            <w:tcMar>
              <w:left w:w="67" w:type="dxa"/>
              <w:right w:w="67" w:type="dxa"/>
            </w:tcMar>
            <w:vAlign w:val="center"/>
          </w:tcPr>
          <w:p w14:paraId="13931D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14.17</w:t>
            </w:r>
          </w:p>
        </w:tc>
        <w:tc>
          <w:tcPr>
            <w:tcW w:w="567" w:type="dxa"/>
            <w:tcBorders>
              <w:top w:val="nil"/>
              <w:left w:val="nil"/>
              <w:bottom w:val="nil"/>
              <w:right w:val="nil"/>
            </w:tcBorders>
            <w:shd w:val="clear" w:color="auto" w:fill="FFFFFF"/>
            <w:tcMar>
              <w:left w:w="67" w:type="dxa"/>
              <w:right w:w="67" w:type="dxa"/>
            </w:tcMar>
            <w:vAlign w:val="center"/>
          </w:tcPr>
          <w:p w14:paraId="0DE7EF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DD56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r>
      <w:tr w:rsidR="00B77EA3" w:rsidRPr="0082484A" w14:paraId="0D5BDB5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710F63"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24684F5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0B77D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2A6089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54895B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0.9995</w:t>
            </w:r>
          </w:p>
        </w:tc>
        <w:tc>
          <w:tcPr>
            <w:tcW w:w="1134" w:type="dxa"/>
            <w:tcBorders>
              <w:top w:val="nil"/>
              <w:left w:val="nil"/>
              <w:bottom w:val="nil"/>
              <w:right w:val="nil"/>
            </w:tcBorders>
            <w:shd w:val="clear" w:color="auto" w:fill="FFFFFF"/>
            <w:tcMar>
              <w:left w:w="67" w:type="dxa"/>
              <w:right w:w="67" w:type="dxa"/>
            </w:tcMar>
            <w:vAlign w:val="center"/>
          </w:tcPr>
          <w:p w14:paraId="3499A4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0.9963</w:t>
            </w:r>
          </w:p>
        </w:tc>
        <w:tc>
          <w:tcPr>
            <w:tcW w:w="1134" w:type="dxa"/>
            <w:tcBorders>
              <w:top w:val="nil"/>
              <w:left w:val="nil"/>
              <w:bottom w:val="nil"/>
              <w:right w:val="nil"/>
            </w:tcBorders>
            <w:shd w:val="clear" w:color="auto" w:fill="FFFFFF"/>
            <w:tcMar>
              <w:left w:w="67" w:type="dxa"/>
              <w:right w:w="67" w:type="dxa"/>
            </w:tcMar>
            <w:vAlign w:val="center"/>
          </w:tcPr>
          <w:p w14:paraId="053F8B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1.0026</w:t>
            </w:r>
          </w:p>
        </w:tc>
        <w:tc>
          <w:tcPr>
            <w:tcW w:w="1134" w:type="dxa"/>
            <w:tcBorders>
              <w:top w:val="nil"/>
              <w:left w:val="nil"/>
              <w:bottom w:val="nil"/>
              <w:right w:val="nil"/>
            </w:tcBorders>
            <w:shd w:val="clear" w:color="auto" w:fill="FFFFFF"/>
            <w:tcMar>
              <w:left w:w="67" w:type="dxa"/>
              <w:right w:w="67" w:type="dxa"/>
            </w:tcMar>
            <w:vAlign w:val="center"/>
          </w:tcPr>
          <w:p w14:paraId="71D7ED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w:t>
            </w:r>
          </w:p>
        </w:tc>
        <w:tc>
          <w:tcPr>
            <w:tcW w:w="567" w:type="dxa"/>
            <w:tcBorders>
              <w:top w:val="nil"/>
              <w:left w:val="nil"/>
              <w:bottom w:val="nil"/>
              <w:right w:val="nil"/>
            </w:tcBorders>
            <w:shd w:val="clear" w:color="auto" w:fill="FFFFFF"/>
            <w:tcMar>
              <w:left w:w="67" w:type="dxa"/>
              <w:right w:w="67" w:type="dxa"/>
            </w:tcMar>
            <w:vAlign w:val="center"/>
          </w:tcPr>
          <w:p w14:paraId="03AC96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2158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0.7124</w:t>
            </w:r>
          </w:p>
        </w:tc>
      </w:tr>
      <w:tr w:rsidR="00B77EA3" w:rsidRPr="0082484A" w14:paraId="1252EBFE"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7F9D759"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6C71CC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FA858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0.0643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86004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68A26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1.0665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CE460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0.9663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44C9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9EB8A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C22CB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DEAC3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0.1436</w:t>
            </w:r>
          </w:p>
        </w:tc>
      </w:tr>
    </w:tbl>
    <w:p w14:paraId="1234174A" w14:textId="77777777" w:rsidR="00B77EA3" w:rsidRPr="0082484A" w:rsidRDefault="00B77EA3" w:rsidP="00B77EA3">
      <w:pPr>
        <w:spacing w:before="0" w:line="240" w:lineRule="auto"/>
        <w:rPr>
          <w:bCs/>
          <w:sz w:val="22"/>
          <w:szCs w:val="22"/>
        </w:rPr>
      </w:pPr>
      <w:bookmarkStart w:id="58" w:name="_Ref502917769"/>
      <w:r w:rsidRPr="0082484A">
        <w:rPr>
          <w:bCs/>
          <w:sz w:val="22"/>
          <w:szCs w:val="22"/>
          <w:vertAlign w:val="superscript"/>
        </w:rPr>
        <w:t>a</w:t>
      </w:r>
      <w:r w:rsidRPr="0082484A">
        <w:rPr>
          <w:bCs/>
          <w:sz w:val="22"/>
          <w:szCs w:val="22"/>
        </w:rPr>
        <w:t xml:space="preserve"> The estimated number needed to treat for one patient with Type 2 diabetes to achieve total serum cholesterol level below or equal to 5.0 mmol/l is -62</w:t>
      </w:r>
    </w:p>
    <w:p w14:paraId="736E2535" w14:textId="77777777" w:rsidR="00B77EA3" w:rsidRPr="0082484A" w:rsidRDefault="00B77EA3" w:rsidP="00B77EA3">
      <w:pPr>
        <w:spacing w:before="0" w:after="200"/>
        <w:rPr>
          <w:sz w:val="22"/>
          <w:szCs w:val="22"/>
        </w:rPr>
      </w:pPr>
      <w:r w:rsidRPr="0082484A">
        <w:rPr>
          <w:sz w:val="22"/>
          <w:szCs w:val="22"/>
        </w:rPr>
        <w:br w:type="page"/>
      </w:r>
    </w:p>
    <w:p w14:paraId="63964C5A" w14:textId="73D581BA" w:rsidR="00B77EA3" w:rsidRPr="0082484A" w:rsidRDefault="00B77EA3" w:rsidP="00B77EA3">
      <w:pPr>
        <w:spacing w:before="0" w:line="240" w:lineRule="auto"/>
        <w:rPr>
          <w:bCs/>
          <w:sz w:val="22"/>
          <w:szCs w:val="22"/>
        </w:rPr>
      </w:pPr>
      <w:bookmarkStart w:id="59" w:name="_Ref8647187"/>
      <w:bookmarkStart w:id="60" w:name="_Toc8728090"/>
      <w:bookmarkStart w:id="61" w:name="_Toc19526745"/>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16</w:t>
      </w:r>
      <w:r w:rsidRPr="0082484A">
        <w:rPr>
          <w:bCs/>
          <w:noProof/>
          <w:sz w:val="22"/>
          <w:szCs w:val="22"/>
        </w:rPr>
        <w:fldChar w:fldCharType="end"/>
      </w:r>
      <w:bookmarkEnd w:id="58"/>
      <w:bookmarkEnd w:id="59"/>
      <w:r w:rsidRPr="0082484A">
        <w:rPr>
          <w:bCs/>
          <w:sz w:val="22"/>
          <w:szCs w:val="22"/>
        </w:rPr>
        <w:t>: Secondary outcome for Trial 1: The proportion of patients with Type 2 diabetes having their blood pressure measured in the previous 12 months (WP4A)</w:t>
      </w:r>
      <w:r w:rsidRPr="0082484A">
        <w:rPr>
          <w:bCs/>
          <w:sz w:val="22"/>
          <w:szCs w:val="22"/>
          <w:vertAlign w:val="superscript"/>
        </w:rPr>
        <w:t xml:space="preserve"> a</w:t>
      </w:r>
      <w:bookmarkEnd w:id="60"/>
      <w:bookmarkEnd w:id="61"/>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3765F8AB"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7FBFA54" w14:textId="77777777" w:rsidR="00B77EA3" w:rsidRPr="0082484A" w:rsidRDefault="00B77EA3" w:rsidP="00B77EA3">
            <w:pPr>
              <w:spacing w:beforeLines="10" w:before="24" w:afterLines="10" w:after="24" w:line="240" w:lineRule="auto"/>
              <w:rPr>
                <w:bCs/>
                <w:sz w:val="22"/>
                <w:szCs w:val="22"/>
              </w:rPr>
            </w:pPr>
            <w:bookmarkStart w:id="62" w:name="IDX66"/>
            <w:bookmarkEnd w:id="62"/>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BF35FE"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A87241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D7F955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291EDE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361481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61817B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5199A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6803F8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1132B0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53B7908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018525"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B5DD22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595409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-0.0135</w:t>
            </w:r>
          </w:p>
        </w:tc>
        <w:tc>
          <w:tcPr>
            <w:tcW w:w="1134" w:type="dxa"/>
            <w:tcBorders>
              <w:top w:val="nil"/>
              <w:left w:val="nil"/>
              <w:bottom w:val="nil"/>
              <w:right w:val="nil"/>
            </w:tcBorders>
            <w:shd w:val="clear" w:color="auto" w:fill="FFFFFF"/>
            <w:tcMar>
              <w:left w:w="67" w:type="dxa"/>
              <w:right w:w="67" w:type="dxa"/>
            </w:tcMar>
            <w:vAlign w:val="center"/>
          </w:tcPr>
          <w:p w14:paraId="0805B2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0.1337</w:t>
            </w:r>
          </w:p>
        </w:tc>
        <w:tc>
          <w:tcPr>
            <w:tcW w:w="1134" w:type="dxa"/>
            <w:tcBorders>
              <w:top w:val="nil"/>
              <w:left w:val="nil"/>
              <w:bottom w:val="nil"/>
              <w:right w:val="nil"/>
            </w:tcBorders>
            <w:shd w:val="clear" w:color="auto" w:fill="FFFFFF"/>
            <w:tcMar>
              <w:left w:w="67" w:type="dxa"/>
              <w:right w:w="67" w:type="dxa"/>
            </w:tcMar>
            <w:vAlign w:val="center"/>
          </w:tcPr>
          <w:p w14:paraId="5DAC56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0.9866</w:t>
            </w:r>
          </w:p>
        </w:tc>
        <w:tc>
          <w:tcPr>
            <w:tcW w:w="1134" w:type="dxa"/>
            <w:tcBorders>
              <w:top w:val="nil"/>
              <w:left w:val="nil"/>
              <w:bottom w:val="nil"/>
              <w:right w:val="nil"/>
            </w:tcBorders>
            <w:shd w:val="clear" w:color="auto" w:fill="FFFFFF"/>
            <w:tcMar>
              <w:left w:w="67" w:type="dxa"/>
              <w:right w:w="67" w:type="dxa"/>
            </w:tcMar>
            <w:vAlign w:val="center"/>
          </w:tcPr>
          <w:p w14:paraId="3772E0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0.7311</w:t>
            </w:r>
          </w:p>
        </w:tc>
        <w:tc>
          <w:tcPr>
            <w:tcW w:w="1134" w:type="dxa"/>
            <w:tcBorders>
              <w:top w:val="nil"/>
              <w:left w:val="nil"/>
              <w:bottom w:val="nil"/>
              <w:right w:val="nil"/>
            </w:tcBorders>
            <w:shd w:val="clear" w:color="auto" w:fill="FFFFFF"/>
            <w:tcMar>
              <w:left w:w="67" w:type="dxa"/>
              <w:right w:w="67" w:type="dxa"/>
            </w:tcMar>
            <w:vAlign w:val="center"/>
          </w:tcPr>
          <w:p w14:paraId="4D1C6F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1.3314</w:t>
            </w:r>
          </w:p>
        </w:tc>
        <w:tc>
          <w:tcPr>
            <w:tcW w:w="1134" w:type="dxa"/>
            <w:tcBorders>
              <w:top w:val="nil"/>
              <w:left w:val="nil"/>
              <w:bottom w:val="nil"/>
              <w:right w:val="nil"/>
            </w:tcBorders>
            <w:shd w:val="clear" w:color="auto" w:fill="FFFFFF"/>
            <w:tcMar>
              <w:left w:w="67" w:type="dxa"/>
              <w:right w:w="67" w:type="dxa"/>
            </w:tcMar>
            <w:vAlign w:val="center"/>
          </w:tcPr>
          <w:p w14:paraId="56E53D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337426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F694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0.9195</w:t>
            </w:r>
          </w:p>
        </w:tc>
      </w:tr>
      <w:tr w:rsidR="00B77EA3" w:rsidRPr="0082484A" w14:paraId="02679CA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4308840"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4E7C6B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1ABFD8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0.0518</w:t>
            </w:r>
          </w:p>
        </w:tc>
        <w:tc>
          <w:tcPr>
            <w:tcW w:w="1134" w:type="dxa"/>
            <w:tcBorders>
              <w:top w:val="nil"/>
              <w:left w:val="nil"/>
              <w:bottom w:val="nil"/>
              <w:right w:val="nil"/>
            </w:tcBorders>
            <w:shd w:val="clear" w:color="auto" w:fill="FFFFFF"/>
            <w:tcMar>
              <w:left w:w="67" w:type="dxa"/>
              <w:right w:w="67" w:type="dxa"/>
            </w:tcMar>
            <w:vAlign w:val="center"/>
          </w:tcPr>
          <w:p w14:paraId="4CE9A3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0.0578</w:t>
            </w:r>
          </w:p>
        </w:tc>
        <w:tc>
          <w:tcPr>
            <w:tcW w:w="1134" w:type="dxa"/>
            <w:tcBorders>
              <w:top w:val="nil"/>
              <w:left w:val="nil"/>
              <w:bottom w:val="nil"/>
              <w:right w:val="nil"/>
            </w:tcBorders>
            <w:shd w:val="clear" w:color="auto" w:fill="FFFFFF"/>
            <w:tcMar>
              <w:left w:w="67" w:type="dxa"/>
              <w:right w:w="67" w:type="dxa"/>
            </w:tcMar>
            <w:vAlign w:val="center"/>
          </w:tcPr>
          <w:p w14:paraId="3A3AAF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1.0532</w:t>
            </w:r>
          </w:p>
        </w:tc>
        <w:tc>
          <w:tcPr>
            <w:tcW w:w="1134" w:type="dxa"/>
            <w:tcBorders>
              <w:top w:val="nil"/>
              <w:left w:val="nil"/>
              <w:bottom w:val="nil"/>
              <w:right w:val="nil"/>
            </w:tcBorders>
            <w:shd w:val="clear" w:color="auto" w:fill="FFFFFF"/>
            <w:tcMar>
              <w:left w:w="67" w:type="dxa"/>
              <w:right w:w="67" w:type="dxa"/>
            </w:tcMar>
            <w:vAlign w:val="center"/>
          </w:tcPr>
          <w:p w14:paraId="7866AE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0.9253</w:t>
            </w:r>
          </w:p>
        </w:tc>
        <w:tc>
          <w:tcPr>
            <w:tcW w:w="1134" w:type="dxa"/>
            <w:tcBorders>
              <w:top w:val="nil"/>
              <w:left w:val="nil"/>
              <w:bottom w:val="nil"/>
              <w:right w:val="nil"/>
            </w:tcBorders>
            <w:shd w:val="clear" w:color="auto" w:fill="FFFFFF"/>
            <w:tcMar>
              <w:left w:w="67" w:type="dxa"/>
              <w:right w:w="67" w:type="dxa"/>
            </w:tcMar>
            <w:vAlign w:val="center"/>
          </w:tcPr>
          <w:p w14:paraId="1630CB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1.1988</w:t>
            </w:r>
          </w:p>
        </w:tc>
        <w:tc>
          <w:tcPr>
            <w:tcW w:w="1134" w:type="dxa"/>
            <w:tcBorders>
              <w:top w:val="nil"/>
              <w:left w:val="nil"/>
              <w:bottom w:val="nil"/>
              <w:right w:val="nil"/>
            </w:tcBorders>
            <w:shd w:val="clear" w:color="auto" w:fill="FFFFFF"/>
            <w:tcMar>
              <w:left w:w="67" w:type="dxa"/>
              <w:right w:w="67" w:type="dxa"/>
            </w:tcMar>
            <w:vAlign w:val="center"/>
          </w:tcPr>
          <w:p w14:paraId="68F105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w:t>
            </w:r>
          </w:p>
        </w:tc>
        <w:tc>
          <w:tcPr>
            <w:tcW w:w="567" w:type="dxa"/>
            <w:tcBorders>
              <w:top w:val="nil"/>
              <w:left w:val="nil"/>
              <w:bottom w:val="nil"/>
              <w:right w:val="nil"/>
            </w:tcBorders>
            <w:shd w:val="clear" w:color="auto" w:fill="FFFFFF"/>
            <w:tcMar>
              <w:left w:w="67" w:type="dxa"/>
              <w:right w:w="67" w:type="dxa"/>
            </w:tcMar>
            <w:vAlign w:val="center"/>
          </w:tcPr>
          <w:p w14:paraId="017577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6331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0.3697</w:t>
            </w:r>
          </w:p>
        </w:tc>
      </w:tr>
      <w:tr w:rsidR="00B77EA3" w:rsidRPr="0082484A" w14:paraId="0C8E287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F0DEA2"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4299E50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4F318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0.0358</w:t>
            </w:r>
          </w:p>
        </w:tc>
        <w:tc>
          <w:tcPr>
            <w:tcW w:w="1134" w:type="dxa"/>
            <w:tcBorders>
              <w:top w:val="nil"/>
              <w:left w:val="nil"/>
              <w:bottom w:val="nil"/>
              <w:right w:val="nil"/>
            </w:tcBorders>
            <w:shd w:val="clear" w:color="auto" w:fill="FFFFFF"/>
            <w:tcMar>
              <w:left w:w="67" w:type="dxa"/>
              <w:right w:w="67" w:type="dxa"/>
            </w:tcMar>
            <w:vAlign w:val="center"/>
          </w:tcPr>
          <w:p w14:paraId="1D0493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53ADE6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1.0365</w:t>
            </w:r>
          </w:p>
        </w:tc>
        <w:tc>
          <w:tcPr>
            <w:tcW w:w="1134" w:type="dxa"/>
            <w:tcBorders>
              <w:top w:val="nil"/>
              <w:left w:val="nil"/>
              <w:bottom w:val="nil"/>
              <w:right w:val="nil"/>
            </w:tcBorders>
            <w:shd w:val="clear" w:color="auto" w:fill="FFFFFF"/>
            <w:tcMar>
              <w:left w:w="67" w:type="dxa"/>
              <w:right w:w="67" w:type="dxa"/>
            </w:tcMar>
            <w:vAlign w:val="center"/>
          </w:tcPr>
          <w:p w14:paraId="51730F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1.0317</w:t>
            </w:r>
          </w:p>
        </w:tc>
        <w:tc>
          <w:tcPr>
            <w:tcW w:w="1134" w:type="dxa"/>
            <w:tcBorders>
              <w:top w:val="nil"/>
              <w:left w:val="nil"/>
              <w:bottom w:val="nil"/>
              <w:right w:val="nil"/>
            </w:tcBorders>
            <w:shd w:val="clear" w:color="auto" w:fill="FFFFFF"/>
            <w:tcMar>
              <w:left w:w="67" w:type="dxa"/>
              <w:right w:w="67" w:type="dxa"/>
            </w:tcMar>
            <w:vAlign w:val="center"/>
          </w:tcPr>
          <w:p w14:paraId="461775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1.0413</w:t>
            </w:r>
          </w:p>
        </w:tc>
        <w:tc>
          <w:tcPr>
            <w:tcW w:w="1134" w:type="dxa"/>
            <w:tcBorders>
              <w:top w:val="nil"/>
              <w:left w:val="nil"/>
              <w:bottom w:val="nil"/>
              <w:right w:val="nil"/>
            </w:tcBorders>
            <w:shd w:val="clear" w:color="auto" w:fill="FFFFFF"/>
            <w:tcMar>
              <w:left w:w="67" w:type="dxa"/>
              <w:right w:w="67" w:type="dxa"/>
            </w:tcMar>
            <w:vAlign w:val="center"/>
          </w:tcPr>
          <w:p w14:paraId="0CF4F8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298.96</w:t>
            </w:r>
          </w:p>
        </w:tc>
        <w:tc>
          <w:tcPr>
            <w:tcW w:w="567" w:type="dxa"/>
            <w:tcBorders>
              <w:top w:val="nil"/>
              <w:left w:val="nil"/>
              <w:bottom w:val="nil"/>
              <w:right w:val="nil"/>
            </w:tcBorders>
            <w:shd w:val="clear" w:color="auto" w:fill="FFFFFF"/>
            <w:tcMar>
              <w:left w:w="67" w:type="dxa"/>
              <w:right w:w="67" w:type="dxa"/>
            </w:tcMar>
            <w:vAlign w:val="center"/>
          </w:tcPr>
          <w:p w14:paraId="2CFAE3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FCB3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56B3DA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4B23F22"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52CCB27"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27A5B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0.0015</w:t>
            </w:r>
          </w:p>
        </w:tc>
        <w:tc>
          <w:tcPr>
            <w:tcW w:w="1134" w:type="dxa"/>
            <w:tcBorders>
              <w:top w:val="nil"/>
              <w:left w:val="nil"/>
              <w:bottom w:val="nil"/>
              <w:right w:val="nil"/>
            </w:tcBorders>
            <w:shd w:val="clear" w:color="auto" w:fill="FFFFFF"/>
            <w:tcMar>
              <w:left w:w="67" w:type="dxa"/>
              <w:right w:w="67" w:type="dxa"/>
            </w:tcMar>
            <w:vAlign w:val="center"/>
          </w:tcPr>
          <w:p w14:paraId="4B20AF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400CB2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1.0015</w:t>
            </w:r>
          </w:p>
        </w:tc>
        <w:tc>
          <w:tcPr>
            <w:tcW w:w="1134" w:type="dxa"/>
            <w:tcBorders>
              <w:top w:val="nil"/>
              <w:left w:val="nil"/>
              <w:bottom w:val="nil"/>
              <w:right w:val="nil"/>
            </w:tcBorders>
            <w:shd w:val="clear" w:color="auto" w:fill="FFFFFF"/>
            <w:tcMar>
              <w:left w:w="67" w:type="dxa"/>
              <w:right w:w="67" w:type="dxa"/>
            </w:tcMar>
            <w:vAlign w:val="center"/>
          </w:tcPr>
          <w:p w14:paraId="422457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0.9969</w:t>
            </w:r>
          </w:p>
        </w:tc>
        <w:tc>
          <w:tcPr>
            <w:tcW w:w="1134" w:type="dxa"/>
            <w:tcBorders>
              <w:top w:val="nil"/>
              <w:left w:val="nil"/>
              <w:bottom w:val="nil"/>
              <w:right w:val="nil"/>
            </w:tcBorders>
            <w:shd w:val="clear" w:color="auto" w:fill="FFFFFF"/>
            <w:tcMar>
              <w:left w:w="67" w:type="dxa"/>
              <w:right w:w="67" w:type="dxa"/>
            </w:tcMar>
            <w:vAlign w:val="center"/>
          </w:tcPr>
          <w:p w14:paraId="073449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1.0061</w:t>
            </w:r>
          </w:p>
        </w:tc>
        <w:tc>
          <w:tcPr>
            <w:tcW w:w="1134" w:type="dxa"/>
            <w:tcBorders>
              <w:top w:val="nil"/>
              <w:left w:val="nil"/>
              <w:bottom w:val="nil"/>
              <w:right w:val="nil"/>
            </w:tcBorders>
            <w:shd w:val="clear" w:color="auto" w:fill="FFFFFF"/>
            <w:tcMar>
              <w:left w:w="67" w:type="dxa"/>
              <w:right w:w="67" w:type="dxa"/>
            </w:tcMar>
            <w:vAlign w:val="center"/>
          </w:tcPr>
          <w:p w14:paraId="7C0415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w:t>
            </w:r>
          </w:p>
        </w:tc>
        <w:tc>
          <w:tcPr>
            <w:tcW w:w="567" w:type="dxa"/>
            <w:tcBorders>
              <w:top w:val="nil"/>
              <w:left w:val="nil"/>
              <w:bottom w:val="nil"/>
              <w:right w:val="nil"/>
            </w:tcBorders>
            <w:shd w:val="clear" w:color="auto" w:fill="FFFFFF"/>
            <w:tcMar>
              <w:left w:w="67" w:type="dxa"/>
              <w:right w:w="67" w:type="dxa"/>
            </w:tcMar>
            <w:vAlign w:val="center"/>
          </w:tcPr>
          <w:p w14:paraId="43B345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86E7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0.4607</w:t>
            </w:r>
          </w:p>
        </w:tc>
      </w:tr>
      <w:tr w:rsidR="00B77EA3" w:rsidRPr="0082484A" w14:paraId="1573AC4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E287BE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225C65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E3638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-0.3690</w:t>
            </w:r>
          </w:p>
        </w:tc>
        <w:tc>
          <w:tcPr>
            <w:tcW w:w="1134" w:type="dxa"/>
            <w:tcBorders>
              <w:top w:val="nil"/>
              <w:left w:val="nil"/>
              <w:bottom w:val="nil"/>
              <w:right w:val="nil"/>
            </w:tcBorders>
            <w:shd w:val="clear" w:color="auto" w:fill="FFFFFF"/>
            <w:tcMar>
              <w:left w:w="67" w:type="dxa"/>
              <w:right w:w="67" w:type="dxa"/>
            </w:tcMar>
            <w:vAlign w:val="center"/>
          </w:tcPr>
          <w:p w14:paraId="7125DB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0.3565</w:t>
            </w:r>
          </w:p>
        </w:tc>
        <w:tc>
          <w:tcPr>
            <w:tcW w:w="1134" w:type="dxa"/>
            <w:tcBorders>
              <w:top w:val="nil"/>
              <w:left w:val="nil"/>
              <w:bottom w:val="nil"/>
              <w:right w:val="nil"/>
            </w:tcBorders>
            <w:shd w:val="clear" w:color="auto" w:fill="FFFFFF"/>
            <w:tcMar>
              <w:left w:w="67" w:type="dxa"/>
              <w:right w:w="67" w:type="dxa"/>
            </w:tcMar>
            <w:vAlign w:val="center"/>
          </w:tcPr>
          <w:p w14:paraId="547538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0.6914</w:t>
            </w:r>
          </w:p>
        </w:tc>
        <w:tc>
          <w:tcPr>
            <w:tcW w:w="1134" w:type="dxa"/>
            <w:tcBorders>
              <w:top w:val="nil"/>
              <w:left w:val="nil"/>
              <w:bottom w:val="nil"/>
              <w:right w:val="nil"/>
            </w:tcBorders>
            <w:shd w:val="clear" w:color="auto" w:fill="FFFFFF"/>
            <w:tcMar>
              <w:left w:w="67" w:type="dxa"/>
              <w:right w:w="67" w:type="dxa"/>
            </w:tcMar>
            <w:vAlign w:val="center"/>
          </w:tcPr>
          <w:p w14:paraId="2FFDAF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0.3110</w:t>
            </w:r>
          </w:p>
        </w:tc>
        <w:tc>
          <w:tcPr>
            <w:tcW w:w="1134" w:type="dxa"/>
            <w:tcBorders>
              <w:top w:val="nil"/>
              <w:left w:val="nil"/>
              <w:bottom w:val="nil"/>
              <w:right w:val="nil"/>
            </w:tcBorders>
            <w:shd w:val="clear" w:color="auto" w:fill="FFFFFF"/>
            <w:tcMar>
              <w:left w:w="67" w:type="dxa"/>
              <w:right w:w="67" w:type="dxa"/>
            </w:tcMar>
            <w:vAlign w:val="center"/>
          </w:tcPr>
          <w:p w14:paraId="323801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1.5373</w:t>
            </w:r>
          </w:p>
        </w:tc>
        <w:tc>
          <w:tcPr>
            <w:tcW w:w="1134" w:type="dxa"/>
            <w:tcBorders>
              <w:top w:val="nil"/>
              <w:left w:val="nil"/>
              <w:bottom w:val="nil"/>
              <w:right w:val="nil"/>
            </w:tcBorders>
            <w:shd w:val="clear" w:color="auto" w:fill="FFFFFF"/>
            <w:tcMar>
              <w:left w:w="67" w:type="dxa"/>
              <w:right w:w="67" w:type="dxa"/>
            </w:tcMar>
            <w:vAlign w:val="center"/>
          </w:tcPr>
          <w:p w14:paraId="29B015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2.00</w:t>
            </w:r>
          </w:p>
        </w:tc>
        <w:tc>
          <w:tcPr>
            <w:tcW w:w="567" w:type="dxa"/>
            <w:tcBorders>
              <w:top w:val="nil"/>
              <w:left w:val="nil"/>
              <w:bottom w:val="nil"/>
              <w:right w:val="nil"/>
            </w:tcBorders>
            <w:shd w:val="clear" w:color="auto" w:fill="FFFFFF"/>
            <w:tcMar>
              <w:left w:w="67" w:type="dxa"/>
              <w:right w:w="67" w:type="dxa"/>
            </w:tcMar>
            <w:vAlign w:val="center"/>
          </w:tcPr>
          <w:p w14:paraId="6337C4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7DFD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0.0352</w:t>
            </w:r>
          </w:p>
        </w:tc>
      </w:tr>
      <w:tr w:rsidR="00B77EA3" w:rsidRPr="0082484A" w14:paraId="4C49918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1A545C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C720A2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DFB67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0.6813</w:t>
            </w:r>
          </w:p>
        </w:tc>
        <w:tc>
          <w:tcPr>
            <w:tcW w:w="1134" w:type="dxa"/>
            <w:tcBorders>
              <w:top w:val="nil"/>
              <w:left w:val="nil"/>
              <w:bottom w:val="nil"/>
              <w:right w:val="nil"/>
            </w:tcBorders>
            <w:shd w:val="clear" w:color="auto" w:fill="FFFFFF"/>
            <w:tcMar>
              <w:left w:w="67" w:type="dxa"/>
              <w:right w:w="67" w:type="dxa"/>
            </w:tcMar>
            <w:vAlign w:val="center"/>
          </w:tcPr>
          <w:p w14:paraId="00D0F9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0.3508</w:t>
            </w:r>
          </w:p>
        </w:tc>
        <w:tc>
          <w:tcPr>
            <w:tcW w:w="1134" w:type="dxa"/>
            <w:tcBorders>
              <w:top w:val="nil"/>
              <w:left w:val="nil"/>
              <w:bottom w:val="nil"/>
              <w:right w:val="nil"/>
            </w:tcBorders>
            <w:shd w:val="clear" w:color="auto" w:fill="FFFFFF"/>
            <w:tcMar>
              <w:left w:w="67" w:type="dxa"/>
              <w:right w:w="67" w:type="dxa"/>
            </w:tcMar>
            <w:vAlign w:val="center"/>
          </w:tcPr>
          <w:p w14:paraId="6C0B08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1.9765</w:t>
            </w:r>
          </w:p>
        </w:tc>
        <w:tc>
          <w:tcPr>
            <w:tcW w:w="1134" w:type="dxa"/>
            <w:tcBorders>
              <w:top w:val="nil"/>
              <w:left w:val="nil"/>
              <w:bottom w:val="nil"/>
              <w:right w:val="nil"/>
            </w:tcBorders>
            <w:shd w:val="clear" w:color="auto" w:fill="FFFFFF"/>
            <w:tcMar>
              <w:left w:w="67" w:type="dxa"/>
              <w:right w:w="67" w:type="dxa"/>
            </w:tcMar>
            <w:vAlign w:val="center"/>
          </w:tcPr>
          <w:p w14:paraId="7E5F90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0.9003</w:t>
            </w:r>
          </w:p>
        </w:tc>
        <w:tc>
          <w:tcPr>
            <w:tcW w:w="1134" w:type="dxa"/>
            <w:tcBorders>
              <w:top w:val="nil"/>
              <w:left w:val="nil"/>
              <w:bottom w:val="nil"/>
              <w:right w:val="nil"/>
            </w:tcBorders>
            <w:shd w:val="clear" w:color="auto" w:fill="FFFFFF"/>
            <w:tcMar>
              <w:left w:w="67" w:type="dxa"/>
              <w:right w:w="67" w:type="dxa"/>
            </w:tcMar>
            <w:vAlign w:val="center"/>
          </w:tcPr>
          <w:p w14:paraId="3347B1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4.3392</w:t>
            </w:r>
          </w:p>
        </w:tc>
        <w:tc>
          <w:tcPr>
            <w:tcW w:w="1134" w:type="dxa"/>
            <w:tcBorders>
              <w:top w:val="nil"/>
              <w:left w:val="nil"/>
              <w:bottom w:val="nil"/>
              <w:right w:val="nil"/>
            </w:tcBorders>
            <w:shd w:val="clear" w:color="auto" w:fill="FFFFFF"/>
            <w:tcMar>
              <w:left w:w="67" w:type="dxa"/>
              <w:right w:w="67" w:type="dxa"/>
            </w:tcMar>
            <w:vAlign w:val="center"/>
          </w:tcPr>
          <w:p w14:paraId="60729BB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7CD08F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FDC94E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2EB3F4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D619F1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204F0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83AE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-0.1244</w:t>
            </w:r>
          </w:p>
        </w:tc>
        <w:tc>
          <w:tcPr>
            <w:tcW w:w="1134" w:type="dxa"/>
            <w:tcBorders>
              <w:top w:val="nil"/>
              <w:left w:val="nil"/>
              <w:bottom w:val="nil"/>
              <w:right w:val="nil"/>
            </w:tcBorders>
            <w:shd w:val="clear" w:color="auto" w:fill="FFFFFF"/>
            <w:tcMar>
              <w:left w:w="67" w:type="dxa"/>
              <w:right w:w="67" w:type="dxa"/>
            </w:tcMar>
            <w:vAlign w:val="center"/>
          </w:tcPr>
          <w:p w14:paraId="0DCC6B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0.2415</w:t>
            </w:r>
          </w:p>
        </w:tc>
        <w:tc>
          <w:tcPr>
            <w:tcW w:w="1134" w:type="dxa"/>
            <w:tcBorders>
              <w:top w:val="nil"/>
              <w:left w:val="nil"/>
              <w:bottom w:val="nil"/>
              <w:right w:val="nil"/>
            </w:tcBorders>
            <w:shd w:val="clear" w:color="auto" w:fill="FFFFFF"/>
            <w:tcMar>
              <w:left w:w="67" w:type="dxa"/>
              <w:right w:w="67" w:type="dxa"/>
            </w:tcMar>
            <w:vAlign w:val="center"/>
          </w:tcPr>
          <w:p w14:paraId="7647FF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0.8831</w:t>
            </w:r>
          </w:p>
        </w:tc>
        <w:tc>
          <w:tcPr>
            <w:tcW w:w="1134" w:type="dxa"/>
            <w:tcBorders>
              <w:top w:val="nil"/>
              <w:left w:val="nil"/>
              <w:bottom w:val="nil"/>
              <w:right w:val="nil"/>
            </w:tcBorders>
            <w:shd w:val="clear" w:color="auto" w:fill="FFFFFF"/>
            <w:tcMar>
              <w:left w:w="67" w:type="dxa"/>
              <w:right w:w="67" w:type="dxa"/>
            </w:tcMar>
            <w:vAlign w:val="center"/>
          </w:tcPr>
          <w:p w14:paraId="4320EF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0.5139</w:t>
            </w:r>
          </w:p>
        </w:tc>
        <w:tc>
          <w:tcPr>
            <w:tcW w:w="1134" w:type="dxa"/>
            <w:tcBorders>
              <w:top w:val="nil"/>
              <w:left w:val="nil"/>
              <w:bottom w:val="nil"/>
              <w:right w:val="nil"/>
            </w:tcBorders>
            <w:shd w:val="clear" w:color="auto" w:fill="FFFFFF"/>
            <w:tcMar>
              <w:left w:w="67" w:type="dxa"/>
              <w:right w:w="67" w:type="dxa"/>
            </w:tcMar>
            <w:vAlign w:val="center"/>
          </w:tcPr>
          <w:p w14:paraId="617F5F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1.5173</w:t>
            </w:r>
          </w:p>
        </w:tc>
        <w:tc>
          <w:tcPr>
            <w:tcW w:w="1134" w:type="dxa"/>
            <w:tcBorders>
              <w:top w:val="nil"/>
              <w:left w:val="nil"/>
              <w:bottom w:val="nil"/>
              <w:right w:val="nil"/>
            </w:tcBorders>
            <w:shd w:val="clear" w:color="auto" w:fill="FFFFFF"/>
            <w:tcMar>
              <w:left w:w="67" w:type="dxa"/>
              <w:right w:w="67" w:type="dxa"/>
            </w:tcMar>
            <w:vAlign w:val="center"/>
          </w:tcPr>
          <w:p w14:paraId="6E7C97A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CD4128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ED7ABE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9E29CB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5E71F4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A8694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DDC55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-0.5062</w:t>
            </w:r>
          </w:p>
        </w:tc>
        <w:tc>
          <w:tcPr>
            <w:tcW w:w="1134" w:type="dxa"/>
            <w:tcBorders>
              <w:top w:val="nil"/>
              <w:left w:val="nil"/>
              <w:bottom w:val="nil"/>
              <w:right w:val="nil"/>
            </w:tcBorders>
            <w:shd w:val="clear" w:color="auto" w:fill="FFFFFF"/>
            <w:tcMar>
              <w:left w:w="67" w:type="dxa"/>
              <w:right w:w="67" w:type="dxa"/>
            </w:tcMar>
            <w:vAlign w:val="center"/>
          </w:tcPr>
          <w:p w14:paraId="28C57E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0.3277</w:t>
            </w:r>
          </w:p>
        </w:tc>
        <w:tc>
          <w:tcPr>
            <w:tcW w:w="1134" w:type="dxa"/>
            <w:tcBorders>
              <w:top w:val="nil"/>
              <w:left w:val="nil"/>
              <w:bottom w:val="nil"/>
              <w:right w:val="nil"/>
            </w:tcBorders>
            <w:shd w:val="clear" w:color="auto" w:fill="FFFFFF"/>
            <w:tcMar>
              <w:left w:w="67" w:type="dxa"/>
              <w:right w:w="67" w:type="dxa"/>
            </w:tcMar>
            <w:vAlign w:val="center"/>
          </w:tcPr>
          <w:p w14:paraId="3B80A7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0.6028</w:t>
            </w:r>
          </w:p>
        </w:tc>
        <w:tc>
          <w:tcPr>
            <w:tcW w:w="1134" w:type="dxa"/>
            <w:tcBorders>
              <w:top w:val="nil"/>
              <w:left w:val="nil"/>
              <w:bottom w:val="nil"/>
              <w:right w:val="nil"/>
            </w:tcBorders>
            <w:shd w:val="clear" w:color="auto" w:fill="FFFFFF"/>
            <w:tcMar>
              <w:left w:w="67" w:type="dxa"/>
              <w:right w:w="67" w:type="dxa"/>
            </w:tcMar>
            <w:vAlign w:val="center"/>
          </w:tcPr>
          <w:p w14:paraId="5195E6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0.2891</w:t>
            </w:r>
          </w:p>
        </w:tc>
        <w:tc>
          <w:tcPr>
            <w:tcW w:w="1134" w:type="dxa"/>
            <w:tcBorders>
              <w:top w:val="nil"/>
              <w:left w:val="nil"/>
              <w:bottom w:val="nil"/>
              <w:right w:val="nil"/>
            </w:tcBorders>
            <w:shd w:val="clear" w:color="auto" w:fill="FFFFFF"/>
            <w:tcMar>
              <w:left w:w="67" w:type="dxa"/>
              <w:right w:w="67" w:type="dxa"/>
            </w:tcMar>
            <w:vAlign w:val="center"/>
          </w:tcPr>
          <w:p w14:paraId="7EB6E1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1.2566</w:t>
            </w:r>
          </w:p>
        </w:tc>
        <w:tc>
          <w:tcPr>
            <w:tcW w:w="1134" w:type="dxa"/>
            <w:tcBorders>
              <w:top w:val="nil"/>
              <w:left w:val="nil"/>
              <w:bottom w:val="nil"/>
              <w:right w:val="nil"/>
            </w:tcBorders>
            <w:shd w:val="clear" w:color="auto" w:fill="FFFFFF"/>
            <w:tcMar>
              <w:left w:w="67" w:type="dxa"/>
              <w:right w:w="67" w:type="dxa"/>
            </w:tcMar>
            <w:vAlign w:val="center"/>
          </w:tcPr>
          <w:p w14:paraId="48F8EB1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060BD9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55D53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7B34EF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5A3EA1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58F9E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C78FD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-0.3430</w:t>
            </w:r>
          </w:p>
        </w:tc>
        <w:tc>
          <w:tcPr>
            <w:tcW w:w="1134" w:type="dxa"/>
            <w:tcBorders>
              <w:top w:val="nil"/>
              <w:left w:val="nil"/>
              <w:bottom w:val="nil"/>
              <w:right w:val="nil"/>
            </w:tcBorders>
            <w:shd w:val="clear" w:color="auto" w:fill="FFFFFF"/>
            <w:tcMar>
              <w:left w:w="67" w:type="dxa"/>
              <w:right w:w="67" w:type="dxa"/>
            </w:tcMar>
            <w:vAlign w:val="center"/>
          </w:tcPr>
          <w:p w14:paraId="489EE9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0.3347</w:t>
            </w:r>
          </w:p>
        </w:tc>
        <w:tc>
          <w:tcPr>
            <w:tcW w:w="1134" w:type="dxa"/>
            <w:tcBorders>
              <w:top w:val="nil"/>
              <w:left w:val="nil"/>
              <w:bottom w:val="nil"/>
              <w:right w:val="nil"/>
            </w:tcBorders>
            <w:shd w:val="clear" w:color="auto" w:fill="FFFFFF"/>
            <w:tcMar>
              <w:left w:w="67" w:type="dxa"/>
              <w:right w:w="67" w:type="dxa"/>
            </w:tcMar>
            <w:vAlign w:val="center"/>
          </w:tcPr>
          <w:p w14:paraId="1377A3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0.7097</w:t>
            </w:r>
          </w:p>
        </w:tc>
        <w:tc>
          <w:tcPr>
            <w:tcW w:w="1134" w:type="dxa"/>
            <w:tcBorders>
              <w:top w:val="nil"/>
              <w:left w:val="nil"/>
              <w:bottom w:val="nil"/>
              <w:right w:val="nil"/>
            </w:tcBorders>
            <w:shd w:val="clear" w:color="auto" w:fill="FFFFFF"/>
            <w:tcMar>
              <w:left w:w="67" w:type="dxa"/>
              <w:right w:w="67" w:type="dxa"/>
            </w:tcMar>
            <w:vAlign w:val="center"/>
          </w:tcPr>
          <w:p w14:paraId="6FBA30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0.3352</w:t>
            </w:r>
          </w:p>
        </w:tc>
        <w:tc>
          <w:tcPr>
            <w:tcW w:w="1134" w:type="dxa"/>
            <w:tcBorders>
              <w:top w:val="nil"/>
              <w:left w:val="nil"/>
              <w:bottom w:val="nil"/>
              <w:right w:val="nil"/>
            </w:tcBorders>
            <w:shd w:val="clear" w:color="auto" w:fill="FFFFFF"/>
            <w:tcMar>
              <w:left w:w="67" w:type="dxa"/>
              <w:right w:w="67" w:type="dxa"/>
            </w:tcMar>
            <w:vAlign w:val="center"/>
          </w:tcPr>
          <w:p w14:paraId="54F321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1.5027</w:t>
            </w:r>
          </w:p>
        </w:tc>
        <w:tc>
          <w:tcPr>
            <w:tcW w:w="1134" w:type="dxa"/>
            <w:tcBorders>
              <w:top w:val="nil"/>
              <w:left w:val="nil"/>
              <w:bottom w:val="nil"/>
              <w:right w:val="nil"/>
            </w:tcBorders>
            <w:shd w:val="clear" w:color="auto" w:fill="FFFFFF"/>
            <w:tcMar>
              <w:left w:w="67" w:type="dxa"/>
              <w:right w:w="67" w:type="dxa"/>
            </w:tcMar>
            <w:vAlign w:val="center"/>
          </w:tcPr>
          <w:p w14:paraId="0E4BAC2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18765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D7FB79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518CD2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E8054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420836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E5E39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-0.3688</w:t>
            </w:r>
          </w:p>
        </w:tc>
        <w:tc>
          <w:tcPr>
            <w:tcW w:w="1134" w:type="dxa"/>
            <w:tcBorders>
              <w:top w:val="nil"/>
              <w:left w:val="nil"/>
              <w:bottom w:val="nil"/>
              <w:right w:val="nil"/>
            </w:tcBorders>
            <w:shd w:val="clear" w:color="auto" w:fill="FFFFFF"/>
            <w:tcMar>
              <w:left w:w="67" w:type="dxa"/>
              <w:right w:w="67" w:type="dxa"/>
            </w:tcMar>
            <w:vAlign w:val="center"/>
          </w:tcPr>
          <w:p w14:paraId="0FD37B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0.3381</w:t>
            </w:r>
          </w:p>
        </w:tc>
        <w:tc>
          <w:tcPr>
            <w:tcW w:w="1134" w:type="dxa"/>
            <w:tcBorders>
              <w:top w:val="nil"/>
              <w:left w:val="nil"/>
              <w:bottom w:val="nil"/>
              <w:right w:val="nil"/>
            </w:tcBorders>
            <w:shd w:val="clear" w:color="auto" w:fill="FFFFFF"/>
            <w:tcMar>
              <w:left w:w="67" w:type="dxa"/>
              <w:right w:w="67" w:type="dxa"/>
            </w:tcMar>
            <w:vAlign w:val="center"/>
          </w:tcPr>
          <w:p w14:paraId="3F3568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0.6916</w:t>
            </w:r>
          </w:p>
        </w:tc>
        <w:tc>
          <w:tcPr>
            <w:tcW w:w="1134" w:type="dxa"/>
            <w:tcBorders>
              <w:top w:val="nil"/>
              <w:left w:val="nil"/>
              <w:bottom w:val="nil"/>
              <w:right w:val="nil"/>
            </w:tcBorders>
            <w:shd w:val="clear" w:color="auto" w:fill="FFFFFF"/>
            <w:tcMar>
              <w:left w:w="67" w:type="dxa"/>
              <w:right w:w="67" w:type="dxa"/>
            </w:tcMar>
            <w:vAlign w:val="center"/>
          </w:tcPr>
          <w:p w14:paraId="7EF19E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0.3241</w:t>
            </w:r>
          </w:p>
        </w:tc>
        <w:tc>
          <w:tcPr>
            <w:tcW w:w="1134" w:type="dxa"/>
            <w:tcBorders>
              <w:top w:val="nil"/>
              <w:left w:val="nil"/>
              <w:bottom w:val="nil"/>
              <w:right w:val="nil"/>
            </w:tcBorders>
            <w:shd w:val="clear" w:color="auto" w:fill="FFFFFF"/>
            <w:tcMar>
              <w:left w:w="67" w:type="dxa"/>
              <w:right w:w="67" w:type="dxa"/>
            </w:tcMar>
            <w:vAlign w:val="center"/>
          </w:tcPr>
          <w:p w14:paraId="165DC2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1.4757</w:t>
            </w:r>
          </w:p>
        </w:tc>
        <w:tc>
          <w:tcPr>
            <w:tcW w:w="1134" w:type="dxa"/>
            <w:tcBorders>
              <w:top w:val="nil"/>
              <w:left w:val="nil"/>
              <w:bottom w:val="nil"/>
              <w:right w:val="nil"/>
            </w:tcBorders>
            <w:shd w:val="clear" w:color="auto" w:fill="FFFFFF"/>
            <w:tcMar>
              <w:left w:w="67" w:type="dxa"/>
              <w:right w:w="67" w:type="dxa"/>
            </w:tcMar>
            <w:vAlign w:val="center"/>
          </w:tcPr>
          <w:p w14:paraId="25F892A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C1F26A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1B870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C6AC41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382F2F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AF9E2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5265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-0.3577</w:t>
            </w:r>
          </w:p>
        </w:tc>
        <w:tc>
          <w:tcPr>
            <w:tcW w:w="1134" w:type="dxa"/>
            <w:tcBorders>
              <w:top w:val="nil"/>
              <w:left w:val="nil"/>
              <w:bottom w:val="nil"/>
              <w:right w:val="nil"/>
            </w:tcBorders>
            <w:shd w:val="clear" w:color="auto" w:fill="FFFFFF"/>
            <w:tcMar>
              <w:left w:w="67" w:type="dxa"/>
              <w:right w:w="67" w:type="dxa"/>
            </w:tcMar>
            <w:vAlign w:val="center"/>
          </w:tcPr>
          <w:p w14:paraId="39024A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0.2855</w:t>
            </w:r>
          </w:p>
        </w:tc>
        <w:tc>
          <w:tcPr>
            <w:tcW w:w="1134" w:type="dxa"/>
            <w:tcBorders>
              <w:top w:val="nil"/>
              <w:left w:val="nil"/>
              <w:bottom w:val="nil"/>
              <w:right w:val="nil"/>
            </w:tcBorders>
            <w:shd w:val="clear" w:color="auto" w:fill="FFFFFF"/>
            <w:tcMar>
              <w:left w:w="67" w:type="dxa"/>
              <w:right w:w="67" w:type="dxa"/>
            </w:tcMar>
            <w:vAlign w:val="center"/>
          </w:tcPr>
          <w:p w14:paraId="2802F1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0.6993</w:t>
            </w:r>
          </w:p>
        </w:tc>
        <w:tc>
          <w:tcPr>
            <w:tcW w:w="1134" w:type="dxa"/>
            <w:tcBorders>
              <w:top w:val="nil"/>
              <w:left w:val="nil"/>
              <w:bottom w:val="nil"/>
              <w:right w:val="nil"/>
            </w:tcBorders>
            <w:shd w:val="clear" w:color="auto" w:fill="FFFFFF"/>
            <w:tcMar>
              <w:left w:w="67" w:type="dxa"/>
              <w:right w:w="67" w:type="dxa"/>
            </w:tcMar>
            <w:vAlign w:val="center"/>
          </w:tcPr>
          <w:p w14:paraId="13F0BF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0.3688</w:t>
            </w:r>
          </w:p>
        </w:tc>
        <w:tc>
          <w:tcPr>
            <w:tcW w:w="1134" w:type="dxa"/>
            <w:tcBorders>
              <w:top w:val="nil"/>
              <w:left w:val="nil"/>
              <w:bottom w:val="nil"/>
              <w:right w:val="nil"/>
            </w:tcBorders>
            <w:shd w:val="clear" w:color="auto" w:fill="FFFFFF"/>
            <w:tcMar>
              <w:left w:w="67" w:type="dxa"/>
              <w:right w:w="67" w:type="dxa"/>
            </w:tcMar>
            <w:vAlign w:val="center"/>
          </w:tcPr>
          <w:p w14:paraId="15FC67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1.3260</w:t>
            </w:r>
          </w:p>
        </w:tc>
        <w:tc>
          <w:tcPr>
            <w:tcW w:w="1134" w:type="dxa"/>
            <w:tcBorders>
              <w:top w:val="nil"/>
              <w:left w:val="nil"/>
              <w:bottom w:val="nil"/>
              <w:right w:val="nil"/>
            </w:tcBorders>
            <w:shd w:val="clear" w:color="auto" w:fill="FFFFFF"/>
            <w:tcMar>
              <w:left w:w="67" w:type="dxa"/>
              <w:right w:w="67" w:type="dxa"/>
            </w:tcMar>
            <w:vAlign w:val="center"/>
          </w:tcPr>
          <w:p w14:paraId="0F2B101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2150FE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D10110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675D1F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6F08E5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90F15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488C6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-0.2200</w:t>
            </w:r>
          </w:p>
        </w:tc>
        <w:tc>
          <w:tcPr>
            <w:tcW w:w="1134" w:type="dxa"/>
            <w:tcBorders>
              <w:top w:val="nil"/>
              <w:left w:val="nil"/>
              <w:bottom w:val="nil"/>
              <w:right w:val="nil"/>
            </w:tcBorders>
            <w:shd w:val="clear" w:color="auto" w:fill="FFFFFF"/>
            <w:tcMar>
              <w:left w:w="67" w:type="dxa"/>
              <w:right w:w="67" w:type="dxa"/>
            </w:tcMar>
            <w:vAlign w:val="center"/>
          </w:tcPr>
          <w:p w14:paraId="0E44E7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0.3295</w:t>
            </w:r>
          </w:p>
        </w:tc>
        <w:tc>
          <w:tcPr>
            <w:tcW w:w="1134" w:type="dxa"/>
            <w:tcBorders>
              <w:top w:val="nil"/>
              <w:left w:val="nil"/>
              <w:bottom w:val="nil"/>
              <w:right w:val="nil"/>
            </w:tcBorders>
            <w:shd w:val="clear" w:color="auto" w:fill="FFFFFF"/>
            <w:tcMar>
              <w:left w:w="67" w:type="dxa"/>
              <w:right w:w="67" w:type="dxa"/>
            </w:tcMar>
            <w:vAlign w:val="center"/>
          </w:tcPr>
          <w:p w14:paraId="0482BA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0.8025</w:t>
            </w:r>
          </w:p>
        </w:tc>
        <w:tc>
          <w:tcPr>
            <w:tcW w:w="1134" w:type="dxa"/>
            <w:tcBorders>
              <w:top w:val="nil"/>
              <w:left w:val="nil"/>
              <w:bottom w:val="nil"/>
              <w:right w:val="nil"/>
            </w:tcBorders>
            <w:shd w:val="clear" w:color="auto" w:fill="FFFFFF"/>
            <w:tcMar>
              <w:left w:w="67" w:type="dxa"/>
              <w:right w:w="67" w:type="dxa"/>
            </w:tcMar>
            <w:vAlign w:val="center"/>
          </w:tcPr>
          <w:p w14:paraId="263D8C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0.3834</w:t>
            </w:r>
          </w:p>
        </w:tc>
        <w:tc>
          <w:tcPr>
            <w:tcW w:w="1134" w:type="dxa"/>
            <w:tcBorders>
              <w:top w:val="nil"/>
              <w:left w:val="nil"/>
              <w:bottom w:val="nil"/>
              <w:right w:val="nil"/>
            </w:tcBorders>
            <w:shd w:val="clear" w:color="auto" w:fill="FFFFFF"/>
            <w:tcMar>
              <w:left w:w="67" w:type="dxa"/>
              <w:right w:w="67" w:type="dxa"/>
            </w:tcMar>
            <w:vAlign w:val="center"/>
          </w:tcPr>
          <w:p w14:paraId="224A7D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1.6798</w:t>
            </w:r>
          </w:p>
        </w:tc>
        <w:tc>
          <w:tcPr>
            <w:tcW w:w="1134" w:type="dxa"/>
            <w:tcBorders>
              <w:top w:val="nil"/>
              <w:left w:val="nil"/>
              <w:bottom w:val="nil"/>
              <w:right w:val="nil"/>
            </w:tcBorders>
            <w:shd w:val="clear" w:color="auto" w:fill="FFFFFF"/>
            <w:tcMar>
              <w:left w:w="67" w:type="dxa"/>
              <w:right w:w="67" w:type="dxa"/>
            </w:tcMar>
            <w:vAlign w:val="center"/>
          </w:tcPr>
          <w:p w14:paraId="1EBB6BE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26A56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A4344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A96B4A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05ED7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B72DEB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D7FE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-0.0158</w:t>
            </w:r>
          </w:p>
        </w:tc>
        <w:tc>
          <w:tcPr>
            <w:tcW w:w="1134" w:type="dxa"/>
            <w:tcBorders>
              <w:top w:val="nil"/>
              <w:left w:val="nil"/>
              <w:bottom w:val="nil"/>
              <w:right w:val="nil"/>
            </w:tcBorders>
            <w:shd w:val="clear" w:color="auto" w:fill="FFFFFF"/>
            <w:tcMar>
              <w:left w:w="67" w:type="dxa"/>
              <w:right w:w="67" w:type="dxa"/>
            </w:tcMar>
            <w:vAlign w:val="center"/>
          </w:tcPr>
          <w:p w14:paraId="795BDD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0.2994</w:t>
            </w:r>
          </w:p>
        </w:tc>
        <w:tc>
          <w:tcPr>
            <w:tcW w:w="1134" w:type="dxa"/>
            <w:tcBorders>
              <w:top w:val="nil"/>
              <w:left w:val="nil"/>
              <w:bottom w:val="nil"/>
              <w:right w:val="nil"/>
            </w:tcBorders>
            <w:shd w:val="clear" w:color="auto" w:fill="FFFFFF"/>
            <w:tcMar>
              <w:left w:w="67" w:type="dxa"/>
              <w:right w:w="67" w:type="dxa"/>
            </w:tcMar>
            <w:vAlign w:val="center"/>
          </w:tcPr>
          <w:p w14:paraId="544C9C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0.9843</w:t>
            </w:r>
          </w:p>
        </w:tc>
        <w:tc>
          <w:tcPr>
            <w:tcW w:w="1134" w:type="dxa"/>
            <w:tcBorders>
              <w:top w:val="nil"/>
              <w:left w:val="nil"/>
              <w:bottom w:val="nil"/>
              <w:right w:val="nil"/>
            </w:tcBorders>
            <w:shd w:val="clear" w:color="auto" w:fill="FFFFFF"/>
            <w:tcMar>
              <w:left w:w="67" w:type="dxa"/>
              <w:right w:w="67" w:type="dxa"/>
            </w:tcMar>
            <w:vAlign w:val="center"/>
          </w:tcPr>
          <w:p w14:paraId="1A1E2B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0.5031</w:t>
            </w:r>
          </w:p>
        </w:tc>
        <w:tc>
          <w:tcPr>
            <w:tcW w:w="1134" w:type="dxa"/>
            <w:tcBorders>
              <w:top w:val="nil"/>
              <w:left w:val="nil"/>
              <w:bottom w:val="nil"/>
              <w:right w:val="nil"/>
            </w:tcBorders>
            <w:shd w:val="clear" w:color="auto" w:fill="FFFFFF"/>
            <w:tcMar>
              <w:left w:w="67" w:type="dxa"/>
              <w:right w:w="67" w:type="dxa"/>
            </w:tcMar>
            <w:vAlign w:val="center"/>
          </w:tcPr>
          <w:p w14:paraId="128637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1.9256</w:t>
            </w:r>
          </w:p>
        </w:tc>
        <w:tc>
          <w:tcPr>
            <w:tcW w:w="1134" w:type="dxa"/>
            <w:tcBorders>
              <w:top w:val="nil"/>
              <w:left w:val="nil"/>
              <w:bottom w:val="nil"/>
              <w:right w:val="nil"/>
            </w:tcBorders>
            <w:shd w:val="clear" w:color="auto" w:fill="FFFFFF"/>
            <w:tcMar>
              <w:left w:w="67" w:type="dxa"/>
              <w:right w:w="67" w:type="dxa"/>
            </w:tcMar>
            <w:vAlign w:val="center"/>
          </w:tcPr>
          <w:p w14:paraId="41FC843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F67F19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AB102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EF5B90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29C5AE1"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0357542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84399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0.0234</w:t>
            </w:r>
          </w:p>
        </w:tc>
        <w:tc>
          <w:tcPr>
            <w:tcW w:w="1134" w:type="dxa"/>
            <w:tcBorders>
              <w:top w:val="nil"/>
              <w:left w:val="nil"/>
              <w:bottom w:val="nil"/>
              <w:right w:val="nil"/>
            </w:tcBorders>
            <w:shd w:val="clear" w:color="auto" w:fill="FFFFFF"/>
            <w:tcMar>
              <w:left w:w="67" w:type="dxa"/>
              <w:right w:w="67" w:type="dxa"/>
            </w:tcMar>
            <w:vAlign w:val="center"/>
          </w:tcPr>
          <w:p w14:paraId="647249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0.0168</w:t>
            </w:r>
          </w:p>
        </w:tc>
        <w:tc>
          <w:tcPr>
            <w:tcW w:w="1134" w:type="dxa"/>
            <w:tcBorders>
              <w:top w:val="nil"/>
              <w:left w:val="nil"/>
              <w:bottom w:val="nil"/>
              <w:right w:val="nil"/>
            </w:tcBorders>
            <w:shd w:val="clear" w:color="auto" w:fill="FFFFFF"/>
            <w:tcMar>
              <w:left w:w="67" w:type="dxa"/>
              <w:right w:w="67" w:type="dxa"/>
            </w:tcMar>
            <w:vAlign w:val="center"/>
          </w:tcPr>
          <w:p w14:paraId="0F8A6A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1.0237</w:t>
            </w:r>
          </w:p>
        </w:tc>
        <w:tc>
          <w:tcPr>
            <w:tcW w:w="1134" w:type="dxa"/>
            <w:tcBorders>
              <w:top w:val="nil"/>
              <w:left w:val="nil"/>
              <w:bottom w:val="nil"/>
              <w:right w:val="nil"/>
            </w:tcBorders>
            <w:shd w:val="clear" w:color="auto" w:fill="FFFFFF"/>
            <w:tcMar>
              <w:left w:w="67" w:type="dxa"/>
              <w:right w:w="67" w:type="dxa"/>
            </w:tcMar>
            <w:vAlign w:val="center"/>
          </w:tcPr>
          <w:p w14:paraId="4C1CF3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0.9859</w:t>
            </w:r>
          </w:p>
        </w:tc>
        <w:tc>
          <w:tcPr>
            <w:tcW w:w="1134" w:type="dxa"/>
            <w:tcBorders>
              <w:top w:val="nil"/>
              <w:left w:val="nil"/>
              <w:bottom w:val="nil"/>
              <w:right w:val="nil"/>
            </w:tcBorders>
            <w:shd w:val="clear" w:color="auto" w:fill="FFFFFF"/>
            <w:tcMar>
              <w:left w:w="67" w:type="dxa"/>
              <w:right w:w="67" w:type="dxa"/>
            </w:tcMar>
            <w:vAlign w:val="center"/>
          </w:tcPr>
          <w:p w14:paraId="0DA5F7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1.0630</w:t>
            </w:r>
          </w:p>
        </w:tc>
        <w:tc>
          <w:tcPr>
            <w:tcW w:w="1134" w:type="dxa"/>
            <w:tcBorders>
              <w:top w:val="nil"/>
              <w:left w:val="nil"/>
              <w:bottom w:val="nil"/>
              <w:right w:val="nil"/>
            </w:tcBorders>
            <w:shd w:val="clear" w:color="auto" w:fill="FFFFFF"/>
            <w:tcMar>
              <w:left w:w="67" w:type="dxa"/>
              <w:right w:w="67" w:type="dxa"/>
            </w:tcMar>
            <w:vAlign w:val="center"/>
          </w:tcPr>
          <w:p w14:paraId="330EC3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1.94</w:t>
            </w:r>
          </w:p>
        </w:tc>
        <w:tc>
          <w:tcPr>
            <w:tcW w:w="567" w:type="dxa"/>
            <w:tcBorders>
              <w:top w:val="nil"/>
              <w:left w:val="nil"/>
              <w:bottom w:val="nil"/>
              <w:right w:val="nil"/>
            </w:tcBorders>
            <w:shd w:val="clear" w:color="auto" w:fill="FFFFFF"/>
            <w:tcMar>
              <w:left w:w="67" w:type="dxa"/>
              <w:right w:w="67" w:type="dxa"/>
            </w:tcMar>
            <w:vAlign w:val="center"/>
          </w:tcPr>
          <w:p w14:paraId="587BAC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B9785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0.1632</w:t>
            </w:r>
          </w:p>
        </w:tc>
      </w:tr>
      <w:tr w:rsidR="00B77EA3" w:rsidRPr="0082484A" w14:paraId="59908AC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3C754E5"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110C6D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A9AE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0.0312</w:t>
            </w:r>
          </w:p>
        </w:tc>
        <w:tc>
          <w:tcPr>
            <w:tcW w:w="1134" w:type="dxa"/>
            <w:tcBorders>
              <w:top w:val="nil"/>
              <w:left w:val="nil"/>
              <w:bottom w:val="nil"/>
              <w:right w:val="nil"/>
            </w:tcBorders>
            <w:shd w:val="clear" w:color="auto" w:fill="FFFFFF"/>
            <w:tcMar>
              <w:left w:w="67" w:type="dxa"/>
              <w:right w:w="67" w:type="dxa"/>
            </w:tcMar>
            <w:vAlign w:val="center"/>
          </w:tcPr>
          <w:p w14:paraId="57966B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0.0102</w:t>
            </w:r>
          </w:p>
        </w:tc>
        <w:tc>
          <w:tcPr>
            <w:tcW w:w="1134" w:type="dxa"/>
            <w:tcBorders>
              <w:top w:val="nil"/>
              <w:left w:val="nil"/>
              <w:bottom w:val="nil"/>
              <w:right w:val="nil"/>
            </w:tcBorders>
            <w:shd w:val="clear" w:color="auto" w:fill="FFFFFF"/>
            <w:tcMar>
              <w:left w:w="67" w:type="dxa"/>
              <w:right w:w="67" w:type="dxa"/>
            </w:tcMar>
            <w:vAlign w:val="center"/>
          </w:tcPr>
          <w:p w14:paraId="40A287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1.0317</w:t>
            </w:r>
          </w:p>
        </w:tc>
        <w:tc>
          <w:tcPr>
            <w:tcW w:w="1134" w:type="dxa"/>
            <w:tcBorders>
              <w:top w:val="nil"/>
              <w:left w:val="nil"/>
              <w:bottom w:val="nil"/>
              <w:right w:val="nil"/>
            </w:tcBorders>
            <w:shd w:val="clear" w:color="auto" w:fill="FFFFFF"/>
            <w:tcMar>
              <w:left w:w="67" w:type="dxa"/>
              <w:right w:w="67" w:type="dxa"/>
            </w:tcMar>
            <w:vAlign w:val="center"/>
          </w:tcPr>
          <w:p w14:paraId="362AF3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1.0084</w:t>
            </w:r>
          </w:p>
        </w:tc>
        <w:tc>
          <w:tcPr>
            <w:tcW w:w="1134" w:type="dxa"/>
            <w:tcBorders>
              <w:top w:val="nil"/>
              <w:left w:val="nil"/>
              <w:bottom w:val="nil"/>
              <w:right w:val="nil"/>
            </w:tcBorders>
            <w:shd w:val="clear" w:color="auto" w:fill="FFFFFF"/>
            <w:tcMar>
              <w:left w:w="67" w:type="dxa"/>
              <w:right w:w="67" w:type="dxa"/>
            </w:tcMar>
            <w:vAlign w:val="center"/>
          </w:tcPr>
          <w:p w14:paraId="28CEFB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1.0555</w:t>
            </w:r>
          </w:p>
        </w:tc>
        <w:tc>
          <w:tcPr>
            <w:tcW w:w="1134" w:type="dxa"/>
            <w:tcBorders>
              <w:top w:val="nil"/>
              <w:left w:val="nil"/>
              <w:bottom w:val="nil"/>
              <w:right w:val="nil"/>
            </w:tcBorders>
            <w:shd w:val="clear" w:color="auto" w:fill="FFFFFF"/>
            <w:tcMar>
              <w:left w:w="67" w:type="dxa"/>
              <w:right w:w="67" w:type="dxa"/>
            </w:tcMar>
            <w:vAlign w:val="center"/>
          </w:tcPr>
          <w:p w14:paraId="279951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9.37</w:t>
            </w:r>
          </w:p>
        </w:tc>
        <w:tc>
          <w:tcPr>
            <w:tcW w:w="567" w:type="dxa"/>
            <w:tcBorders>
              <w:top w:val="nil"/>
              <w:left w:val="nil"/>
              <w:bottom w:val="nil"/>
              <w:right w:val="nil"/>
            </w:tcBorders>
            <w:shd w:val="clear" w:color="auto" w:fill="FFFFFF"/>
            <w:tcMar>
              <w:left w:w="67" w:type="dxa"/>
              <w:right w:w="67" w:type="dxa"/>
            </w:tcMar>
            <w:vAlign w:val="center"/>
          </w:tcPr>
          <w:p w14:paraId="3FCACE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650C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w:t>
            </w:r>
          </w:p>
        </w:tc>
      </w:tr>
      <w:tr w:rsidR="00B77EA3" w:rsidRPr="0082484A" w14:paraId="352AAFA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283D13"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37BBBA6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7EAB3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41EB49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7A778C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1.0002</w:t>
            </w:r>
          </w:p>
        </w:tc>
        <w:tc>
          <w:tcPr>
            <w:tcW w:w="1134" w:type="dxa"/>
            <w:tcBorders>
              <w:top w:val="nil"/>
              <w:left w:val="nil"/>
              <w:bottom w:val="nil"/>
              <w:right w:val="nil"/>
            </w:tcBorders>
            <w:shd w:val="clear" w:color="auto" w:fill="FFFFFF"/>
            <w:tcMar>
              <w:left w:w="67" w:type="dxa"/>
              <w:right w:w="67" w:type="dxa"/>
            </w:tcMar>
            <w:vAlign w:val="center"/>
          </w:tcPr>
          <w:p w14:paraId="5745C7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0.9942</w:t>
            </w:r>
          </w:p>
        </w:tc>
        <w:tc>
          <w:tcPr>
            <w:tcW w:w="1134" w:type="dxa"/>
            <w:tcBorders>
              <w:top w:val="nil"/>
              <w:left w:val="nil"/>
              <w:bottom w:val="nil"/>
              <w:right w:val="nil"/>
            </w:tcBorders>
            <w:shd w:val="clear" w:color="auto" w:fill="FFFFFF"/>
            <w:tcMar>
              <w:left w:w="67" w:type="dxa"/>
              <w:right w:w="67" w:type="dxa"/>
            </w:tcMar>
            <w:vAlign w:val="center"/>
          </w:tcPr>
          <w:p w14:paraId="2B079E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1.0063</w:t>
            </w:r>
          </w:p>
        </w:tc>
        <w:tc>
          <w:tcPr>
            <w:tcW w:w="1134" w:type="dxa"/>
            <w:tcBorders>
              <w:top w:val="nil"/>
              <w:left w:val="nil"/>
              <w:bottom w:val="nil"/>
              <w:right w:val="nil"/>
            </w:tcBorders>
            <w:shd w:val="clear" w:color="auto" w:fill="FFFFFF"/>
            <w:tcMar>
              <w:left w:w="67" w:type="dxa"/>
              <w:right w:w="67" w:type="dxa"/>
            </w:tcMar>
            <w:vAlign w:val="center"/>
          </w:tcPr>
          <w:p w14:paraId="5E5F98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147612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C373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0.9321</w:t>
            </w:r>
          </w:p>
        </w:tc>
      </w:tr>
      <w:tr w:rsidR="00B77EA3" w:rsidRPr="0082484A" w14:paraId="710EDDD9"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1A093D9"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4854B5F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4D484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7E4DF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0.0850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26DAD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4A418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0.8137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64CCC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1.1910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B58C5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7A976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B21F7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0.8533</w:t>
            </w:r>
          </w:p>
        </w:tc>
      </w:tr>
    </w:tbl>
    <w:p w14:paraId="6261B5E8"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their blood pressure measured in the previous 12 months is -2174</w:t>
      </w:r>
    </w:p>
    <w:p w14:paraId="598C6AA8" w14:textId="77777777" w:rsidR="00B77EA3" w:rsidRPr="0082484A" w:rsidRDefault="00B77EA3" w:rsidP="00B77EA3">
      <w:pPr>
        <w:adjustRightInd w:val="0"/>
        <w:spacing w:before="0" w:line="240" w:lineRule="auto"/>
        <w:contextualSpacing/>
        <w:rPr>
          <w:sz w:val="22"/>
          <w:szCs w:val="22"/>
        </w:rPr>
      </w:pPr>
    </w:p>
    <w:p w14:paraId="7AE4A604" w14:textId="77777777" w:rsidR="00B77EA3" w:rsidRPr="0082484A" w:rsidRDefault="00B77EA3" w:rsidP="00B77EA3">
      <w:pPr>
        <w:spacing w:before="0" w:after="160" w:line="259" w:lineRule="auto"/>
        <w:rPr>
          <w:sz w:val="22"/>
          <w:szCs w:val="22"/>
        </w:rPr>
      </w:pPr>
      <w:r w:rsidRPr="0082484A">
        <w:rPr>
          <w:sz w:val="22"/>
          <w:szCs w:val="22"/>
        </w:rPr>
        <w:br w:type="page"/>
      </w:r>
    </w:p>
    <w:p w14:paraId="30C1D261" w14:textId="46D7A902" w:rsidR="00B77EA3" w:rsidRPr="0082484A" w:rsidRDefault="00B77EA3" w:rsidP="00B77EA3">
      <w:pPr>
        <w:spacing w:before="0" w:line="240" w:lineRule="auto"/>
        <w:rPr>
          <w:bCs/>
          <w:sz w:val="22"/>
          <w:szCs w:val="22"/>
        </w:rPr>
      </w:pPr>
      <w:bookmarkStart w:id="63" w:name="_Ref502917776"/>
      <w:bookmarkStart w:id="64" w:name="_Toc8728091"/>
      <w:bookmarkStart w:id="65" w:name="_Toc19526746"/>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17</w:t>
      </w:r>
      <w:r w:rsidRPr="0082484A">
        <w:rPr>
          <w:bCs/>
          <w:noProof/>
          <w:sz w:val="22"/>
          <w:szCs w:val="22"/>
        </w:rPr>
        <w:fldChar w:fldCharType="end"/>
      </w:r>
      <w:bookmarkEnd w:id="63"/>
      <w:r w:rsidRPr="0082484A">
        <w:rPr>
          <w:bCs/>
          <w:sz w:val="22"/>
          <w:szCs w:val="22"/>
        </w:rPr>
        <w:t>: Secondary outcome for Trial 1: The proportion of patients with Type 2 diabetes having their Haemoglobin A1c levels measured in the previous 12 months (WP4A)</w:t>
      </w:r>
      <w:r w:rsidRPr="0082484A">
        <w:rPr>
          <w:bCs/>
          <w:sz w:val="22"/>
          <w:szCs w:val="22"/>
          <w:vertAlign w:val="superscript"/>
        </w:rPr>
        <w:t xml:space="preserve"> a</w:t>
      </w:r>
      <w:bookmarkEnd w:id="64"/>
      <w:bookmarkEnd w:id="65"/>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78BAB9BC"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6B08E82" w14:textId="77777777" w:rsidR="00B77EA3" w:rsidRPr="0082484A" w:rsidRDefault="00B77EA3" w:rsidP="00B77EA3">
            <w:pPr>
              <w:spacing w:beforeLines="10" w:before="24" w:afterLines="10" w:after="24" w:line="240" w:lineRule="auto"/>
              <w:rPr>
                <w:bCs/>
                <w:sz w:val="22"/>
                <w:szCs w:val="22"/>
              </w:rPr>
            </w:pPr>
            <w:bookmarkStart w:id="66" w:name="IDX83"/>
            <w:bookmarkEnd w:id="66"/>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E57DEB5"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C07722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4B46A4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5D697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2A43EB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205F02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8DBF37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19205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3FB3F5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90DC97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E74512B"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F5A997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11BD4E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-0.0184</w:t>
            </w:r>
          </w:p>
        </w:tc>
        <w:tc>
          <w:tcPr>
            <w:tcW w:w="1134" w:type="dxa"/>
            <w:tcBorders>
              <w:top w:val="nil"/>
              <w:left w:val="nil"/>
              <w:bottom w:val="nil"/>
              <w:right w:val="nil"/>
            </w:tcBorders>
            <w:shd w:val="clear" w:color="auto" w:fill="FFFFFF"/>
            <w:tcMar>
              <w:left w:w="67" w:type="dxa"/>
              <w:right w:w="67" w:type="dxa"/>
            </w:tcMar>
            <w:vAlign w:val="center"/>
          </w:tcPr>
          <w:p w14:paraId="266940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0.1308</w:t>
            </w:r>
          </w:p>
        </w:tc>
        <w:tc>
          <w:tcPr>
            <w:tcW w:w="1134" w:type="dxa"/>
            <w:tcBorders>
              <w:top w:val="nil"/>
              <w:left w:val="nil"/>
              <w:bottom w:val="nil"/>
              <w:right w:val="nil"/>
            </w:tcBorders>
            <w:shd w:val="clear" w:color="auto" w:fill="FFFFFF"/>
            <w:tcMar>
              <w:left w:w="67" w:type="dxa"/>
              <w:right w:w="67" w:type="dxa"/>
            </w:tcMar>
            <w:vAlign w:val="center"/>
          </w:tcPr>
          <w:p w14:paraId="2EE751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0.9818</w:t>
            </w:r>
          </w:p>
        </w:tc>
        <w:tc>
          <w:tcPr>
            <w:tcW w:w="1134" w:type="dxa"/>
            <w:tcBorders>
              <w:top w:val="nil"/>
              <w:left w:val="nil"/>
              <w:bottom w:val="nil"/>
              <w:right w:val="nil"/>
            </w:tcBorders>
            <w:shd w:val="clear" w:color="auto" w:fill="FFFFFF"/>
            <w:tcMar>
              <w:left w:w="67" w:type="dxa"/>
              <w:right w:w="67" w:type="dxa"/>
            </w:tcMar>
            <w:vAlign w:val="center"/>
          </w:tcPr>
          <w:p w14:paraId="7B4016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0.7323</w:t>
            </w:r>
          </w:p>
        </w:tc>
        <w:tc>
          <w:tcPr>
            <w:tcW w:w="1134" w:type="dxa"/>
            <w:tcBorders>
              <w:top w:val="nil"/>
              <w:left w:val="nil"/>
              <w:bottom w:val="nil"/>
              <w:right w:val="nil"/>
            </w:tcBorders>
            <w:shd w:val="clear" w:color="auto" w:fill="FFFFFF"/>
            <w:tcMar>
              <w:left w:w="67" w:type="dxa"/>
              <w:right w:w="67" w:type="dxa"/>
            </w:tcMar>
            <w:vAlign w:val="center"/>
          </w:tcPr>
          <w:p w14:paraId="64A32E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1.3162</w:t>
            </w:r>
          </w:p>
        </w:tc>
        <w:tc>
          <w:tcPr>
            <w:tcW w:w="1134" w:type="dxa"/>
            <w:tcBorders>
              <w:top w:val="nil"/>
              <w:left w:val="nil"/>
              <w:bottom w:val="nil"/>
              <w:right w:val="nil"/>
            </w:tcBorders>
            <w:shd w:val="clear" w:color="auto" w:fill="FFFFFF"/>
            <w:tcMar>
              <w:left w:w="67" w:type="dxa"/>
              <w:right w:w="67" w:type="dxa"/>
            </w:tcMar>
            <w:vAlign w:val="center"/>
          </w:tcPr>
          <w:p w14:paraId="634E2B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w:t>
            </w:r>
          </w:p>
        </w:tc>
        <w:tc>
          <w:tcPr>
            <w:tcW w:w="567" w:type="dxa"/>
            <w:tcBorders>
              <w:top w:val="nil"/>
              <w:left w:val="nil"/>
              <w:bottom w:val="nil"/>
              <w:right w:val="nil"/>
            </w:tcBorders>
            <w:shd w:val="clear" w:color="auto" w:fill="FFFFFF"/>
            <w:tcMar>
              <w:left w:w="67" w:type="dxa"/>
              <w:right w:w="67" w:type="dxa"/>
            </w:tcMar>
            <w:vAlign w:val="center"/>
          </w:tcPr>
          <w:p w14:paraId="48F412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686B6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0.8883</w:t>
            </w:r>
          </w:p>
        </w:tc>
      </w:tr>
      <w:tr w:rsidR="00B77EA3" w:rsidRPr="0082484A" w14:paraId="7888F63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0F704B1"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4F7BDD0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DDC4B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-0.0218</w:t>
            </w:r>
          </w:p>
        </w:tc>
        <w:tc>
          <w:tcPr>
            <w:tcW w:w="1134" w:type="dxa"/>
            <w:tcBorders>
              <w:top w:val="nil"/>
              <w:left w:val="nil"/>
              <w:bottom w:val="nil"/>
              <w:right w:val="nil"/>
            </w:tcBorders>
            <w:shd w:val="clear" w:color="auto" w:fill="FFFFFF"/>
            <w:tcMar>
              <w:left w:w="67" w:type="dxa"/>
              <w:right w:w="67" w:type="dxa"/>
            </w:tcMar>
            <w:vAlign w:val="center"/>
          </w:tcPr>
          <w:p w14:paraId="6749A9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0.0524</w:t>
            </w:r>
          </w:p>
        </w:tc>
        <w:tc>
          <w:tcPr>
            <w:tcW w:w="1134" w:type="dxa"/>
            <w:tcBorders>
              <w:top w:val="nil"/>
              <w:left w:val="nil"/>
              <w:bottom w:val="nil"/>
              <w:right w:val="nil"/>
            </w:tcBorders>
            <w:shd w:val="clear" w:color="auto" w:fill="FFFFFF"/>
            <w:tcMar>
              <w:left w:w="67" w:type="dxa"/>
              <w:right w:w="67" w:type="dxa"/>
            </w:tcMar>
            <w:vAlign w:val="center"/>
          </w:tcPr>
          <w:p w14:paraId="10069C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0.9784</w:t>
            </w:r>
          </w:p>
        </w:tc>
        <w:tc>
          <w:tcPr>
            <w:tcW w:w="1134" w:type="dxa"/>
            <w:tcBorders>
              <w:top w:val="nil"/>
              <w:left w:val="nil"/>
              <w:bottom w:val="nil"/>
              <w:right w:val="nil"/>
            </w:tcBorders>
            <w:shd w:val="clear" w:color="auto" w:fill="FFFFFF"/>
            <w:tcMar>
              <w:left w:w="67" w:type="dxa"/>
              <w:right w:w="67" w:type="dxa"/>
            </w:tcMar>
            <w:vAlign w:val="center"/>
          </w:tcPr>
          <w:p w14:paraId="68A3B9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0.8700</w:t>
            </w:r>
          </w:p>
        </w:tc>
        <w:tc>
          <w:tcPr>
            <w:tcW w:w="1134" w:type="dxa"/>
            <w:tcBorders>
              <w:top w:val="nil"/>
              <w:left w:val="nil"/>
              <w:bottom w:val="nil"/>
              <w:right w:val="nil"/>
            </w:tcBorders>
            <w:shd w:val="clear" w:color="auto" w:fill="FFFFFF"/>
            <w:tcMar>
              <w:left w:w="67" w:type="dxa"/>
              <w:right w:w="67" w:type="dxa"/>
            </w:tcMar>
            <w:vAlign w:val="center"/>
          </w:tcPr>
          <w:p w14:paraId="6C0C92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1.1004</w:t>
            </w:r>
          </w:p>
        </w:tc>
        <w:tc>
          <w:tcPr>
            <w:tcW w:w="1134" w:type="dxa"/>
            <w:tcBorders>
              <w:top w:val="nil"/>
              <w:left w:val="nil"/>
              <w:bottom w:val="nil"/>
              <w:right w:val="nil"/>
            </w:tcBorders>
            <w:shd w:val="clear" w:color="auto" w:fill="FFFFFF"/>
            <w:tcMar>
              <w:left w:w="67" w:type="dxa"/>
              <w:right w:w="67" w:type="dxa"/>
            </w:tcMar>
            <w:vAlign w:val="center"/>
          </w:tcPr>
          <w:p w14:paraId="396DD7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w:t>
            </w:r>
          </w:p>
        </w:tc>
        <w:tc>
          <w:tcPr>
            <w:tcW w:w="567" w:type="dxa"/>
            <w:tcBorders>
              <w:top w:val="nil"/>
              <w:left w:val="nil"/>
              <w:bottom w:val="nil"/>
              <w:right w:val="nil"/>
            </w:tcBorders>
            <w:shd w:val="clear" w:color="auto" w:fill="FFFFFF"/>
            <w:tcMar>
              <w:left w:w="67" w:type="dxa"/>
              <w:right w:w="67" w:type="dxa"/>
            </w:tcMar>
            <w:vAlign w:val="center"/>
          </w:tcPr>
          <w:p w14:paraId="460292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C17A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0.6776</w:t>
            </w:r>
          </w:p>
        </w:tc>
      </w:tr>
      <w:tr w:rsidR="00B77EA3" w:rsidRPr="0082484A" w14:paraId="2622440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5A12C4"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4F8EB60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0E925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0.0236</w:t>
            </w:r>
          </w:p>
        </w:tc>
        <w:tc>
          <w:tcPr>
            <w:tcW w:w="1134" w:type="dxa"/>
            <w:tcBorders>
              <w:top w:val="nil"/>
              <w:left w:val="nil"/>
              <w:bottom w:val="nil"/>
              <w:right w:val="nil"/>
            </w:tcBorders>
            <w:shd w:val="clear" w:color="auto" w:fill="FFFFFF"/>
            <w:tcMar>
              <w:left w:w="67" w:type="dxa"/>
              <w:right w:w="67" w:type="dxa"/>
            </w:tcMar>
            <w:vAlign w:val="center"/>
          </w:tcPr>
          <w:p w14:paraId="7B43D6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748A1F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1.0239</w:t>
            </w:r>
          </w:p>
        </w:tc>
        <w:tc>
          <w:tcPr>
            <w:tcW w:w="1134" w:type="dxa"/>
            <w:tcBorders>
              <w:top w:val="nil"/>
              <w:left w:val="nil"/>
              <w:bottom w:val="nil"/>
              <w:right w:val="nil"/>
            </w:tcBorders>
            <w:shd w:val="clear" w:color="auto" w:fill="FFFFFF"/>
            <w:tcMar>
              <w:left w:w="67" w:type="dxa"/>
              <w:right w:w="67" w:type="dxa"/>
            </w:tcMar>
            <w:vAlign w:val="center"/>
          </w:tcPr>
          <w:p w14:paraId="71E895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1.0195</w:t>
            </w:r>
          </w:p>
        </w:tc>
        <w:tc>
          <w:tcPr>
            <w:tcW w:w="1134" w:type="dxa"/>
            <w:tcBorders>
              <w:top w:val="nil"/>
              <w:left w:val="nil"/>
              <w:bottom w:val="nil"/>
              <w:right w:val="nil"/>
            </w:tcBorders>
            <w:shd w:val="clear" w:color="auto" w:fill="FFFFFF"/>
            <w:tcMar>
              <w:left w:w="67" w:type="dxa"/>
              <w:right w:w="67" w:type="dxa"/>
            </w:tcMar>
            <w:vAlign w:val="center"/>
          </w:tcPr>
          <w:p w14:paraId="02C0E0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1.0282</w:t>
            </w:r>
          </w:p>
        </w:tc>
        <w:tc>
          <w:tcPr>
            <w:tcW w:w="1134" w:type="dxa"/>
            <w:tcBorders>
              <w:top w:val="nil"/>
              <w:left w:val="nil"/>
              <w:bottom w:val="nil"/>
              <w:right w:val="nil"/>
            </w:tcBorders>
            <w:shd w:val="clear" w:color="auto" w:fill="FFFFFF"/>
            <w:tcMar>
              <w:left w:w="67" w:type="dxa"/>
              <w:right w:w="67" w:type="dxa"/>
            </w:tcMar>
            <w:vAlign w:val="center"/>
          </w:tcPr>
          <w:p w14:paraId="3C691D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155.84</w:t>
            </w:r>
          </w:p>
        </w:tc>
        <w:tc>
          <w:tcPr>
            <w:tcW w:w="567" w:type="dxa"/>
            <w:tcBorders>
              <w:top w:val="nil"/>
              <w:left w:val="nil"/>
              <w:bottom w:val="nil"/>
              <w:right w:val="nil"/>
            </w:tcBorders>
            <w:shd w:val="clear" w:color="auto" w:fill="FFFFFF"/>
            <w:tcMar>
              <w:left w:w="67" w:type="dxa"/>
              <w:right w:w="67" w:type="dxa"/>
            </w:tcMar>
            <w:vAlign w:val="center"/>
          </w:tcPr>
          <w:p w14:paraId="2790F3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E805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7C3A32B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97D360"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5A94CAC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93380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67CAB4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668D52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1.0021</w:t>
            </w:r>
          </w:p>
        </w:tc>
        <w:tc>
          <w:tcPr>
            <w:tcW w:w="1134" w:type="dxa"/>
            <w:tcBorders>
              <w:top w:val="nil"/>
              <w:left w:val="nil"/>
              <w:bottom w:val="nil"/>
              <w:right w:val="nil"/>
            </w:tcBorders>
            <w:shd w:val="clear" w:color="auto" w:fill="FFFFFF"/>
            <w:tcMar>
              <w:left w:w="67" w:type="dxa"/>
              <w:right w:w="67" w:type="dxa"/>
            </w:tcMar>
            <w:vAlign w:val="center"/>
          </w:tcPr>
          <w:p w14:paraId="56A8B2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0.9976</w:t>
            </w:r>
          </w:p>
        </w:tc>
        <w:tc>
          <w:tcPr>
            <w:tcW w:w="1134" w:type="dxa"/>
            <w:tcBorders>
              <w:top w:val="nil"/>
              <w:left w:val="nil"/>
              <w:bottom w:val="nil"/>
              <w:right w:val="nil"/>
            </w:tcBorders>
            <w:shd w:val="clear" w:color="auto" w:fill="FFFFFF"/>
            <w:tcMar>
              <w:left w:w="67" w:type="dxa"/>
              <w:right w:w="67" w:type="dxa"/>
            </w:tcMar>
            <w:vAlign w:val="center"/>
          </w:tcPr>
          <w:p w14:paraId="20CA21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1.0066</w:t>
            </w:r>
          </w:p>
        </w:tc>
        <w:tc>
          <w:tcPr>
            <w:tcW w:w="1134" w:type="dxa"/>
            <w:tcBorders>
              <w:top w:val="nil"/>
              <w:left w:val="nil"/>
              <w:bottom w:val="nil"/>
              <w:right w:val="nil"/>
            </w:tcBorders>
            <w:shd w:val="clear" w:color="auto" w:fill="FFFFFF"/>
            <w:tcMar>
              <w:left w:w="67" w:type="dxa"/>
              <w:right w:w="67" w:type="dxa"/>
            </w:tcMar>
            <w:vAlign w:val="center"/>
          </w:tcPr>
          <w:p w14:paraId="057701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w:t>
            </w:r>
          </w:p>
        </w:tc>
        <w:tc>
          <w:tcPr>
            <w:tcW w:w="567" w:type="dxa"/>
            <w:tcBorders>
              <w:top w:val="nil"/>
              <w:left w:val="nil"/>
              <w:bottom w:val="nil"/>
              <w:right w:val="nil"/>
            </w:tcBorders>
            <w:shd w:val="clear" w:color="auto" w:fill="FFFFFF"/>
            <w:tcMar>
              <w:left w:w="67" w:type="dxa"/>
              <w:right w:w="67" w:type="dxa"/>
            </w:tcMar>
            <w:vAlign w:val="center"/>
          </w:tcPr>
          <w:p w14:paraId="418865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89877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0.2946</w:t>
            </w:r>
          </w:p>
        </w:tc>
      </w:tr>
      <w:tr w:rsidR="00B77EA3" w:rsidRPr="0082484A" w14:paraId="1EC9D28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FB89ED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8B2DB2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08E25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-0.1560</w:t>
            </w:r>
          </w:p>
        </w:tc>
        <w:tc>
          <w:tcPr>
            <w:tcW w:w="1134" w:type="dxa"/>
            <w:tcBorders>
              <w:top w:val="nil"/>
              <w:left w:val="nil"/>
              <w:bottom w:val="nil"/>
              <w:right w:val="nil"/>
            </w:tcBorders>
            <w:shd w:val="clear" w:color="auto" w:fill="FFFFFF"/>
            <w:tcMar>
              <w:left w:w="67" w:type="dxa"/>
              <w:right w:w="67" w:type="dxa"/>
            </w:tcMar>
            <w:vAlign w:val="center"/>
          </w:tcPr>
          <w:p w14:paraId="383C0B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0.3519</w:t>
            </w:r>
          </w:p>
        </w:tc>
        <w:tc>
          <w:tcPr>
            <w:tcW w:w="1134" w:type="dxa"/>
            <w:tcBorders>
              <w:top w:val="nil"/>
              <w:left w:val="nil"/>
              <w:bottom w:val="nil"/>
              <w:right w:val="nil"/>
            </w:tcBorders>
            <w:shd w:val="clear" w:color="auto" w:fill="FFFFFF"/>
            <w:tcMar>
              <w:left w:w="67" w:type="dxa"/>
              <w:right w:w="67" w:type="dxa"/>
            </w:tcMar>
            <w:vAlign w:val="center"/>
          </w:tcPr>
          <w:p w14:paraId="72836F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0.8556</w:t>
            </w:r>
          </w:p>
        </w:tc>
        <w:tc>
          <w:tcPr>
            <w:tcW w:w="1134" w:type="dxa"/>
            <w:tcBorders>
              <w:top w:val="nil"/>
              <w:left w:val="nil"/>
              <w:bottom w:val="nil"/>
              <w:right w:val="nil"/>
            </w:tcBorders>
            <w:shd w:val="clear" w:color="auto" w:fill="FFFFFF"/>
            <w:tcMar>
              <w:left w:w="67" w:type="dxa"/>
              <w:right w:w="67" w:type="dxa"/>
            </w:tcMar>
            <w:vAlign w:val="center"/>
          </w:tcPr>
          <w:p w14:paraId="376475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0.3887</w:t>
            </w:r>
          </w:p>
        </w:tc>
        <w:tc>
          <w:tcPr>
            <w:tcW w:w="1134" w:type="dxa"/>
            <w:tcBorders>
              <w:top w:val="nil"/>
              <w:left w:val="nil"/>
              <w:bottom w:val="nil"/>
              <w:right w:val="nil"/>
            </w:tcBorders>
            <w:shd w:val="clear" w:color="auto" w:fill="FFFFFF"/>
            <w:tcMar>
              <w:left w:w="67" w:type="dxa"/>
              <w:right w:w="67" w:type="dxa"/>
            </w:tcMar>
            <w:vAlign w:val="center"/>
          </w:tcPr>
          <w:p w14:paraId="2408C0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1.8831</w:t>
            </w:r>
          </w:p>
        </w:tc>
        <w:tc>
          <w:tcPr>
            <w:tcW w:w="1134" w:type="dxa"/>
            <w:tcBorders>
              <w:top w:val="nil"/>
              <w:left w:val="nil"/>
              <w:bottom w:val="nil"/>
              <w:right w:val="nil"/>
            </w:tcBorders>
            <w:shd w:val="clear" w:color="auto" w:fill="FFFFFF"/>
            <w:tcMar>
              <w:left w:w="67" w:type="dxa"/>
              <w:right w:w="67" w:type="dxa"/>
            </w:tcMar>
            <w:vAlign w:val="center"/>
          </w:tcPr>
          <w:p w14:paraId="7EC40B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2.20</w:t>
            </w:r>
          </w:p>
        </w:tc>
        <w:tc>
          <w:tcPr>
            <w:tcW w:w="567" w:type="dxa"/>
            <w:tcBorders>
              <w:top w:val="nil"/>
              <w:left w:val="nil"/>
              <w:bottom w:val="nil"/>
              <w:right w:val="nil"/>
            </w:tcBorders>
            <w:shd w:val="clear" w:color="auto" w:fill="FFFFFF"/>
            <w:tcMar>
              <w:left w:w="67" w:type="dxa"/>
              <w:right w:w="67" w:type="dxa"/>
            </w:tcMar>
            <w:vAlign w:val="center"/>
          </w:tcPr>
          <w:p w14:paraId="41F072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5F30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0.0190</w:t>
            </w:r>
          </w:p>
        </w:tc>
      </w:tr>
      <w:tr w:rsidR="00B77EA3" w:rsidRPr="0082484A" w14:paraId="7FEC5E8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9E340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33E9FC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4834C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0.7331</w:t>
            </w:r>
          </w:p>
        </w:tc>
        <w:tc>
          <w:tcPr>
            <w:tcW w:w="1134" w:type="dxa"/>
            <w:tcBorders>
              <w:top w:val="nil"/>
              <w:left w:val="nil"/>
              <w:bottom w:val="nil"/>
              <w:right w:val="nil"/>
            </w:tcBorders>
            <w:shd w:val="clear" w:color="auto" w:fill="FFFFFF"/>
            <w:tcMar>
              <w:left w:w="67" w:type="dxa"/>
              <w:right w:w="67" w:type="dxa"/>
            </w:tcMar>
            <w:vAlign w:val="center"/>
          </w:tcPr>
          <w:p w14:paraId="3C2872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0.3327</w:t>
            </w:r>
          </w:p>
        </w:tc>
        <w:tc>
          <w:tcPr>
            <w:tcW w:w="1134" w:type="dxa"/>
            <w:tcBorders>
              <w:top w:val="nil"/>
              <w:left w:val="nil"/>
              <w:bottom w:val="nil"/>
              <w:right w:val="nil"/>
            </w:tcBorders>
            <w:shd w:val="clear" w:color="auto" w:fill="FFFFFF"/>
            <w:tcMar>
              <w:left w:w="67" w:type="dxa"/>
              <w:right w:w="67" w:type="dxa"/>
            </w:tcMar>
            <w:vAlign w:val="center"/>
          </w:tcPr>
          <w:p w14:paraId="76AB7C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2.0815</w:t>
            </w:r>
          </w:p>
        </w:tc>
        <w:tc>
          <w:tcPr>
            <w:tcW w:w="1134" w:type="dxa"/>
            <w:tcBorders>
              <w:top w:val="nil"/>
              <w:left w:val="nil"/>
              <w:bottom w:val="nil"/>
              <w:right w:val="nil"/>
            </w:tcBorders>
            <w:shd w:val="clear" w:color="auto" w:fill="FFFFFF"/>
            <w:tcMar>
              <w:left w:w="67" w:type="dxa"/>
              <w:right w:w="67" w:type="dxa"/>
            </w:tcMar>
            <w:vAlign w:val="center"/>
          </w:tcPr>
          <w:p w14:paraId="2BC645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0.9874</w:t>
            </w:r>
          </w:p>
        </w:tc>
        <w:tc>
          <w:tcPr>
            <w:tcW w:w="1134" w:type="dxa"/>
            <w:tcBorders>
              <w:top w:val="nil"/>
              <w:left w:val="nil"/>
              <w:bottom w:val="nil"/>
              <w:right w:val="nil"/>
            </w:tcBorders>
            <w:shd w:val="clear" w:color="auto" w:fill="FFFFFF"/>
            <w:tcMar>
              <w:left w:w="67" w:type="dxa"/>
              <w:right w:w="67" w:type="dxa"/>
            </w:tcMar>
            <w:vAlign w:val="center"/>
          </w:tcPr>
          <w:p w14:paraId="706E94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4.3880</w:t>
            </w:r>
          </w:p>
        </w:tc>
        <w:tc>
          <w:tcPr>
            <w:tcW w:w="1134" w:type="dxa"/>
            <w:tcBorders>
              <w:top w:val="nil"/>
              <w:left w:val="nil"/>
              <w:bottom w:val="nil"/>
              <w:right w:val="nil"/>
            </w:tcBorders>
            <w:shd w:val="clear" w:color="auto" w:fill="FFFFFF"/>
            <w:tcMar>
              <w:left w:w="67" w:type="dxa"/>
              <w:right w:w="67" w:type="dxa"/>
            </w:tcMar>
            <w:vAlign w:val="center"/>
          </w:tcPr>
          <w:p w14:paraId="5D3513A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840802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D80593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1A9F2E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9F3A4C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3046B0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B8B19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0.0974</w:t>
            </w:r>
          </w:p>
        </w:tc>
        <w:tc>
          <w:tcPr>
            <w:tcW w:w="1134" w:type="dxa"/>
            <w:tcBorders>
              <w:top w:val="nil"/>
              <w:left w:val="nil"/>
              <w:bottom w:val="nil"/>
              <w:right w:val="nil"/>
            </w:tcBorders>
            <w:shd w:val="clear" w:color="auto" w:fill="FFFFFF"/>
            <w:tcMar>
              <w:left w:w="67" w:type="dxa"/>
              <w:right w:w="67" w:type="dxa"/>
            </w:tcMar>
            <w:vAlign w:val="center"/>
          </w:tcPr>
          <w:p w14:paraId="026AA0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0.2325</w:t>
            </w:r>
          </w:p>
        </w:tc>
        <w:tc>
          <w:tcPr>
            <w:tcW w:w="1134" w:type="dxa"/>
            <w:tcBorders>
              <w:top w:val="nil"/>
              <w:left w:val="nil"/>
              <w:bottom w:val="nil"/>
              <w:right w:val="nil"/>
            </w:tcBorders>
            <w:shd w:val="clear" w:color="auto" w:fill="FFFFFF"/>
            <w:tcMar>
              <w:left w:w="67" w:type="dxa"/>
              <w:right w:w="67" w:type="dxa"/>
            </w:tcMar>
            <w:vAlign w:val="center"/>
          </w:tcPr>
          <w:p w14:paraId="4F9D22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1.1023</w:t>
            </w:r>
          </w:p>
        </w:tc>
        <w:tc>
          <w:tcPr>
            <w:tcW w:w="1134" w:type="dxa"/>
            <w:tcBorders>
              <w:top w:val="nil"/>
              <w:left w:val="nil"/>
              <w:bottom w:val="nil"/>
              <w:right w:val="nil"/>
            </w:tcBorders>
            <w:shd w:val="clear" w:color="auto" w:fill="FFFFFF"/>
            <w:tcMar>
              <w:left w:w="67" w:type="dxa"/>
              <w:right w:w="67" w:type="dxa"/>
            </w:tcMar>
            <w:vAlign w:val="center"/>
          </w:tcPr>
          <w:p w14:paraId="5A4533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0.6546</w:t>
            </w:r>
          </w:p>
        </w:tc>
        <w:tc>
          <w:tcPr>
            <w:tcW w:w="1134" w:type="dxa"/>
            <w:tcBorders>
              <w:top w:val="nil"/>
              <w:left w:val="nil"/>
              <w:bottom w:val="nil"/>
              <w:right w:val="nil"/>
            </w:tcBorders>
            <w:shd w:val="clear" w:color="auto" w:fill="FFFFFF"/>
            <w:tcMar>
              <w:left w:w="67" w:type="dxa"/>
              <w:right w:w="67" w:type="dxa"/>
            </w:tcMar>
            <w:vAlign w:val="center"/>
          </w:tcPr>
          <w:p w14:paraId="2BCF16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1.8562</w:t>
            </w:r>
          </w:p>
        </w:tc>
        <w:tc>
          <w:tcPr>
            <w:tcW w:w="1134" w:type="dxa"/>
            <w:tcBorders>
              <w:top w:val="nil"/>
              <w:left w:val="nil"/>
              <w:bottom w:val="nil"/>
              <w:right w:val="nil"/>
            </w:tcBorders>
            <w:shd w:val="clear" w:color="auto" w:fill="FFFFFF"/>
            <w:tcMar>
              <w:left w:w="67" w:type="dxa"/>
              <w:right w:w="67" w:type="dxa"/>
            </w:tcMar>
            <w:vAlign w:val="center"/>
          </w:tcPr>
          <w:p w14:paraId="428BDAD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A571F9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644B4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7BFA70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FD8ACF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6711F4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CCAD2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-0.1868</w:t>
            </w:r>
          </w:p>
        </w:tc>
        <w:tc>
          <w:tcPr>
            <w:tcW w:w="1134" w:type="dxa"/>
            <w:tcBorders>
              <w:top w:val="nil"/>
              <w:left w:val="nil"/>
              <w:bottom w:val="nil"/>
              <w:right w:val="nil"/>
            </w:tcBorders>
            <w:shd w:val="clear" w:color="auto" w:fill="FFFFFF"/>
            <w:tcMar>
              <w:left w:w="67" w:type="dxa"/>
              <w:right w:w="67" w:type="dxa"/>
            </w:tcMar>
            <w:vAlign w:val="center"/>
          </w:tcPr>
          <w:p w14:paraId="0BF73F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0.3221</w:t>
            </w:r>
          </w:p>
        </w:tc>
        <w:tc>
          <w:tcPr>
            <w:tcW w:w="1134" w:type="dxa"/>
            <w:tcBorders>
              <w:top w:val="nil"/>
              <w:left w:val="nil"/>
              <w:bottom w:val="nil"/>
              <w:right w:val="nil"/>
            </w:tcBorders>
            <w:shd w:val="clear" w:color="auto" w:fill="FFFFFF"/>
            <w:tcMar>
              <w:left w:w="67" w:type="dxa"/>
              <w:right w:w="67" w:type="dxa"/>
            </w:tcMar>
            <w:vAlign w:val="center"/>
          </w:tcPr>
          <w:p w14:paraId="275DD2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0.8297</w:t>
            </w:r>
          </w:p>
        </w:tc>
        <w:tc>
          <w:tcPr>
            <w:tcW w:w="1134" w:type="dxa"/>
            <w:tcBorders>
              <w:top w:val="nil"/>
              <w:left w:val="nil"/>
              <w:bottom w:val="nil"/>
              <w:right w:val="nil"/>
            </w:tcBorders>
            <w:shd w:val="clear" w:color="auto" w:fill="FFFFFF"/>
            <w:tcMar>
              <w:left w:w="67" w:type="dxa"/>
              <w:right w:w="67" w:type="dxa"/>
            </w:tcMar>
            <w:vAlign w:val="center"/>
          </w:tcPr>
          <w:p w14:paraId="556353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0.4031</w:t>
            </w:r>
          </w:p>
        </w:tc>
        <w:tc>
          <w:tcPr>
            <w:tcW w:w="1134" w:type="dxa"/>
            <w:tcBorders>
              <w:top w:val="nil"/>
              <w:left w:val="nil"/>
              <w:bottom w:val="nil"/>
              <w:right w:val="nil"/>
            </w:tcBorders>
            <w:shd w:val="clear" w:color="auto" w:fill="FFFFFF"/>
            <w:tcMar>
              <w:left w:w="67" w:type="dxa"/>
              <w:right w:w="67" w:type="dxa"/>
            </w:tcMar>
            <w:vAlign w:val="center"/>
          </w:tcPr>
          <w:p w14:paraId="5E8DCF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1.7077</w:t>
            </w:r>
          </w:p>
        </w:tc>
        <w:tc>
          <w:tcPr>
            <w:tcW w:w="1134" w:type="dxa"/>
            <w:tcBorders>
              <w:top w:val="nil"/>
              <w:left w:val="nil"/>
              <w:bottom w:val="nil"/>
              <w:right w:val="nil"/>
            </w:tcBorders>
            <w:shd w:val="clear" w:color="auto" w:fill="FFFFFF"/>
            <w:tcMar>
              <w:left w:w="67" w:type="dxa"/>
              <w:right w:w="67" w:type="dxa"/>
            </w:tcMar>
            <w:vAlign w:val="center"/>
          </w:tcPr>
          <w:p w14:paraId="01553F1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632C7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DAD2DB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F76C67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77F14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A7088D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3D60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-0.1896</w:t>
            </w:r>
          </w:p>
        </w:tc>
        <w:tc>
          <w:tcPr>
            <w:tcW w:w="1134" w:type="dxa"/>
            <w:tcBorders>
              <w:top w:val="nil"/>
              <w:left w:val="nil"/>
              <w:bottom w:val="nil"/>
              <w:right w:val="nil"/>
            </w:tcBorders>
            <w:shd w:val="clear" w:color="auto" w:fill="FFFFFF"/>
            <w:tcMar>
              <w:left w:w="67" w:type="dxa"/>
              <w:right w:w="67" w:type="dxa"/>
            </w:tcMar>
            <w:vAlign w:val="center"/>
          </w:tcPr>
          <w:p w14:paraId="5FB50F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0.3224</w:t>
            </w:r>
          </w:p>
        </w:tc>
        <w:tc>
          <w:tcPr>
            <w:tcW w:w="1134" w:type="dxa"/>
            <w:tcBorders>
              <w:top w:val="nil"/>
              <w:left w:val="nil"/>
              <w:bottom w:val="nil"/>
              <w:right w:val="nil"/>
            </w:tcBorders>
            <w:shd w:val="clear" w:color="auto" w:fill="FFFFFF"/>
            <w:tcMar>
              <w:left w:w="67" w:type="dxa"/>
              <w:right w:w="67" w:type="dxa"/>
            </w:tcMar>
            <w:vAlign w:val="center"/>
          </w:tcPr>
          <w:p w14:paraId="403196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0.8273</w:t>
            </w:r>
          </w:p>
        </w:tc>
        <w:tc>
          <w:tcPr>
            <w:tcW w:w="1134" w:type="dxa"/>
            <w:tcBorders>
              <w:top w:val="nil"/>
              <w:left w:val="nil"/>
              <w:bottom w:val="nil"/>
              <w:right w:val="nil"/>
            </w:tcBorders>
            <w:shd w:val="clear" w:color="auto" w:fill="FFFFFF"/>
            <w:tcMar>
              <w:left w:w="67" w:type="dxa"/>
              <w:right w:w="67" w:type="dxa"/>
            </w:tcMar>
            <w:vAlign w:val="center"/>
          </w:tcPr>
          <w:p w14:paraId="495CE4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0.4016</w:t>
            </w:r>
          </w:p>
        </w:tc>
        <w:tc>
          <w:tcPr>
            <w:tcW w:w="1134" w:type="dxa"/>
            <w:tcBorders>
              <w:top w:val="nil"/>
              <w:left w:val="nil"/>
              <w:bottom w:val="nil"/>
              <w:right w:val="nil"/>
            </w:tcBorders>
            <w:shd w:val="clear" w:color="auto" w:fill="FFFFFF"/>
            <w:tcMar>
              <w:left w:w="67" w:type="dxa"/>
              <w:right w:w="67" w:type="dxa"/>
            </w:tcMar>
            <w:vAlign w:val="center"/>
          </w:tcPr>
          <w:p w14:paraId="0BB0E3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1.7042</w:t>
            </w:r>
          </w:p>
        </w:tc>
        <w:tc>
          <w:tcPr>
            <w:tcW w:w="1134" w:type="dxa"/>
            <w:tcBorders>
              <w:top w:val="nil"/>
              <w:left w:val="nil"/>
              <w:bottom w:val="nil"/>
              <w:right w:val="nil"/>
            </w:tcBorders>
            <w:shd w:val="clear" w:color="auto" w:fill="FFFFFF"/>
            <w:tcMar>
              <w:left w:w="67" w:type="dxa"/>
              <w:right w:w="67" w:type="dxa"/>
            </w:tcMar>
            <w:vAlign w:val="center"/>
          </w:tcPr>
          <w:p w14:paraId="1C11B62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E868D3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E3C7D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8A5173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AA7CB7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23696F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4939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-0.1484</w:t>
            </w:r>
          </w:p>
        </w:tc>
        <w:tc>
          <w:tcPr>
            <w:tcW w:w="1134" w:type="dxa"/>
            <w:tcBorders>
              <w:top w:val="nil"/>
              <w:left w:val="nil"/>
              <w:bottom w:val="nil"/>
              <w:right w:val="nil"/>
            </w:tcBorders>
            <w:shd w:val="clear" w:color="auto" w:fill="FFFFFF"/>
            <w:tcMar>
              <w:left w:w="67" w:type="dxa"/>
              <w:right w:w="67" w:type="dxa"/>
            </w:tcMar>
            <w:vAlign w:val="center"/>
          </w:tcPr>
          <w:p w14:paraId="5B3C15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0.3299</w:t>
            </w:r>
          </w:p>
        </w:tc>
        <w:tc>
          <w:tcPr>
            <w:tcW w:w="1134" w:type="dxa"/>
            <w:tcBorders>
              <w:top w:val="nil"/>
              <w:left w:val="nil"/>
              <w:bottom w:val="nil"/>
              <w:right w:val="nil"/>
            </w:tcBorders>
            <w:shd w:val="clear" w:color="auto" w:fill="FFFFFF"/>
            <w:tcMar>
              <w:left w:w="67" w:type="dxa"/>
              <w:right w:w="67" w:type="dxa"/>
            </w:tcMar>
            <w:vAlign w:val="center"/>
          </w:tcPr>
          <w:p w14:paraId="2B1DB5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0.8621</w:t>
            </w:r>
          </w:p>
        </w:tc>
        <w:tc>
          <w:tcPr>
            <w:tcW w:w="1134" w:type="dxa"/>
            <w:tcBorders>
              <w:top w:val="nil"/>
              <w:left w:val="nil"/>
              <w:bottom w:val="nil"/>
              <w:right w:val="nil"/>
            </w:tcBorders>
            <w:shd w:val="clear" w:color="auto" w:fill="FFFFFF"/>
            <w:tcMar>
              <w:left w:w="67" w:type="dxa"/>
              <w:right w:w="67" w:type="dxa"/>
            </w:tcMar>
            <w:vAlign w:val="center"/>
          </w:tcPr>
          <w:p w14:paraId="2DC475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0.4115</w:t>
            </w:r>
          </w:p>
        </w:tc>
        <w:tc>
          <w:tcPr>
            <w:tcW w:w="1134" w:type="dxa"/>
            <w:tcBorders>
              <w:top w:val="nil"/>
              <w:left w:val="nil"/>
              <w:bottom w:val="nil"/>
              <w:right w:val="nil"/>
            </w:tcBorders>
            <w:shd w:val="clear" w:color="auto" w:fill="FFFFFF"/>
            <w:tcMar>
              <w:left w:w="67" w:type="dxa"/>
              <w:right w:w="67" w:type="dxa"/>
            </w:tcMar>
            <w:vAlign w:val="center"/>
          </w:tcPr>
          <w:p w14:paraId="64D1F8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1.8059</w:t>
            </w:r>
          </w:p>
        </w:tc>
        <w:tc>
          <w:tcPr>
            <w:tcW w:w="1134" w:type="dxa"/>
            <w:tcBorders>
              <w:top w:val="nil"/>
              <w:left w:val="nil"/>
              <w:bottom w:val="nil"/>
              <w:right w:val="nil"/>
            </w:tcBorders>
            <w:shd w:val="clear" w:color="auto" w:fill="FFFFFF"/>
            <w:tcMar>
              <w:left w:w="67" w:type="dxa"/>
              <w:right w:w="67" w:type="dxa"/>
            </w:tcMar>
            <w:vAlign w:val="center"/>
          </w:tcPr>
          <w:p w14:paraId="66459C2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84DB9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E8EBA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FFB7C4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77B57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B79DAC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CCA7C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-0.3728</w:t>
            </w:r>
          </w:p>
        </w:tc>
        <w:tc>
          <w:tcPr>
            <w:tcW w:w="1134" w:type="dxa"/>
            <w:tcBorders>
              <w:top w:val="nil"/>
              <w:left w:val="nil"/>
              <w:bottom w:val="nil"/>
              <w:right w:val="nil"/>
            </w:tcBorders>
            <w:shd w:val="clear" w:color="auto" w:fill="FFFFFF"/>
            <w:tcMar>
              <w:left w:w="67" w:type="dxa"/>
              <w:right w:w="67" w:type="dxa"/>
            </w:tcMar>
            <w:vAlign w:val="center"/>
          </w:tcPr>
          <w:p w14:paraId="3F05D9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0.2737</w:t>
            </w:r>
          </w:p>
        </w:tc>
        <w:tc>
          <w:tcPr>
            <w:tcW w:w="1134" w:type="dxa"/>
            <w:tcBorders>
              <w:top w:val="nil"/>
              <w:left w:val="nil"/>
              <w:bottom w:val="nil"/>
              <w:right w:val="nil"/>
            </w:tcBorders>
            <w:shd w:val="clear" w:color="auto" w:fill="FFFFFF"/>
            <w:tcMar>
              <w:left w:w="67" w:type="dxa"/>
              <w:right w:w="67" w:type="dxa"/>
            </w:tcMar>
            <w:vAlign w:val="center"/>
          </w:tcPr>
          <w:p w14:paraId="5E745C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0.6888</w:t>
            </w:r>
          </w:p>
        </w:tc>
        <w:tc>
          <w:tcPr>
            <w:tcW w:w="1134" w:type="dxa"/>
            <w:tcBorders>
              <w:top w:val="nil"/>
              <w:left w:val="nil"/>
              <w:bottom w:val="nil"/>
              <w:right w:val="nil"/>
            </w:tcBorders>
            <w:shd w:val="clear" w:color="auto" w:fill="FFFFFF"/>
            <w:tcMar>
              <w:left w:w="67" w:type="dxa"/>
              <w:right w:w="67" w:type="dxa"/>
            </w:tcMar>
            <w:vAlign w:val="center"/>
          </w:tcPr>
          <w:p w14:paraId="310ADC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0.3730</w:t>
            </w:r>
          </w:p>
        </w:tc>
        <w:tc>
          <w:tcPr>
            <w:tcW w:w="1134" w:type="dxa"/>
            <w:tcBorders>
              <w:top w:val="nil"/>
              <w:left w:val="nil"/>
              <w:bottom w:val="nil"/>
              <w:right w:val="nil"/>
            </w:tcBorders>
            <w:shd w:val="clear" w:color="auto" w:fill="FFFFFF"/>
            <w:tcMar>
              <w:left w:w="67" w:type="dxa"/>
              <w:right w:w="67" w:type="dxa"/>
            </w:tcMar>
            <w:vAlign w:val="center"/>
          </w:tcPr>
          <w:p w14:paraId="08BEB8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1.2722</w:t>
            </w:r>
          </w:p>
        </w:tc>
        <w:tc>
          <w:tcPr>
            <w:tcW w:w="1134" w:type="dxa"/>
            <w:tcBorders>
              <w:top w:val="nil"/>
              <w:left w:val="nil"/>
              <w:bottom w:val="nil"/>
              <w:right w:val="nil"/>
            </w:tcBorders>
            <w:shd w:val="clear" w:color="auto" w:fill="FFFFFF"/>
            <w:tcMar>
              <w:left w:w="67" w:type="dxa"/>
              <w:right w:w="67" w:type="dxa"/>
            </w:tcMar>
            <w:vAlign w:val="center"/>
          </w:tcPr>
          <w:p w14:paraId="17C624B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77A553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B23302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755066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DDC3C8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0C28B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E81F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-0.2244</w:t>
            </w:r>
          </w:p>
        </w:tc>
        <w:tc>
          <w:tcPr>
            <w:tcW w:w="1134" w:type="dxa"/>
            <w:tcBorders>
              <w:top w:val="nil"/>
              <w:left w:val="nil"/>
              <w:bottom w:val="nil"/>
              <w:right w:val="nil"/>
            </w:tcBorders>
            <w:shd w:val="clear" w:color="auto" w:fill="FFFFFF"/>
            <w:tcMar>
              <w:left w:w="67" w:type="dxa"/>
              <w:right w:w="67" w:type="dxa"/>
            </w:tcMar>
            <w:vAlign w:val="center"/>
          </w:tcPr>
          <w:p w14:paraId="7B5F9F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0.3190</w:t>
            </w:r>
          </w:p>
        </w:tc>
        <w:tc>
          <w:tcPr>
            <w:tcW w:w="1134" w:type="dxa"/>
            <w:tcBorders>
              <w:top w:val="nil"/>
              <w:left w:val="nil"/>
              <w:bottom w:val="nil"/>
              <w:right w:val="nil"/>
            </w:tcBorders>
            <w:shd w:val="clear" w:color="auto" w:fill="FFFFFF"/>
            <w:tcMar>
              <w:left w:w="67" w:type="dxa"/>
              <w:right w:w="67" w:type="dxa"/>
            </w:tcMar>
            <w:vAlign w:val="center"/>
          </w:tcPr>
          <w:p w14:paraId="1E88D7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0.7990</w:t>
            </w:r>
          </w:p>
        </w:tc>
        <w:tc>
          <w:tcPr>
            <w:tcW w:w="1134" w:type="dxa"/>
            <w:tcBorders>
              <w:top w:val="nil"/>
              <w:left w:val="nil"/>
              <w:bottom w:val="nil"/>
              <w:right w:val="nil"/>
            </w:tcBorders>
            <w:shd w:val="clear" w:color="auto" w:fill="FFFFFF"/>
            <w:tcMar>
              <w:left w:w="67" w:type="dxa"/>
              <w:right w:w="67" w:type="dxa"/>
            </w:tcMar>
            <w:vAlign w:val="center"/>
          </w:tcPr>
          <w:p w14:paraId="02B174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0.3908</w:t>
            </w:r>
          </w:p>
        </w:tc>
        <w:tc>
          <w:tcPr>
            <w:tcW w:w="1134" w:type="dxa"/>
            <w:tcBorders>
              <w:top w:val="nil"/>
              <w:left w:val="nil"/>
              <w:bottom w:val="nil"/>
              <w:right w:val="nil"/>
            </w:tcBorders>
            <w:shd w:val="clear" w:color="auto" w:fill="FFFFFF"/>
            <w:tcMar>
              <w:left w:w="67" w:type="dxa"/>
              <w:right w:w="67" w:type="dxa"/>
            </w:tcMar>
            <w:vAlign w:val="center"/>
          </w:tcPr>
          <w:p w14:paraId="6CD469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1.6335</w:t>
            </w:r>
          </w:p>
        </w:tc>
        <w:tc>
          <w:tcPr>
            <w:tcW w:w="1134" w:type="dxa"/>
            <w:tcBorders>
              <w:top w:val="nil"/>
              <w:left w:val="nil"/>
              <w:bottom w:val="nil"/>
              <w:right w:val="nil"/>
            </w:tcBorders>
            <w:shd w:val="clear" w:color="auto" w:fill="FFFFFF"/>
            <w:tcMar>
              <w:left w:w="67" w:type="dxa"/>
              <w:right w:w="67" w:type="dxa"/>
            </w:tcMar>
            <w:vAlign w:val="center"/>
          </w:tcPr>
          <w:p w14:paraId="2BEAEBF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E6AFFB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E167B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DD19BB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3E4D58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CE1343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9C68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0.3304</w:t>
            </w:r>
          </w:p>
        </w:tc>
        <w:tc>
          <w:tcPr>
            <w:tcW w:w="1134" w:type="dxa"/>
            <w:tcBorders>
              <w:top w:val="nil"/>
              <w:left w:val="nil"/>
              <w:bottom w:val="nil"/>
              <w:right w:val="nil"/>
            </w:tcBorders>
            <w:shd w:val="clear" w:color="auto" w:fill="FFFFFF"/>
            <w:tcMar>
              <w:left w:w="67" w:type="dxa"/>
              <w:right w:w="67" w:type="dxa"/>
            </w:tcMar>
            <w:vAlign w:val="center"/>
          </w:tcPr>
          <w:p w14:paraId="695997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0.2905</w:t>
            </w:r>
          </w:p>
        </w:tc>
        <w:tc>
          <w:tcPr>
            <w:tcW w:w="1134" w:type="dxa"/>
            <w:tcBorders>
              <w:top w:val="nil"/>
              <w:left w:val="nil"/>
              <w:bottom w:val="nil"/>
              <w:right w:val="nil"/>
            </w:tcBorders>
            <w:shd w:val="clear" w:color="auto" w:fill="FFFFFF"/>
            <w:tcMar>
              <w:left w:w="67" w:type="dxa"/>
              <w:right w:w="67" w:type="dxa"/>
            </w:tcMar>
            <w:vAlign w:val="center"/>
          </w:tcPr>
          <w:p w14:paraId="2D19DC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1.3916</w:t>
            </w:r>
          </w:p>
        </w:tc>
        <w:tc>
          <w:tcPr>
            <w:tcW w:w="1134" w:type="dxa"/>
            <w:tcBorders>
              <w:top w:val="nil"/>
              <w:left w:val="nil"/>
              <w:bottom w:val="nil"/>
              <w:right w:val="nil"/>
            </w:tcBorders>
            <w:shd w:val="clear" w:color="auto" w:fill="FFFFFF"/>
            <w:tcMar>
              <w:left w:w="67" w:type="dxa"/>
              <w:right w:w="67" w:type="dxa"/>
            </w:tcMar>
            <w:vAlign w:val="center"/>
          </w:tcPr>
          <w:p w14:paraId="541E37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0.7257</w:t>
            </w:r>
          </w:p>
        </w:tc>
        <w:tc>
          <w:tcPr>
            <w:tcW w:w="1134" w:type="dxa"/>
            <w:tcBorders>
              <w:top w:val="nil"/>
              <w:left w:val="nil"/>
              <w:bottom w:val="nil"/>
              <w:right w:val="nil"/>
            </w:tcBorders>
            <w:shd w:val="clear" w:color="auto" w:fill="FFFFFF"/>
            <w:tcMar>
              <w:left w:w="67" w:type="dxa"/>
              <w:right w:w="67" w:type="dxa"/>
            </w:tcMar>
            <w:vAlign w:val="center"/>
          </w:tcPr>
          <w:p w14:paraId="263D4F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2.6685</w:t>
            </w:r>
          </w:p>
        </w:tc>
        <w:tc>
          <w:tcPr>
            <w:tcW w:w="1134" w:type="dxa"/>
            <w:tcBorders>
              <w:top w:val="nil"/>
              <w:left w:val="nil"/>
              <w:bottom w:val="nil"/>
              <w:right w:val="nil"/>
            </w:tcBorders>
            <w:shd w:val="clear" w:color="auto" w:fill="FFFFFF"/>
            <w:tcMar>
              <w:left w:w="67" w:type="dxa"/>
              <w:right w:w="67" w:type="dxa"/>
            </w:tcMar>
            <w:vAlign w:val="center"/>
          </w:tcPr>
          <w:p w14:paraId="191F03D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E326F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5BE0F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3A0522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D4FF30E"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F2C3AA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ED3C9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3DE523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0.0164</w:t>
            </w:r>
          </w:p>
        </w:tc>
        <w:tc>
          <w:tcPr>
            <w:tcW w:w="1134" w:type="dxa"/>
            <w:tcBorders>
              <w:top w:val="nil"/>
              <w:left w:val="nil"/>
              <w:bottom w:val="nil"/>
              <w:right w:val="nil"/>
            </w:tcBorders>
            <w:shd w:val="clear" w:color="auto" w:fill="FFFFFF"/>
            <w:tcMar>
              <w:left w:w="67" w:type="dxa"/>
              <w:right w:w="67" w:type="dxa"/>
            </w:tcMar>
            <w:vAlign w:val="center"/>
          </w:tcPr>
          <w:p w14:paraId="1A9DA7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1.0038</w:t>
            </w:r>
          </w:p>
        </w:tc>
        <w:tc>
          <w:tcPr>
            <w:tcW w:w="1134" w:type="dxa"/>
            <w:tcBorders>
              <w:top w:val="nil"/>
              <w:left w:val="nil"/>
              <w:bottom w:val="nil"/>
              <w:right w:val="nil"/>
            </w:tcBorders>
            <w:shd w:val="clear" w:color="auto" w:fill="FFFFFF"/>
            <w:tcMar>
              <w:left w:w="67" w:type="dxa"/>
              <w:right w:w="67" w:type="dxa"/>
            </w:tcMar>
            <w:vAlign w:val="center"/>
          </w:tcPr>
          <w:p w14:paraId="2D265D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0.9675</w:t>
            </w:r>
          </w:p>
        </w:tc>
        <w:tc>
          <w:tcPr>
            <w:tcW w:w="1134" w:type="dxa"/>
            <w:tcBorders>
              <w:top w:val="nil"/>
              <w:left w:val="nil"/>
              <w:bottom w:val="nil"/>
              <w:right w:val="nil"/>
            </w:tcBorders>
            <w:shd w:val="clear" w:color="auto" w:fill="FFFFFF"/>
            <w:tcMar>
              <w:left w:w="67" w:type="dxa"/>
              <w:right w:w="67" w:type="dxa"/>
            </w:tcMar>
            <w:vAlign w:val="center"/>
          </w:tcPr>
          <w:p w14:paraId="33EC3E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1.0415</w:t>
            </w:r>
          </w:p>
        </w:tc>
        <w:tc>
          <w:tcPr>
            <w:tcW w:w="1134" w:type="dxa"/>
            <w:tcBorders>
              <w:top w:val="nil"/>
              <w:left w:val="nil"/>
              <w:bottom w:val="nil"/>
              <w:right w:val="nil"/>
            </w:tcBorders>
            <w:shd w:val="clear" w:color="auto" w:fill="FFFFFF"/>
            <w:tcMar>
              <w:left w:w="67" w:type="dxa"/>
              <w:right w:w="67" w:type="dxa"/>
            </w:tcMar>
            <w:vAlign w:val="center"/>
          </w:tcPr>
          <w:p w14:paraId="0925C1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w:t>
            </w:r>
          </w:p>
        </w:tc>
        <w:tc>
          <w:tcPr>
            <w:tcW w:w="567" w:type="dxa"/>
            <w:tcBorders>
              <w:top w:val="nil"/>
              <w:left w:val="nil"/>
              <w:bottom w:val="nil"/>
              <w:right w:val="nil"/>
            </w:tcBorders>
            <w:shd w:val="clear" w:color="auto" w:fill="FFFFFF"/>
            <w:tcMar>
              <w:left w:w="67" w:type="dxa"/>
              <w:right w:w="67" w:type="dxa"/>
            </w:tcMar>
            <w:vAlign w:val="center"/>
          </w:tcPr>
          <w:p w14:paraId="088DD2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3C124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0.8158</w:t>
            </w:r>
          </w:p>
        </w:tc>
      </w:tr>
      <w:tr w:rsidR="00B77EA3" w:rsidRPr="0082484A" w14:paraId="354576C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7C7E1C"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7AFEA6C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650F9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0.0413</w:t>
            </w:r>
          </w:p>
        </w:tc>
        <w:tc>
          <w:tcPr>
            <w:tcW w:w="1134" w:type="dxa"/>
            <w:tcBorders>
              <w:top w:val="nil"/>
              <w:left w:val="nil"/>
              <w:bottom w:val="nil"/>
              <w:right w:val="nil"/>
            </w:tcBorders>
            <w:shd w:val="clear" w:color="auto" w:fill="FFFFFF"/>
            <w:tcMar>
              <w:left w:w="67" w:type="dxa"/>
              <w:right w:w="67" w:type="dxa"/>
            </w:tcMar>
            <w:vAlign w:val="center"/>
          </w:tcPr>
          <w:p w14:paraId="3B7BFD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0.0100</w:t>
            </w:r>
          </w:p>
        </w:tc>
        <w:tc>
          <w:tcPr>
            <w:tcW w:w="1134" w:type="dxa"/>
            <w:tcBorders>
              <w:top w:val="nil"/>
              <w:left w:val="nil"/>
              <w:bottom w:val="nil"/>
              <w:right w:val="nil"/>
            </w:tcBorders>
            <w:shd w:val="clear" w:color="auto" w:fill="FFFFFF"/>
            <w:tcMar>
              <w:left w:w="67" w:type="dxa"/>
              <w:right w:w="67" w:type="dxa"/>
            </w:tcMar>
            <w:vAlign w:val="center"/>
          </w:tcPr>
          <w:p w14:paraId="1EB4C8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1.0421</w:t>
            </w:r>
          </w:p>
        </w:tc>
        <w:tc>
          <w:tcPr>
            <w:tcW w:w="1134" w:type="dxa"/>
            <w:tcBorders>
              <w:top w:val="nil"/>
              <w:left w:val="nil"/>
              <w:bottom w:val="nil"/>
              <w:right w:val="nil"/>
            </w:tcBorders>
            <w:shd w:val="clear" w:color="auto" w:fill="FFFFFF"/>
            <w:tcMar>
              <w:left w:w="67" w:type="dxa"/>
              <w:right w:w="67" w:type="dxa"/>
            </w:tcMar>
            <w:vAlign w:val="center"/>
          </w:tcPr>
          <w:p w14:paraId="187DF6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1.0191</w:t>
            </w:r>
          </w:p>
        </w:tc>
        <w:tc>
          <w:tcPr>
            <w:tcW w:w="1134" w:type="dxa"/>
            <w:tcBorders>
              <w:top w:val="nil"/>
              <w:left w:val="nil"/>
              <w:bottom w:val="nil"/>
              <w:right w:val="nil"/>
            </w:tcBorders>
            <w:shd w:val="clear" w:color="auto" w:fill="FFFFFF"/>
            <w:tcMar>
              <w:left w:w="67" w:type="dxa"/>
              <w:right w:w="67" w:type="dxa"/>
            </w:tcMar>
            <w:vAlign w:val="center"/>
          </w:tcPr>
          <w:p w14:paraId="335818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1.0657</w:t>
            </w:r>
          </w:p>
        </w:tc>
        <w:tc>
          <w:tcPr>
            <w:tcW w:w="1134" w:type="dxa"/>
            <w:tcBorders>
              <w:top w:val="nil"/>
              <w:left w:val="nil"/>
              <w:bottom w:val="nil"/>
              <w:right w:val="nil"/>
            </w:tcBorders>
            <w:shd w:val="clear" w:color="auto" w:fill="FFFFFF"/>
            <w:tcMar>
              <w:left w:w="67" w:type="dxa"/>
              <w:right w:w="67" w:type="dxa"/>
            </w:tcMar>
            <w:vAlign w:val="center"/>
          </w:tcPr>
          <w:p w14:paraId="55C2B8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17.13</w:t>
            </w:r>
          </w:p>
        </w:tc>
        <w:tc>
          <w:tcPr>
            <w:tcW w:w="567" w:type="dxa"/>
            <w:tcBorders>
              <w:top w:val="nil"/>
              <w:left w:val="nil"/>
              <w:bottom w:val="nil"/>
              <w:right w:val="nil"/>
            </w:tcBorders>
            <w:shd w:val="clear" w:color="auto" w:fill="FFFFFF"/>
            <w:tcMar>
              <w:left w:w="67" w:type="dxa"/>
              <w:right w:w="67" w:type="dxa"/>
            </w:tcMar>
            <w:vAlign w:val="center"/>
          </w:tcPr>
          <w:p w14:paraId="2A37D6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3D2F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D6B0E4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4E99052"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F527B3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A4D0C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68D5FA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73EDEA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1.0006</w:t>
            </w:r>
          </w:p>
        </w:tc>
        <w:tc>
          <w:tcPr>
            <w:tcW w:w="1134" w:type="dxa"/>
            <w:tcBorders>
              <w:top w:val="nil"/>
              <w:left w:val="nil"/>
              <w:bottom w:val="nil"/>
              <w:right w:val="nil"/>
            </w:tcBorders>
            <w:shd w:val="clear" w:color="auto" w:fill="FFFFFF"/>
            <w:tcMar>
              <w:left w:w="67" w:type="dxa"/>
              <w:right w:w="67" w:type="dxa"/>
            </w:tcMar>
            <w:vAlign w:val="center"/>
          </w:tcPr>
          <w:p w14:paraId="093F74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0.9948</w:t>
            </w:r>
          </w:p>
        </w:tc>
        <w:tc>
          <w:tcPr>
            <w:tcW w:w="1134" w:type="dxa"/>
            <w:tcBorders>
              <w:top w:val="nil"/>
              <w:left w:val="nil"/>
              <w:bottom w:val="nil"/>
              <w:right w:val="nil"/>
            </w:tcBorders>
            <w:shd w:val="clear" w:color="auto" w:fill="FFFFFF"/>
            <w:tcMar>
              <w:left w:w="67" w:type="dxa"/>
              <w:right w:w="67" w:type="dxa"/>
            </w:tcMar>
            <w:vAlign w:val="center"/>
          </w:tcPr>
          <w:p w14:paraId="6261A2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1.0065</w:t>
            </w:r>
          </w:p>
        </w:tc>
        <w:tc>
          <w:tcPr>
            <w:tcW w:w="1134" w:type="dxa"/>
            <w:tcBorders>
              <w:top w:val="nil"/>
              <w:left w:val="nil"/>
              <w:bottom w:val="nil"/>
              <w:right w:val="nil"/>
            </w:tcBorders>
            <w:shd w:val="clear" w:color="auto" w:fill="FFFFFF"/>
            <w:tcMar>
              <w:left w:w="67" w:type="dxa"/>
              <w:right w:w="67" w:type="dxa"/>
            </w:tcMar>
            <w:vAlign w:val="center"/>
          </w:tcPr>
          <w:p w14:paraId="56A7F2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w:t>
            </w:r>
          </w:p>
        </w:tc>
        <w:tc>
          <w:tcPr>
            <w:tcW w:w="567" w:type="dxa"/>
            <w:tcBorders>
              <w:top w:val="nil"/>
              <w:left w:val="nil"/>
              <w:bottom w:val="nil"/>
              <w:right w:val="nil"/>
            </w:tcBorders>
            <w:shd w:val="clear" w:color="auto" w:fill="FFFFFF"/>
            <w:tcMar>
              <w:left w:w="67" w:type="dxa"/>
              <w:right w:w="67" w:type="dxa"/>
            </w:tcMar>
            <w:vAlign w:val="center"/>
          </w:tcPr>
          <w:p w14:paraId="041191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14FE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0.8037</w:t>
            </w:r>
          </w:p>
        </w:tc>
      </w:tr>
      <w:tr w:rsidR="00B77EA3" w:rsidRPr="0082484A" w14:paraId="62900C47"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F10A87E"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D1CC1A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33E73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DD14A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0.0834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13690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1.0335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5512D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0.8573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63DF7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1.2460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2537E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832F3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5BA2E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0.6924</w:t>
            </w:r>
          </w:p>
        </w:tc>
      </w:tr>
    </w:tbl>
    <w:p w14:paraId="4B33EFBC"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their Haemoglobin A1c levels measured in the previous 12 months is -1283</w:t>
      </w:r>
    </w:p>
    <w:p w14:paraId="2280E760" w14:textId="77777777" w:rsidR="00B77EA3" w:rsidRPr="0082484A" w:rsidRDefault="00B77EA3" w:rsidP="00B77EA3">
      <w:pPr>
        <w:spacing w:before="0" w:after="160" w:line="259" w:lineRule="auto"/>
        <w:rPr>
          <w:sz w:val="22"/>
          <w:szCs w:val="22"/>
        </w:rPr>
      </w:pPr>
      <w:r w:rsidRPr="0082484A">
        <w:rPr>
          <w:sz w:val="22"/>
          <w:szCs w:val="22"/>
        </w:rPr>
        <w:br w:type="page"/>
      </w:r>
    </w:p>
    <w:p w14:paraId="46390CD1" w14:textId="2503978A" w:rsidR="00B77EA3" w:rsidRPr="0082484A" w:rsidRDefault="00B77EA3" w:rsidP="00B77EA3">
      <w:pPr>
        <w:spacing w:before="0" w:line="240" w:lineRule="auto"/>
        <w:rPr>
          <w:bCs/>
          <w:sz w:val="22"/>
          <w:szCs w:val="22"/>
        </w:rPr>
      </w:pPr>
      <w:bookmarkStart w:id="67" w:name="_Ref502917777"/>
      <w:bookmarkStart w:id="68" w:name="_Toc8728092"/>
      <w:bookmarkStart w:id="69" w:name="_Toc19526747"/>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18</w:t>
      </w:r>
      <w:r w:rsidRPr="0082484A">
        <w:rPr>
          <w:bCs/>
          <w:noProof/>
          <w:sz w:val="22"/>
          <w:szCs w:val="22"/>
        </w:rPr>
        <w:fldChar w:fldCharType="end"/>
      </w:r>
      <w:bookmarkEnd w:id="67"/>
      <w:r w:rsidRPr="0082484A">
        <w:rPr>
          <w:bCs/>
          <w:sz w:val="22"/>
          <w:szCs w:val="22"/>
        </w:rPr>
        <w:t>: Secondary outcome for Trial 1: The proportion of patients with Type 2 diabetes having a full lipid profile performed in the previous 12 months (WP4A)</w:t>
      </w:r>
      <w:r w:rsidRPr="0082484A">
        <w:rPr>
          <w:bCs/>
          <w:sz w:val="22"/>
          <w:szCs w:val="22"/>
          <w:vertAlign w:val="superscript"/>
        </w:rPr>
        <w:t xml:space="preserve"> a</w:t>
      </w:r>
      <w:bookmarkEnd w:id="68"/>
      <w:bookmarkEnd w:id="69"/>
      <w:r w:rsidR="00930CFA">
        <w:rPr>
          <w:bCs/>
          <w:sz w:val="22"/>
          <w:szCs w:val="22"/>
          <w:vertAlign w:val="superscript"/>
        </w:rPr>
        <w:t>, b</w:t>
      </w:r>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1DBBECE7"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5AD7795" w14:textId="77777777" w:rsidR="00B77EA3" w:rsidRPr="0082484A" w:rsidRDefault="00B77EA3" w:rsidP="00B77EA3">
            <w:pPr>
              <w:spacing w:beforeLines="10" w:before="24" w:afterLines="10" w:after="24" w:line="240" w:lineRule="auto"/>
              <w:rPr>
                <w:bCs/>
                <w:sz w:val="22"/>
                <w:szCs w:val="22"/>
              </w:rPr>
            </w:pPr>
            <w:bookmarkStart w:id="70" w:name="IDX100"/>
            <w:bookmarkEnd w:id="70"/>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AD157CF"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C22816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2CA56A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76A4A0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3A621A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76669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ED7E51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B7CA25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76D78B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6C2F6F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D7C2226"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2E36E98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BAA35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-0.0072</w:t>
            </w:r>
          </w:p>
        </w:tc>
        <w:tc>
          <w:tcPr>
            <w:tcW w:w="1134" w:type="dxa"/>
            <w:tcBorders>
              <w:top w:val="nil"/>
              <w:left w:val="nil"/>
              <w:bottom w:val="nil"/>
              <w:right w:val="nil"/>
            </w:tcBorders>
            <w:shd w:val="clear" w:color="auto" w:fill="FFFFFF"/>
            <w:tcMar>
              <w:left w:w="67" w:type="dxa"/>
              <w:right w:w="67" w:type="dxa"/>
            </w:tcMar>
            <w:vAlign w:val="center"/>
          </w:tcPr>
          <w:p w14:paraId="1BE22E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0.1121</w:t>
            </w:r>
          </w:p>
        </w:tc>
        <w:tc>
          <w:tcPr>
            <w:tcW w:w="1134" w:type="dxa"/>
            <w:tcBorders>
              <w:top w:val="nil"/>
              <w:left w:val="nil"/>
              <w:bottom w:val="nil"/>
              <w:right w:val="nil"/>
            </w:tcBorders>
            <w:shd w:val="clear" w:color="auto" w:fill="FFFFFF"/>
            <w:tcMar>
              <w:left w:w="67" w:type="dxa"/>
              <w:right w:w="67" w:type="dxa"/>
            </w:tcMar>
            <w:vAlign w:val="center"/>
          </w:tcPr>
          <w:p w14:paraId="4F27EA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0.9928</w:t>
            </w:r>
          </w:p>
        </w:tc>
        <w:tc>
          <w:tcPr>
            <w:tcW w:w="1134" w:type="dxa"/>
            <w:tcBorders>
              <w:top w:val="nil"/>
              <w:left w:val="nil"/>
              <w:bottom w:val="nil"/>
              <w:right w:val="nil"/>
            </w:tcBorders>
            <w:shd w:val="clear" w:color="auto" w:fill="FFFFFF"/>
            <w:tcMar>
              <w:left w:w="67" w:type="dxa"/>
              <w:right w:w="67" w:type="dxa"/>
            </w:tcMar>
            <w:vAlign w:val="center"/>
          </w:tcPr>
          <w:p w14:paraId="4956EC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0.7722</w:t>
            </w:r>
          </w:p>
        </w:tc>
        <w:tc>
          <w:tcPr>
            <w:tcW w:w="1134" w:type="dxa"/>
            <w:tcBorders>
              <w:top w:val="nil"/>
              <w:left w:val="nil"/>
              <w:bottom w:val="nil"/>
              <w:right w:val="nil"/>
            </w:tcBorders>
            <w:shd w:val="clear" w:color="auto" w:fill="FFFFFF"/>
            <w:tcMar>
              <w:left w:w="67" w:type="dxa"/>
              <w:right w:w="67" w:type="dxa"/>
            </w:tcMar>
            <w:vAlign w:val="center"/>
          </w:tcPr>
          <w:p w14:paraId="26BF51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1.2764</w:t>
            </w:r>
          </w:p>
        </w:tc>
        <w:tc>
          <w:tcPr>
            <w:tcW w:w="1134" w:type="dxa"/>
            <w:tcBorders>
              <w:top w:val="nil"/>
              <w:left w:val="nil"/>
              <w:bottom w:val="nil"/>
              <w:right w:val="nil"/>
            </w:tcBorders>
            <w:shd w:val="clear" w:color="auto" w:fill="FFFFFF"/>
            <w:tcMar>
              <w:left w:w="67" w:type="dxa"/>
              <w:right w:w="67" w:type="dxa"/>
            </w:tcMar>
            <w:vAlign w:val="center"/>
          </w:tcPr>
          <w:p w14:paraId="14B58D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3FE0E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9016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0.9485</w:t>
            </w:r>
          </w:p>
        </w:tc>
      </w:tr>
      <w:tr w:rsidR="00B77EA3" w:rsidRPr="0082484A" w14:paraId="678EB86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0892ED5"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9D677C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3BDAA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-0.1082</w:t>
            </w:r>
          </w:p>
        </w:tc>
        <w:tc>
          <w:tcPr>
            <w:tcW w:w="1134" w:type="dxa"/>
            <w:tcBorders>
              <w:top w:val="nil"/>
              <w:left w:val="nil"/>
              <w:bottom w:val="nil"/>
              <w:right w:val="nil"/>
            </w:tcBorders>
            <w:shd w:val="clear" w:color="auto" w:fill="FFFFFF"/>
            <w:tcMar>
              <w:left w:w="67" w:type="dxa"/>
              <w:right w:w="67" w:type="dxa"/>
            </w:tcMar>
            <w:vAlign w:val="center"/>
          </w:tcPr>
          <w:p w14:paraId="2E549C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0.0366</w:t>
            </w:r>
          </w:p>
        </w:tc>
        <w:tc>
          <w:tcPr>
            <w:tcW w:w="1134" w:type="dxa"/>
            <w:tcBorders>
              <w:top w:val="nil"/>
              <w:left w:val="nil"/>
              <w:bottom w:val="nil"/>
              <w:right w:val="nil"/>
            </w:tcBorders>
            <w:shd w:val="clear" w:color="auto" w:fill="FFFFFF"/>
            <w:tcMar>
              <w:left w:w="67" w:type="dxa"/>
              <w:right w:w="67" w:type="dxa"/>
            </w:tcMar>
            <w:vAlign w:val="center"/>
          </w:tcPr>
          <w:p w14:paraId="7F12FA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0.8974</w:t>
            </w:r>
          </w:p>
        </w:tc>
        <w:tc>
          <w:tcPr>
            <w:tcW w:w="1134" w:type="dxa"/>
            <w:tcBorders>
              <w:top w:val="nil"/>
              <w:left w:val="nil"/>
              <w:bottom w:val="nil"/>
              <w:right w:val="nil"/>
            </w:tcBorders>
            <w:shd w:val="clear" w:color="auto" w:fill="FFFFFF"/>
            <w:tcMar>
              <w:left w:w="67" w:type="dxa"/>
              <w:right w:w="67" w:type="dxa"/>
            </w:tcMar>
            <w:vAlign w:val="center"/>
          </w:tcPr>
          <w:p w14:paraId="161BBC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0.8267</w:t>
            </w:r>
          </w:p>
        </w:tc>
        <w:tc>
          <w:tcPr>
            <w:tcW w:w="1134" w:type="dxa"/>
            <w:tcBorders>
              <w:top w:val="nil"/>
              <w:left w:val="nil"/>
              <w:bottom w:val="nil"/>
              <w:right w:val="nil"/>
            </w:tcBorders>
            <w:shd w:val="clear" w:color="auto" w:fill="FFFFFF"/>
            <w:tcMar>
              <w:left w:w="67" w:type="dxa"/>
              <w:right w:w="67" w:type="dxa"/>
            </w:tcMar>
            <w:vAlign w:val="center"/>
          </w:tcPr>
          <w:p w14:paraId="411922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0.9743</w:t>
            </w:r>
          </w:p>
        </w:tc>
        <w:tc>
          <w:tcPr>
            <w:tcW w:w="1134" w:type="dxa"/>
            <w:tcBorders>
              <w:top w:val="nil"/>
              <w:left w:val="nil"/>
              <w:bottom w:val="nil"/>
              <w:right w:val="nil"/>
            </w:tcBorders>
            <w:shd w:val="clear" w:color="auto" w:fill="FFFFFF"/>
            <w:tcMar>
              <w:left w:w="67" w:type="dxa"/>
              <w:right w:w="67" w:type="dxa"/>
            </w:tcMar>
            <w:vAlign w:val="center"/>
          </w:tcPr>
          <w:p w14:paraId="7C42E9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8.72</w:t>
            </w:r>
          </w:p>
        </w:tc>
        <w:tc>
          <w:tcPr>
            <w:tcW w:w="567" w:type="dxa"/>
            <w:tcBorders>
              <w:top w:val="nil"/>
              <w:left w:val="nil"/>
              <w:bottom w:val="nil"/>
              <w:right w:val="nil"/>
            </w:tcBorders>
            <w:shd w:val="clear" w:color="auto" w:fill="FFFFFF"/>
            <w:tcMar>
              <w:left w:w="67" w:type="dxa"/>
              <w:right w:w="67" w:type="dxa"/>
            </w:tcMar>
            <w:vAlign w:val="center"/>
          </w:tcPr>
          <w:p w14:paraId="2E03E8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6F888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w:t>
            </w:r>
          </w:p>
        </w:tc>
      </w:tr>
      <w:tr w:rsidR="00B77EA3" w:rsidRPr="0082484A" w14:paraId="100A6C3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44AB51"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A6D3E3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F853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0.0128</w:t>
            </w:r>
          </w:p>
        </w:tc>
        <w:tc>
          <w:tcPr>
            <w:tcW w:w="1134" w:type="dxa"/>
            <w:tcBorders>
              <w:top w:val="nil"/>
              <w:left w:val="nil"/>
              <w:bottom w:val="nil"/>
              <w:right w:val="nil"/>
            </w:tcBorders>
            <w:shd w:val="clear" w:color="auto" w:fill="FFFFFF"/>
            <w:tcMar>
              <w:left w:w="67" w:type="dxa"/>
              <w:right w:w="67" w:type="dxa"/>
            </w:tcMar>
            <w:vAlign w:val="center"/>
          </w:tcPr>
          <w:p w14:paraId="20B352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1A79D4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1.0129</w:t>
            </w:r>
          </w:p>
        </w:tc>
        <w:tc>
          <w:tcPr>
            <w:tcW w:w="1134" w:type="dxa"/>
            <w:tcBorders>
              <w:top w:val="nil"/>
              <w:left w:val="nil"/>
              <w:bottom w:val="nil"/>
              <w:right w:val="nil"/>
            </w:tcBorders>
            <w:shd w:val="clear" w:color="auto" w:fill="FFFFFF"/>
            <w:tcMar>
              <w:left w:w="67" w:type="dxa"/>
              <w:right w:w="67" w:type="dxa"/>
            </w:tcMar>
            <w:vAlign w:val="center"/>
          </w:tcPr>
          <w:p w14:paraId="4EE4D8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1.0099</w:t>
            </w:r>
          </w:p>
        </w:tc>
        <w:tc>
          <w:tcPr>
            <w:tcW w:w="1134" w:type="dxa"/>
            <w:tcBorders>
              <w:top w:val="nil"/>
              <w:left w:val="nil"/>
              <w:bottom w:val="nil"/>
              <w:right w:val="nil"/>
            </w:tcBorders>
            <w:shd w:val="clear" w:color="auto" w:fill="FFFFFF"/>
            <w:tcMar>
              <w:left w:w="67" w:type="dxa"/>
              <w:right w:w="67" w:type="dxa"/>
            </w:tcMar>
            <w:vAlign w:val="center"/>
          </w:tcPr>
          <w:p w14:paraId="3C4D74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1.0160</w:t>
            </w:r>
          </w:p>
        </w:tc>
        <w:tc>
          <w:tcPr>
            <w:tcW w:w="1134" w:type="dxa"/>
            <w:tcBorders>
              <w:top w:val="nil"/>
              <w:left w:val="nil"/>
              <w:bottom w:val="nil"/>
              <w:right w:val="nil"/>
            </w:tcBorders>
            <w:shd w:val="clear" w:color="auto" w:fill="FFFFFF"/>
            <w:tcMar>
              <w:left w:w="67" w:type="dxa"/>
              <w:right w:w="67" w:type="dxa"/>
            </w:tcMar>
            <w:vAlign w:val="center"/>
          </w:tcPr>
          <w:p w14:paraId="027E10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91.72</w:t>
            </w:r>
          </w:p>
        </w:tc>
        <w:tc>
          <w:tcPr>
            <w:tcW w:w="567" w:type="dxa"/>
            <w:tcBorders>
              <w:top w:val="nil"/>
              <w:left w:val="nil"/>
              <w:bottom w:val="nil"/>
              <w:right w:val="nil"/>
            </w:tcBorders>
            <w:shd w:val="clear" w:color="auto" w:fill="FFFFFF"/>
            <w:tcMar>
              <w:left w:w="67" w:type="dxa"/>
              <w:right w:w="67" w:type="dxa"/>
            </w:tcMar>
            <w:vAlign w:val="center"/>
          </w:tcPr>
          <w:p w14:paraId="395979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898D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46C64EB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E766CE"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A5FD65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9AE71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6444B6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3B27BF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0.9993</w:t>
            </w:r>
          </w:p>
        </w:tc>
        <w:tc>
          <w:tcPr>
            <w:tcW w:w="1134" w:type="dxa"/>
            <w:tcBorders>
              <w:top w:val="nil"/>
              <w:left w:val="nil"/>
              <w:bottom w:val="nil"/>
              <w:right w:val="nil"/>
            </w:tcBorders>
            <w:shd w:val="clear" w:color="auto" w:fill="FFFFFF"/>
            <w:tcMar>
              <w:left w:w="67" w:type="dxa"/>
              <w:right w:w="67" w:type="dxa"/>
            </w:tcMar>
            <w:vAlign w:val="center"/>
          </w:tcPr>
          <w:p w14:paraId="7EE4F1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0.9954</w:t>
            </w:r>
          </w:p>
        </w:tc>
        <w:tc>
          <w:tcPr>
            <w:tcW w:w="1134" w:type="dxa"/>
            <w:tcBorders>
              <w:top w:val="nil"/>
              <w:left w:val="nil"/>
              <w:bottom w:val="nil"/>
              <w:right w:val="nil"/>
            </w:tcBorders>
            <w:shd w:val="clear" w:color="auto" w:fill="FFFFFF"/>
            <w:tcMar>
              <w:left w:w="67" w:type="dxa"/>
              <w:right w:w="67" w:type="dxa"/>
            </w:tcMar>
            <w:vAlign w:val="center"/>
          </w:tcPr>
          <w:p w14:paraId="30008E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1.0032</w:t>
            </w:r>
          </w:p>
        </w:tc>
        <w:tc>
          <w:tcPr>
            <w:tcW w:w="1134" w:type="dxa"/>
            <w:tcBorders>
              <w:top w:val="nil"/>
              <w:left w:val="nil"/>
              <w:bottom w:val="nil"/>
              <w:right w:val="nil"/>
            </w:tcBorders>
            <w:shd w:val="clear" w:color="auto" w:fill="FFFFFF"/>
            <w:tcMar>
              <w:left w:w="67" w:type="dxa"/>
              <w:right w:w="67" w:type="dxa"/>
            </w:tcMar>
            <w:vAlign w:val="center"/>
          </w:tcPr>
          <w:p w14:paraId="206BDF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w:t>
            </w:r>
          </w:p>
        </w:tc>
        <w:tc>
          <w:tcPr>
            <w:tcW w:w="567" w:type="dxa"/>
            <w:tcBorders>
              <w:top w:val="nil"/>
              <w:left w:val="nil"/>
              <w:bottom w:val="nil"/>
              <w:right w:val="nil"/>
            </w:tcBorders>
            <w:shd w:val="clear" w:color="auto" w:fill="FFFFFF"/>
            <w:tcMar>
              <w:left w:w="67" w:type="dxa"/>
              <w:right w:w="67" w:type="dxa"/>
            </w:tcMar>
            <w:vAlign w:val="center"/>
          </w:tcPr>
          <w:p w14:paraId="6569E9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B2BB4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0.6825</w:t>
            </w:r>
          </w:p>
        </w:tc>
      </w:tr>
      <w:tr w:rsidR="00B77EA3" w:rsidRPr="0082484A" w14:paraId="6C8DE82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C6807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A3A779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009F3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-0.3961</w:t>
            </w:r>
          </w:p>
        </w:tc>
        <w:tc>
          <w:tcPr>
            <w:tcW w:w="1134" w:type="dxa"/>
            <w:tcBorders>
              <w:top w:val="nil"/>
              <w:left w:val="nil"/>
              <w:bottom w:val="nil"/>
              <w:right w:val="nil"/>
            </w:tcBorders>
            <w:shd w:val="clear" w:color="auto" w:fill="FFFFFF"/>
            <w:tcMar>
              <w:left w:w="67" w:type="dxa"/>
              <w:right w:w="67" w:type="dxa"/>
            </w:tcMar>
            <w:vAlign w:val="center"/>
          </w:tcPr>
          <w:p w14:paraId="28DFCD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0.3072</w:t>
            </w:r>
          </w:p>
        </w:tc>
        <w:tc>
          <w:tcPr>
            <w:tcW w:w="1134" w:type="dxa"/>
            <w:tcBorders>
              <w:top w:val="nil"/>
              <w:left w:val="nil"/>
              <w:bottom w:val="nil"/>
              <w:right w:val="nil"/>
            </w:tcBorders>
            <w:shd w:val="clear" w:color="auto" w:fill="FFFFFF"/>
            <w:tcMar>
              <w:left w:w="67" w:type="dxa"/>
              <w:right w:w="67" w:type="dxa"/>
            </w:tcMar>
            <w:vAlign w:val="center"/>
          </w:tcPr>
          <w:p w14:paraId="2CE5F6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0.6729</w:t>
            </w:r>
          </w:p>
        </w:tc>
        <w:tc>
          <w:tcPr>
            <w:tcW w:w="1134" w:type="dxa"/>
            <w:tcBorders>
              <w:top w:val="nil"/>
              <w:left w:val="nil"/>
              <w:bottom w:val="nil"/>
              <w:right w:val="nil"/>
            </w:tcBorders>
            <w:shd w:val="clear" w:color="auto" w:fill="FFFFFF"/>
            <w:tcMar>
              <w:left w:w="67" w:type="dxa"/>
              <w:right w:w="67" w:type="dxa"/>
            </w:tcMar>
            <w:vAlign w:val="center"/>
          </w:tcPr>
          <w:p w14:paraId="0D29AB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0.3380</w:t>
            </w:r>
          </w:p>
        </w:tc>
        <w:tc>
          <w:tcPr>
            <w:tcW w:w="1134" w:type="dxa"/>
            <w:tcBorders>
              <w:top w:val="nil"/>
              <w:left w:val="nil"/>
              <w:bottom w:val="nil"/>
              <w:right w:val="nil"/>
            </w:tcBorders>
            <w:shd w:val="clear" w:color="auto" w:fill="FFFFFF"/>
            <w:tcMar>
              <w:left w:w="67" w:type="dxa"/>
              <w:right w:w="67" w:type="dxa"/>
            </w:tcMar>
            <w:vAlign w:val="center"/>
          </w:tcPr>
          <w:p w14:paraId="12ADB2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1.3398</w:t>
            </w:r>
          </w:p>
        </w:tc>
        <w:tc>
          <w:tcPr>
            <w:tcW w:w="1134" w:type="dxa"/>
            <w:tcBorders>
              <w:top w:val="nil"/>
              <w:left w:val="nil"/>
              <w:bottom w:val="nil"/>
              <w:right w:val="nil"/>
            </w:tcBorders>
            <w:shd w:val="clear" w:color="auto" w:fill="FFFFFF"/>
            <w:tcMar>
              <w:left w:w="67" w:type="dxa"/>
              <w:right w:w="67" w:type="dxa"/>
            </w:tcMar>
            <w:vAlign w:val="center"/>
          </w:tcPr>
          <w:p w14:paraId="2CB106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3.28</w:t>
            </w:r>
          </w:p>
        </w:tc>
        <w:tc>
          <w:tcPr>
            <w:tcW w:w="567" w:type="dxa"/>
            <w:tcBorders>
              <w:top w:val="nil"/>
              <w:left w:val="nil"/>
              <w:bottom w:val="nil"/>
              <w:right w:val="nil"/>
            </w:tcBorders>
            <w:shd w:val="clear" w:color="auto" w:fill="FFFFFF"/>
            <w:tcMar>
              <w:left w:w="67" w:type="dxa"/>
              <w:right w:w="67" w:type="dxa"/>
            </w:tcMar>
            <w:vAlign w:val="center"/>
          </w:tcPr>
          <w:p w14:paraId="1E5C57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8A37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r>
      <w:tr w:rsidR="00B77EA3" w:rsidRPr="0082484A" w14:paraId="34213A8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B11372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7EACF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BE3D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0.1002</w:t>
            </w:r>
          </w:p>
        </w:tc>
        <w:tc>
          <w:tcPr>
            <w:tcW w:w="1134" w:type="dxa"/>
            <w:tcBorders>
              <w:top w:val="nil"/>
              <w:left w:val="nil"/>
              <w:bottom w:val="nil"/>
              <w:right w:val="nil"/>
            </w:tcBorders>
            <w:shd w:val="clear" w:color="auto" w:fill="FFFFFF"/>
            <w:tcMar>
              <w:left w:w="67" w:type="dxa"/>
              <w:right w:w="67" w:type="dxa"/>
            </w:tcMar>
            <w:vAlign w:val="center"/>
          </w:tcPr>
          <w:p w14:paraId="094ED8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0.2806</w:t>
            </w:r>
          </w:p>
        </w:tc>
        <w:tc>
          <w:tcPr>
            <w:tcW w:w="1134" w:type="dxa"/>
            <w:tcBorders>
              <w:top w:val="nil"/>
              <w:left w:val="nil"/>
              <w:bottom w:val="nil"/>
              <w:right w:val="nil"/>
            </w:tcBorders>
            <w:shd w:val="clear" w:color="auto" w:fill="FFFFFF"/>
            <w:tcMar>
              <w:left w:w="67" w:type="dxa"/>
              <w:right w:w="67" w:type="dxa"/>
            </w:tcMar>
            <w:vAlign w:val="center"/>
          </w:tcPr>
          <w:p w14:paraId="30C521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1.1054</w:t>
            </w:r>
          </w:p>
        </w:tc>
        <w:tc>
          <w:tcPr>
            <w:tcW w:w="1134" w:type="dxa"/>
            <w:tcBorders>
              <w:top w:val="nil"/>
              <w:left w:val="nil"/>
              <w:bottom w:val="nil"/>
              <w:right w:val="nil"/>
            </w:tcBorders>
            <w:shd w:val="clear" w:color="auto" w:fill="FFFFFF"/>
            <w:tcMar>
              <w:left w:w="67" w:type="dxa"/>
              <w:right w:w="67" w:type="dxa"/>
            </w:tcMar>
            <w:vAlign w:val="center"/>
          </w:tcPr>
          <w:p w14:paraId="159103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0.5893</w:t>
            </w:r>
          </w:p>
        </w:tc>
        <w:tc>
          <w:tcPr>
            <w:tcW w:w="1134" w:type="dxa"/>
            <w:tcBorders>
              <w:top w:val="nil"/>
              <w:left w:val="nil"/>
              <w:bottom w:val="nil"/>
              <w:right w:val="nil"/>
            </w:tcBorders>
            <w:shd w:val="clear" w:color="auto" w:fill="FFFFFF"/>
            <w:tcMar>
              <w:left w:w="67" w:type="dxa"/>
              <w:right w:w="67" w:type="dxa"/>
            </w:tcMar>
            <w:vAlign w:val="center"/>
          </w:tcPr>
          <w:p w14:paraId="774400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2.0733</w:t>
            </w:r>
          </w:p>
        </w:tc>
        <w:tc>
          <w:tcPr>
            <w:tcW w:w="1134" w:type="dxa"/>
            <w:tcBorders>
              <w:top w:val="nil"/>
              <w:left w:val="nil"/>
              <w:bottom w:val="nil"/>
              <w:right w:val="nil"/>
            </w:tcBorders>
            <w:shd w:val="clear" w:color="auto" w:fill="FFFFFF"/>
            <w:tcMar>
              <w:left w:w="67" w:type="dxa"/>
              <w:right w:w="67" w:type="dxa"/>
            </w:tcMar>
            <w:vAlign w:val="center"/>
          </w:tcPr>
          <w:p w14:paraId="06DA4BC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F9AF3C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87003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A79564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CFAF4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F83126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65BF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-0.2358</w:t>
            </w:r>
          </w:p>
        </w:tc>
        <w:tc>
          <w:tcPr>
            <w:tcW w:w="1134" w:type="dxa"/>
            <w:tcBorders>
              <w:top w:val="nil"/>
              <w:left w:val="nil"/>
              <w:bottom w:val="nil"/>
              <w:right w:val="nil"/>
            </w:tcBorders>
            <w:shd w:val="clear" w:color="auto" w:fill="FFFFFF"/>
            <w:tcMar>
              <w:left w:w="67" w:type="dxa"/>
              <w:right w:w="67" w:type="dxa"/>
            </w:tcMar>
            <w:vAlign w:val="center"/>
          </w:tcPr>
          <w:p w14:paraId="246F7E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0.2015</w:t>
            </w:r>
          </w:p>
        </w:tc>
        <w:tc>
          <w:tcPr>
            <w:tcW w:w="1134" w:type="dxa"/>
            <w:tcBorders>
              <w:top w:val="nil"/>
              <w:left w:val="nil"/>
              <w:bottom w:val="nil"/>
              <w:right w:val="nil"/>
            </w:tcBorders>
            <w:shd w:val="clear" w:color="auto" w:fill="FFFFFF"/>
            <w:tcMar>
              <w:left w:w="67" w:type="dxa"/>
              <w:right w:w="67" w:type="dxa"/>
            </w:tcMar>
            <w:vAlign w:val="center"/>
          </w:tcPr>
          <w:p w14:paraId="645FF2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0.7899</w:t>
            </w:r>
          </w:p>
        </w:tc>
        <w:tc>
          <w:tcPr>
            <w:tcW w:w="1134" w:type="dxa"/>
            <w:tcBorders>
              <w:top w:val="nil"/>
              <w:left w:val="nil"/>
              <w:bottom w:val="nil"/>
              <w:right w:val="nil"/>
            </w:tcBorders>
            <w:shd w:val="clear" w:color="auto" w:fill="FFFFFF"/>
            <w:tcMar>
              <w:left w:w="67" w:type="dxa"/>
              <w:right w:w="67" w:type="dxa"/>
            </w:tcMar>
            <w:vAlign w:val="center"/>
          </w:tcPr>
          <w:p w14:paraId="4FE936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0.5029</w:t>
            </w:r>
          </w:p>
        </w:tc>
        <w:tc>
          <w:tcPr>
            <w:tcW w:w="1134" w:type="dxa"/>
            <w:tcBorders>
              <w:top w:val="nil"/>
              <w:left w:val="nil"/>
              <w:bottom w:val="nil"/>
              <w:right w:val="nil"/>
            </w:tcBorders>
            <w:shd w:val="clear" w:color="auto" w:fill="FFFFFF"/>
            <w:tcMar>
              <w:left w:w="67" w:type="dxa"/>
              <w:right w:w="67" w:type="dxa"/>
            </w:tcMar>
            <w:vAlign w:val="center"/>
          </w:tcPr>
          <w:p w14:paraId="40D73C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1.2409</w:t>
            </w:r>
          </w:p>
        </w:tc>
        <w:tc>
          <w:tcPr>
            <w:tcW w:w="1134" w:type="dxa"/>
            <w:tcBorders>
              <w:top w:val="nil"/>
              <w:left w:val="nil"/>
              <w:bottom w:val="nil"/>
              <w:right w:val="nil"/>
            </w:tcBorders>
            <w:shd w:val="clear" w:color="auto" w:fill="FFFFFF"/>
            <w:tcMar>
              <w:left w:w="67" w:type="dxa"/>
              <w:right w:w="67" w:type="dxa"/>
            </w:tcMar>
            <w:vAlign w:val="center"/>
          </w:tcPr>
          <w:p w14:paraId="1C2C01C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F4E20E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518C1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82DF11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BF0CE6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2ACD7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1805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-0.5531</w:t>
            </w:r>
          </w:p>
        </w:tc>
        <w:tc>
          <w:tcPr>
            <w:tcW w:w="1134" w:type="dxa"/>
            <w:tcBorders>
              <w:top w:val="nil"/>
              <w:left w:val="nil"/>
              <w:bottom w:val="nil"/>
              <w:right w:val="nil"/>
            </w:tcBorders>
            <w:shd w:val="clear" w:color="auto" w:fill="FFFFFF"/>
            <w:tcMar>
              <w:left w:w="67" w:type="dxa"/>
              <w:right w:w="67" w:type="dxa"/>
            </w:tcMar>
            <w:vAlign w:val="center"/>
          </w:tcPr>
          <w:p w14:paraId="05A621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0.2780</w:t>
            </w:r>
          </w:p>
        </w:tc>
        <w:tc>
          <w:tcPr>
            <w:tcW w:w="1134" w:type="dxa"/>
            <w:tcBorders>
              <w:top w:val="nil"/>
              <w:left w:val="nil"/>
              <w:bottom w:val="nil"/>
              <w:right w:val="nil"/>
            </w:tcBorders>
            <w:shd w:val="clear" w:color="auto" w:fill="FFFFFF"/>
            <w:tcMar>
              <w:left w:w="67" w:type="dxa"/>
              <w:right w:w="67" w:type="dxa"/>
            </w:tcMar>
            <w:vAlign w:val="center"/>
          </w:tcPr>
          <w:p w14:paraId="515058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0.5751</w:t>
            </w:r>
          </w:p>
        </w:tc>
        <w:tc>
          <w:tcPr>
            <w:tcW w:w="1134" w:type="dxa"/>
            <w:tcBorders>
              <w:top w:val="nil"/>
              <w:left w:val="nil"/>
              <w:bottom w:val="nil"/>
              <w:right w:val="nil"/>
            </w:tcBorders>
            <w:shd w:val="clear" w:color="auto" w:fill="FFFFFF"/>
            <w:tcMar>
              <w:left w:w="67" w:type="dxa"/>
              <w:right w:w="67" w:type="dxa"/>
            </w:tcMar>
            <w:vAlign w:val="center"/>
          </w:tcPr>
          <w:p w14:paraId="126D0F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0.3085</w:t>
            </w:r>
          </w:p>
        </w:tc>
        <w:tc>
          <w:tcPr>
            <w:tcW w:w="1134" w:type="dxa"/>
            <w:tcBorders>
              <w:top w:val="nil"/>
              <w:left w:val="nil"/>
              <w:bottom w:val="nil"/>
              <w:right w:val="nil"/>
            </w:tcBorders>
            <w:shd w:val="clear" w:color="auto" w:fill="FFFFFF"/>
            <w:tcMar>
              <w:left w:w="67" w:type="dxa"/>
              <w:right w:w="67" w:type="dxa"/>
            </w:tcMar>
            <w:vAlign w:val="center"/>
          </w:tcPr>
          <w:p w14:paraId="7D052E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1.0724</w:t>
            </w:r>
          </w:p>
        </w:tc>
        <w:tc>
          <w:tcPr>
            <w:tcW w:w="1134" w:type="dxa"/>
            <w:tcBorders>
              <w:top w:val="nil"/>
              <w:left w:val="nil"/>
              <w:bottom w:val="nil"/>
              <w:right w:val="nil"/>
            </w:tcBorders>
            <w:shd w:val="clear" w:color="auto" w:fill="FFFFFF"/>
            <w:tcMar>
              <w:left w:w="67" w:type="dxa"/>
              <w:right w:w="67" w:type="dxa"/>
            </w:tcMar>
            <w:vAlign w:val="center"/>
          </w:tcPr>
          <w:p w14:paraId="4AD1FEF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52ED93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50EA0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B127DA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587F40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BAA5CA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1B078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-0.4029</w:t>
            </w:r>
          </w:p>
        </w:tc>
        <w:tc>
          <w:tcPr>
            <w:tcW w:w="1134" w:type="dxa"/>
            <w:tcBorders>
              <w:top w:val="nil"/>
              <w:left w:val="nil"/>
              <w:bottom w:val="nil"/>
              <w:right w:val="nil"/>
            </w:tcBorders>
            <w:shd w:val="clear" w:color="auto" w:fill="FFFFFF"/>
            <w:tcMar>
              <w:left w:w="67" w:type="dxa"/>
              <w:right w:w="67" w:type="dxa"/>
            </w:tcMar>
            <w:vAlign w:val="center"/>
          </w:tcPr>
          <w:p w14:paraId="5A0737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0.2775</w:t>
            </w:r>
          </w:p>
        </w:tc>
        <w:tc>
          <w:tcPr>
            <w:tcW w:w="1134" w:type="dxa"/>
            <w:tcBorders>
              <w:top w:val="nil"/>
              <w:left w:val="nil"/>
              <w:bottom w:val="nil"/>
              <w:right w:val="nil"/>
            </w:tcBorders>
            <w:shd w:val="clear" w:color="auto" w:fill="FFFFFF"/>
            <w:tcMar>
              <w:left w:w="67" w:type="dxa"/>
              <w:right w:w="67" w:type="dxa"/>
            </w:tcMar>
            <w:vAlign w:val="center"/>
          </w:tcPr>
          <w:p w14:paraId="61D698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0.6684</w:t>
            </w:r>
          </w:p>
        </w:tc>
        <w:tc>
          <w:tcPr>
            <w:tcW w:w="1134" w:type="dxa"/>
            <w:tcBorders>
              <w:top w:val="nil"/>
              <w:left w:val="nil"/>
              <w:bottom w:val="nil"/>
              <w:right w:val="nil"/>
            </w:tcBorders>
            <w:shd w:val="clear" w:color="auto" w:fill="FFFFFF"/>
            <w:tcMar>
              <w:left w:w="67" w:type="dxa"/>
              <w:right w:w="67" w:type="dxa"/>
            </w:tcMar>
            <w:vAlign w:val="center"/>
          </w:tcPr>
          <w:p w14:paraId="00A45C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0.3588</w:t>
            </w:r>
          </w:p>
        </w:tc>
        <w:tc>
          <w:tcPr>
            <w:tcW w:w="1134" w:type="dxa"/>
            <w:tcBorders>
              <w:top w:val="nil"/>
              <w:left w:val="nil"/>
              <w:bottom w:val="nil"/>
              <w:right w:val="nil"/>
            </w:tcBorders>
            <w:shd w:val="clear" w:color="auto" w:fill="FFFFFF"/>
            <w:tcMar>
              <w:left w:w="67" w:type="dxa"/>
              <w:right w:w="67" w:type="dxa"/>
            </w:tcMar>
            <w:vAlign w:val="center"/>
          </w:tcPr>
          <w:p w14:paraId="3C6E65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1.2450</w:t>
            </w:r>
          </w:p>
        </w:tc>
        <w:tc>
          <w:tcPr>
            <w:tcW w:w="1134" w:type="dxa"/>
            <w:tcBorders>
              <w:top w:val="nil"/>
              <w:left w:val="nil"/>
              <w:bottom w:val="nil"/>
              <w:right w:val="nil"/>
            </w:tcBorders>
            <w:shd w:val="clear" w:color="auto" w:fill="FFFFFF"/>
            <w:tcMar>
              <w:left w:w="67" w:type="dxa"/>
              <w:right w:w="67" w:type="dxa"/>
            </w:tcMar>
            <w:vAlign w:val="center"/>
          </w:tcPr>
          <w:p w14:paraId="722D5D3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15E372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76150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CA5444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F6C032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C2D16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E93B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-0.1877</w:t>
            </w:r>
          </w:p>
        </w:tc>
        <w:tc>
          <w:tcPr>
            <w:tcW w:w="1134" w:type="dxa"/>
            <w:tcBorders>
              <w:top w:val="nil"/>
              <w:left w:val="nil"/>
              <w:bottom w:val="nil"/>
              <w:right w:val="nil"/>
            </w:tcBorders>
            <w:shd w:val="clear" w:color="auto" w:fill="FFFFFF"/>
            <w:tcMar>
              <w:left w:w="67" w:type="dxa"/>
              <w:right w:w="67" w:type="dxa"/>
            </w:tcMar>
            <w:vAlign w:val="center"/>
          </w:tcPr>
          <w:p w14:paraId="2F8991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0.2892</w:t>
            </w:r>
          </w:p>
        </w:tc>
        <w:tc>
          <w:tcPr>
            <w:tcW w:w="1134" w:type="dxa"/>
            <w:tcBorders>
              <w:top w:val="nil"/>
              <w:left w:val="nil"/>
              <w:bottom w:val="nil"/>
              <w:right w:val="nil"/>
            </w:tcBorders>
            <w:shd w:val="clear" w:color="auto" w:fill="FFFFFF"/>
            <w:tcMar>
              <w:left w:w="67" w:type="dxa"/>
              <w:right w:w="67" w:type="dxa"/>
            </w:tcMar>
            <w:vAlign w:val="center"/>
          </w:tcPr>
          <w:p w14:paraId="4BA354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0.8289</w:t>
            </w:r>
          </w:p>
        </w:tc>
        <w:tc>
          <w:tcPr>
            <w:tcW w:w="1134" w:type="dxa"/>
            <w:tcBorders>
              <w:top w:val="nil"/>
              <w:left w:val="nil"/>
              <w:bottom w:val="nil"/>
              <w:right w:val="nil"/>
            </w:tcBorders>
            <w:shd w:val="clear" w:color="auto" w:fill="FFFFFF"/>
            <w:tcMar>
              <w:left w:w="67" w:type="dxa"/>
              <w:right w:w="67" w:type="dxa"/>
            </w:tcMar>
            <w:vAlign w:val="center"/>
          </w:tcPr>
          <w:p w14:paraId="53E21C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0.4335</w:t>
            </w:r>
          </w:p>
        </w:tc>
        <w:tc>
          <w:tcPr>
            <w:tcW w:w="1134" w:type="dxa"/>
            <w:tcBorders>
              <w:top w:val="nil"/>
              <w:left w:val="nil"/>
              <w:bottom w:val="nil"/>
              <w:right w:val="nil"/>
            </w:tcBorders>
            <w:shd w:val="clear" w:color="auto" w:fill="FFFFFF"/>
            <w:tcMar>
              <w:left w:w="67" w:type="dxa"/>
              <w:right w:w="67" w:type="dxa"/>
            </w:tcMar>
            <w:vAlign w:val="center"/>
          </w:tcPr>
          <w:p w14:paraId="246CD4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1.5850</w:t>
            </w:r>
          </w:p>
        </w:tc>
        <w:tc>
          <w:tcPr>
            <w:tcW w:w="1134" w:type="dxa"/>
            <w:tcBorders>
              <w:top w:val="nil"/>
              <w:left w:val="nil"/>
              <w:bottom w:val="nil"/>
              <w:right w:val="nil"/>
            </w:tcBorders>
            <w:shd w:val="clear" w:color="auto" w:fill="FFFFFF"/>
            <w:tcMar>
              <w:left w:w="67" w:type="dxa"/>
              <w:right w:w="67" w:type="dxa"/>
            </w:tcMar>
            <w:vAlign w:val="center"/>
          </w:tcPr>
          <w:p w14:paraId="7E282A8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F40E3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D1AB4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1DE2F7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38033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EE06F7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321B0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-0.5311</w:t>
            </w:r>
          </w:p>
        </w:tc>
        <w:tc>
          <w:tcPr>
            <w:tcW w:w="1134" w:type="dxa"/>
            <w:tcBorders>
              <w:top w:val="nil"/>
              <w:left w:val="nil"/>
              <w:bottom w:val="nil"/>
              <w:right w:val="nil"/>
            </w:tcBorders>
            <w:shd w:val="clear" w:color="auto" w:fill="FFFFFF"/>
            <w:tcMar>
              <w:left w:w="67" w:type="dxa"/>
              <w:right w:w="67" w:type="dxa"/>
            </w:tcMar>
            <w:vAlign w:val="center"/>
          </w:tcPr>
          <w:p w14:paraId="4E7751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0.2382</w:t>
            </w:r>
          </w:p>
        </w:tc>
        <w:tc>
          <w:tcPr>
            <w:tcW w:w="1134" w:type="dxa"/>
            <w:tcBorders>
              <w:top w:val="nil"/>
              <w:left w:val="nil"/>
              <w:bottom w:val="nil"/>
              <w:right w:val="nil"/>
            </w:tcBorders>
            <w:shd w:val="clear" w:color="auto" w:fill="FFFFFF"/>
            <w:tcMar>
              <w:left w:w="67" w:type="dxa"/>
              <w:right w:w="67" w:type="dxa"/>
            </w:tcMar>
            <w:vAlign w:val="center"/>
          </w:tcPr>
          <w:p w14:paraId="527A94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0.5880</w:t>
            </w:r>
          </w:p>
        </w:tc>
        <w:tc>
          <w:tcPr>
            <w:tcW w:w="1134" w:type="dxa"/>
            <w:tcBorders>
              <w:top w:val="nil"/>
              <w:left w:val="nil"/>
              <w:bottom w:val="nil"/>
              <w:right w:val="nil"/>
            </w:tcBorders>
            <w:shd w:val="clear" w:color="auto" w:fill="FFFFFF"/>
            <w:tcMar>
              <w:left w:w="67" w:type="dxa"/>
              <w:right w:w="67" w:type="dxa"/>
            </w:tcMar>
            <w:vAlign w:val="center"/>
          </w:tcPr>
          <w:p w14:paraId="43A70D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0.3448</w:t>
            </w:r>
          </w:p>
        </w:tc>
        <w:tc>
          <w:tcPr>
            <w:tcW w:w="1134" w:type="dxa"/>
            <w:tcBorders>
              <w:top w:val="nil"/>
              <w:left w:val="nil"/>
              <w:bottom w:val="nil"/>
              <w:right w:val="nil"/>
            </w:tcBorders>
            <w:shd w:val="clear" w:color="auto" w:fill="FFFFFF"/>
            <w:tcMar>
              <w:left w:w="67" w:type="dxa"/>
              <w:right w:w="67" w:type="dxa"/>
            </w:tcMar>
            <w:vAlign w:val="center"/>
          </w:tcPr>
          <w:p w14:paraId="7AC111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1.0028</w:t>
            </w:r>
          </w:p>
        </w:tc>
        <w:tc>
          <w:tcPr>
            <w:tcW w:w="1134" w:type="dxa"/>
            <w:tcBorders>
              <w:top w:val="nil"/>
              <w:left w:val="nil"/>
              <w:bottom w:val="nil"/>
              <w:right w:val="nil"/>
            </w:tcBorders>
            <w:shd w:val="clear" w:color="auto" w:fill="FFFFFF"/>
            <w:tcMar>
              <w:left w:w="67" w:type="dxa"/>
              <w:right w:w="67" w:type="dxa"/>
            </w:tcMar>
            <w:vAlign w:val="center"/>
          </w:tcPr>
          <w:p w14:paraId="5BD0000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9EC34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B6120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A90A2C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3D0E14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F5EEE8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7F0AD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-0.5084</w:t>
            </w:r>
          </w:p>
        </w:tc>
        <w:tc>
          <w:tcPr>
            <w:tcW w:w="1134" w:type="dxa"/>
            <w:tcBorders>
              <w:top w:val="nil"/>
              <w:left w:val="nil"/>
              <w:bottom w:val="nil"/>
              <w:right w:val="nil"/>
            </w:tcBorders>
            <w:shd w:val="clear" w:color="auto" w:fill="FFFFFF"/>
            <w:tcMar>
              <w:left w:w="67" w:type="dxa"/>
              <w:right w:w="67" w:type="dxa"/>
            </w:tcMar>
            <w:vAlign w:val="center"/>
          </w:tcPr>
          <w:p w14:paraId="774CEF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0.2744</w:t>
            </w:r>
          </w:p>
        </w:tc>
        <w:tc>
          <w:tcPr>
            <w:tcW w:w="1134" w:type="dxa"/>
            <w:tcBorders>
              <w:top w:val="nil"/>
              <w:left w:val="nil"/>
              <w:bottom w:val="nil"/>
              <w:right w:val="nil"/>
            </w:tcBorders>
            <w:shd w:val="clear" w:color="auto" w:fill="FFFFFF"/>
            <w:tcMar>
              <w:left w:w="67" w:type="dxa"/>
              <w:right w:w="67" w:type="dxa"/>
            </w:tcMar>
            <w:vAlign w:val="center"/>
          </w:tcPr>
          <w:p w14:paraId="5D7FA2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0.6014</w:t>
            </w:r>
          </w:p>
        </w:tc>
        <w:tc>
          <w:tcPr>
            <w:tcW w:w="1134" w:type="dxa"/>
            <w:tcBorders>
              <w:top w:val="nil"/>
              <w:left w:val="nil"/>
              <w:bottom w:val="nil"/>
              <w:right w:val="nil"/>
            </w:tcBorders>
            <w:shd w:val="clear" w:color="auto" w:fill="FFFFFF"/>
            <w:tcMar>
              <w:left w:w="67" w:type="dxa"/>
              <w:right w:w="67" w:type="dxa"/>
            </w:tcMar>
            <w:vAlign w:val="center"/>
          </w:tcPr>
          <w:p w14:paraId="04939C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0.3251</w:t>
            </w:r>
          </w:p>
        </w:tc>
        <w:tc>
          <w:tcPr>
            <w:tcW w:w="1134" w:type="dxa"/>
            <w:tcBorders>
              <w:top w:val="nil"/>
              <w:left w:val="nil"/>
              <w:bottom w:val="nil"/>
              <w:right w:val="nil"/>
            </w:tcBorders>
            <w:shd w:val="clear" w:color="auto" w:fill="FFFFFF"/>
            <w:tcMar>
              <w:left w:w="67" w:type="dxa"/>
              <w:right w:w="67" w:type="dxa"/>
            </w:tcMar>
            <w:vAlign w:val="center"/>
          </w:tcPr>
          <w:p w14:paraId="2DD6AC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1.1126</w:t>
            </w:r>
          </w:p>
        </w:tc>
        <w:tc>
          <w:tcPr>
            <w:tcW w:w="1134" w:type="dxa"/>
            <w:tcBorders>
              <w:top w:val="nil"/>
              <w:left w:val="nil"/>
              <w:bottom w:val="nil"/>
              <w:right w:val="nil"/>
            </w:tcBorders>
            <w:shd w:val="clear" w:color="auto" w:fill="FFFFFF"/>
            <w:tcMar>
              <w:left w:w="67" w:type="dxa"/>
              <w:right w:w="67" w:type="dxa"/>
            </w:tcMar>
            <w:vAlign w:val="center"/>
          </w:tcPr>
          <w:p w14:paraId="1F92C52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CA1B0D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0951B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C180D9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C0DF0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739787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D06F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0.5743</w:t>
            </w:r>
          </w:p>
        </w:tc>
        <w:tc>
          <w:tcPr>
            <w:tcW w:w="1134" w:type="dxa"/>
            <w:tcBorders>
              <w:top w:val="nil"/>
              <w:left w:val="nil"/>
              <w:bottom w:val="nil"/>
              <w:right w:val="nil"/>
            </w:tcBorders>
            <w:shd w:val="clear" w:color="auto" w:fill="FFFFFF"/>
            <w:tcMar>
              <w:left w:w="67" w:type="dxa"/>
              <w:right w:w="67" w:type="dxa"/>
            </w:tcMar>
            <w:vAlign w:val="center"/>
          </w:tcPr>
          <w:p w14:paraId="61492F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0.2553</w:t>
            </w:r>
          </w:p>
        </w:tc>
        <w:tc>
          <w:tcPr>
            <w:tcW w:w="1134" w:type="dxa"/>
            <w:tcBorders>
              <w:top w:val="nil"/>
              <w:left w:val="nil"/>
              <w:bottom w:val="nil"/>
              <w:right w:val="nil"/>
            </w:tcBorders>
            <w:shd w:val="clear" w:color="auto" w:fill="FFFFFF"/>
            <w:tcMar>
              <w:left w:w="67" w:type="dxa"/>
              <w:right w:w="67" w:type="dxa"/>
            </w:tcMar>
            <w:vAlign w:val="center"/>
          </w:tcPr>
          <w:p w14:paraId="4FC2BD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1.7759</w:t>
            </w:r>
          </w:p>
        </w:tc>
        <w:tc>
          <w:tcPr>
            <w:tcW w:w="1134" w:type="dxa"/>
            <w:tcBorders>
              <w:top w:val="nil"/>
              <w:left w:val="nil"/>
              <w:bottom w:val="nil"/>
              <w:right w:val="nil"/>
            </w:tcBorders>
            <w:shd w:val="clear" w:color="auto" w:fill="FFFFFF"/>
            <w:tcMar>
              <w:left w:w="67" w:type="dxa"/>
              <w:right w:w="67" w:type="dxa"/>
            </w:tcMar>
            <w:vAlign w:val="center"/>
          </w:tcPr>
          <w:p w14:paraId="7CF820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1.0022</w:t>
            </w:r>
          </w:p>
        </w:tc>
        <w:tc>
          <w:tcPr>
            <w:tcW w:w="1134" w:type="dxa"/>
            <w:tcBorders>
              <w:top w:val="nil"/>
              <w:left w:val="nil"/>
              <w:bottom w:val="nil"/>
              <w:right w:val="nil"/>
            </w:tcBorders>
            <w:shd w:val="clear" w:color="auto" w:fill="FFFFFF"/>
            <w:tcMar>
              <w:left w:w="67" w:type="dxa"/>
              <w:right w:w="67" w:type="dxa"/>
            </w:tcMar>
            <w:vAlign w:val="center"/>
          </w:tcPr>
          <w:p w14:paraId="56032C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3.1471</w:t>
            </w:r>
          </w:p>
        </w:tc>
        <w:tc>
          <w:tcPr>
            <w:tcW w:w="1134" w:type="dxa"/>
            <w:tcBorders>
              <w:top w:val="nil"/>
              <w:left w:val="nil"/>
              <w:bottom w:val="nil"/>
              <w:right w:val="nil"/>
            </w:tcBorders>
            <w:shd w:val="clear" w:color="auto" w:fill="FFFFFF"/>
            <w:tcMar>
              <w:left w:w="67" w:type="dxa"/>
              <w:right w:w="67" w:type="dxa"/>
            </w:tcMar>
            <w:vAlign w:val="center"/>
          </w:tcPr>
          <w:p w14:paraId="52BD19D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B94BB9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ECBCE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369FC4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1CD1BC4"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4AEE88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51A36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0.0028</w:t>
            </w:r>
          </w:p>
        </w:tc>
        <w:tc>
          <w:tcPr>
            <w:tcW w:w="1134" w:type="dxa"/>
            <w:tcBorders>
              <w:top w:val="nil"/>
              <w:left w:val="nil"/>
              <w:bottom w:val="nil"/>
              <w:right w:val="nil"/>
            </w:tcBorders>
            <w:shd w:val="clear" w:color="auto" w:fill="FFFFFF"/>
            <w:tcMar>
              <w:left w:w="67" w:type="dxa"/>
              <w:right w:w="67" w:type="dxa"/>
            </w:tcMar>
            <w:vAlign w:val="center"/>
          </w:tcPr>
          <w:p w14:paraId="499AEF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0.0142</w:t>
            </w:r>
          </w:p>
        </w:tc>
        <w:tc>
          <w:tcPr>
            <w:tcW w:w="1134" w:type="dxa"/>
            <w:tcBorders>
              <w:top w:val="nil"/>
              <w:left w:val="nil"/>
              <w:bottom w:val="nil"/>
              <w:right w:val="nil"/>
            </w:tcBorders>
            <w:shd w:val="clear" w:color="auto" w:fill="FFFFFF"/>
            <w:tcMar>
              <w:left w:w="67" w:type="dxa"/>
              <w:right w:w="67" w:type="dxa"/>
            </w:tcMar>
            <w:vAlign w:val="center"/>
          </w:tcPr>
          <w:p w14:paraId="57E48E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1.0028</w:t>
            </w:r>
          </w:p>
        </w:tc>
        <w:tc>
          <w:tcPr>
            <w:tcW w:w="1134" w:type="dxa"/>
            <w:tcBorders>
              <w:top w:val="nil"/>
              <w:left w:val="nil"/>
              <w:bottom w:val="nil"/>
              <w:right w:val="nil"/>
            </w:tcBorders>
            <w:shd w:val="clear" w:color="auto" w:fill="FFFFFF"/>
            <w:tcMar>
              <w:left w:w="67" w:type="dxa"/>
              <w:right w:w="67" w:type="dxa"/>
            </w:tcMar>
            <w:vAlign w:val="center"/>
          </w:tcPr>
          <w:p w14:paraId="76451A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0.9715</w:t>
            </w:r>
          </w:p>
        </w:tc>
        <w:tc>
          <w:tcPr>
            <w:tcW w:w="1134" w:type="dxa"/>
            <w:tcBorders>
              <w:top w:val="nil"/>
              <w:left w:val="nil"/>
              <w:bottom w:val="nil"/>
              <w:right w:val="nil"/>
            </w:tcBorders>
            <w:shd w:val="clear" w:color="auto" w:fill="FFFFFF"/>
            <w:tcMar>
              <w:left w:w="67" w:type="dxa"/>
              <w:right w:w="67" w:type="dxa"/>
            </w:tcMar>
            <w:vAlign w:val="center"/>
          </w:tcPr>
          <w:p w14:paraId="5420A1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1.0352</w:t>
            </w:r>
          </w:p>
        </w:tc>
        <w:tc>
          <w:tcPr>
            <w:tcW w:w="1134" w:type="dxa"/>
            <w:tcBorders>
              <w:top w:val="nil"/>
              <w:left w:val="nil"/>
              <w:bottom w:val="nil"/>
              <w:right w:val="nil"/>
            </w:tcBorders>
            <w:shd w:val="clear" w:color="auto" w:fill="FFFFFF"/>
            <w:tcMar>
              <w:left w:w="67" w:type="dxa"/>
              <w:right w:w="67" w:type="dxa"/>
            </w:tcMar>
            <w:vAlign w:val="center"/>
          </w:tcPr>
          <w:p w14:paraId="02ED06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5A2216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8D7A1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0.8419</w:t>
            </w:r>
          </w:p>
        </w:tc>
      </w:tr>
      <w:tr w:rsidR="00B77EA3" w:rsidRPr="0082484A" w14:paraId="5EBCA88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400B4F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A2C55C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1E2B3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0.0327</w:t>
            </w:r>
          </w:p>
        </w:tc>
        <w:tc>
          <w:tcPr>
            <w:tcW w:w="1134" w:type="dxa"/>
            <w:tcBorders>
              <w:top w:val="nil"/>
              <w:left w:val="nil"/>
              <w:bottom w:val="nil"/>
              <w:right w:val="nil"/>
            </w:tcBorders>
            <w:shd w:val="clear" w:color="auto" w:fill="FFFFFF"/>
            <w:tcMar>
              <w:left w:w="67" w:type="dxa"/>
              <w:right w:w="67" w:type="dxa"/>
            </w:tcMar>
            <w:vAlign w:val="center"/>
          </w:tcPr>
          <w:p w14:paraId="70FA7B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0.0085</w:t>
            </w:r>
          </w:p>
        </w:tc>
        <w:tc>
          <w:tcPr>
            <w:tcW w:w="1134" w:type="dxa"/>
            <w:tcBorders>
              <w:top w:val="nil"/>
              <w:left w:val="nil"/>
              <w:bottom w:val="nil"/>
              <w:right w:val="nil"/>
            </w:tcBorders>
            <w:shd w:val="clear" w:color="auto" w:fill="FFFFFF"/>
            <w:tcMar>
              <w:left w:w="67" w:type="dxa"/>
              <w:right w:w="67" w:type="dxa"/>
            </w:tcMar>
            <w:vAlign w:val="center"/>
          </w:tcPr>
          <w:p w14:paraId="54605E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1.0333</w:t>
            </w:r>
          </w:p>
        </w:tc>
        <w:tc>
          <w:tcPr>
            <w:tcW w:w="1134" w:type="dxa"/>
            <w:tcBorders>
              <w:top w:val="nil"/>
              <w:left w:val="nil"/>
              <w:bottom w:val="nil"/>
              <w:right w:val="nil"/>
            </w:tcBorders>
            <w:shd w:val="clear" w:color="auto" w:fill="FFFFFF"/>
            <w:tcMar>
              <w:left w:w="67" w:type="dxa"/>
              <w:right w:w="67" w:type="dxa"/>
            </w:tcMar>
            <w:vAlign w:val="center"/>
          </w:tcPr>
          <w:p w14:paraId="1023A6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1.0138</w:t>
            </w:r>
          </w:p>
        </w:tc>
        <w:tc>
          <w:tcPr>
            <w:tcW w:w="1134" w:type="dxa"/>
            <w:tcBorders>
              <w:top w:val="nil"/>
              <w:left w:val="nil"/>
              <w:bottom w:val="nil"/>
              <w:right w:val="nil"/>
            </w:tcBorders>
            <w:shd w:val="clear" w:color="auto" w:fill="FFFFFF"/>
            <w:tcMar>
              <w:left w:w="67" w:type="dxa"/>
              <w:right w:w="67" w:type="dxa"/>
            </w:tcMar>
            <w:vAlign w:val="center"/>
          </w:tcPr>
          <w:p w14:paraId="42A792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1.0531</w:t>
            </w:r>
          </w:p>
        </w:tc>
        <w:tc>
          <w:tcPr>
            <w:tcW w:w="1134" w:type="dxa"/>
            <w:tcBorders>
              <w:top w:val="nil"/>
              <w:left w:val="nil"/>
              <w:bottom w:val="nil"/>
              <w:right w:val="nil"/>
            </w:tcBorders>
            <w:shd w:val="clear" w:color="auto" w:fill="FFFFFF"/>
            <w:tcMar>
              <w:left w:w="67" w:type="dxa"/>
              <w:right w:w="67" w:type="dxa"/>
            </w:tcMar>
            <w:vAlign w:val="center"/>
          </w:tcPr>
          <w:p w14:paraId="31AB2F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14.89</w:t>
            </w:r>
          </w:p>
        </w:tc>
        <w:tc>
          <w:tcPr>
            <w:tcW w:w="567" w:type="dxa"/>
            <w:tcBorders>
              <w:top w:val="nil"/>
              <w:left w:val="nil"/>
              <w:bottom w:val="nil"/>
              <w:right w:val="nil"/>
            </w:tcBorders>
            <w:shd w:val="clear" w:color="auto" w:fill="FFFFFF"/>
            <w:tcMar>
              <w:left w:w="67" w:type="dxa"/>
              <w:right w:w="67" w:type="dxa"/>
            </w:tcMar>
            <w:vAlign w:val="center"/>
          </w:tcPr>
          <w:p w14:paraId="0F3CED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6C09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r>
      <w:tr w:rsidR="00B77EA3" w:rsidRPr="0082484A" w14:paraId="64A8A8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9981EF"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A1A673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1F6AE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F8E78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w:t>
            </w:r>
          </w:p>
        </w:tc>
        <w:tc>
          <w:tcPr>
            <w:tcW w:w="1134" w:type="dxa"/>
            <w:tcBorders>
              <w:top w:val="nil"/>
              <w:left w:val="nil"/>
              <w:bottom w:val="nil"/>
              <w:right w:val="nil"/>
            </w:tcBorders>
            <w:shd w:val="clear" w:color="auto" w:fill="FFFFFF"/>
            <w:tcMar>
              <w:left w:w="67" w:type="dxa"/>
              <w:right w:w="67" w:type="dxa"/>
            </w:tcMar>
            <w:vAlign w:val="center"/>
          </w:tcPr>
          <w:p w14:paraId="37B90A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0.9999</w:t>
            </w:r>
          </w:p>
        </w:tc>
        <w:tc>
          <w:tcPr>
            <w:tcW w:w="1134" w:type="dxa"/>
            <w:tcBorders>
              <w:top w:val="nil"/>
              <w:left w:val="nil"/>
              <w:bottom w:val="nil"/>
              <w:right w:val="nil"/>
            </w:tcBorders>
            <w:shd w:val="clear" w:color="auto" w:fill="FFFFFF"/>
            <w:tcMar>
              <w:left w:w="67" w:type="dxa"/>
              <w:right w:w="67" w:type="dxa"/>
            </w:tcMar>
            <w:vAlign w:val="center"/>
          </w:tcPr>
          <w:p w14:paraId="50C62F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0.9948</w:t>
            </w:r>
          </w:p>
        </w:tc>
        <w:tc>
          <w:tcPr>
            <w:tcW w:w="1134" w:type="dxa"/>
            <w:tcBorders>
              <w:top w:val="nil"/>
              <w:left w:val="nil"/>
              <w:bottom w:val="nil"/>
              <w:right w:val="nil"/>
            </w:tcBorders>
            <w:shd w:val="clear" w:color="auto" w:fill="FFFFFF"/>
            <w:tcMar>
              <w:left w:w="67" w:type="dxa"/>
              <w:right w:w="67" w:type="dxa"/>
            </w:tcMar>
            <w:vAlign w:val="center"/>
          </w:tcPr>
          <w:p w14:paraId="5E213A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1.0049</w:t>
            </w:r>
          </w:p>
        </w:tc>
        <w:tc>
          <w:tcPr>
            <w:tcW w:w="1134" w:type="dxa"/>
            <w:tcBorders>
              <w:top w:val="nil"/>
              <w:left w:val="nil"/>
              <w:bottom w:val="nil"/>
              <w:right w:val="nil"/>
            </w:tcBorders>
            <w:shd w:val="clear" w:color="auto" w:fill="FFFFFF"/>
            <w:tcMar>
              <w:left w:w="67" w:type="dxa"/>
              <w:right w:w="67" w:type="dxa"/>
            </w:tcMar>
            <w:vAlign w:val="center"/>
          </w:tcPr>
          <w:p w14:paraId="3BDD64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377748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2AD7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0.9487</w:t>
            </w:r>
          </w:p>
        </w:tc>
      </w:tr>
      <w:tr w:rsidR="00B77EA3" w:rsidRPr="0082484A" w14:paraId="35E93FC0"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561C1FB"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25B826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BA6FA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0.1485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FDAFF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8047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732FA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9B586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1.3594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3FE6A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4.41</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23694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2E3BD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0.0358</w:t>
            </w:r>
          </w:p>
        </w:tc>
      </w:tr>
    </w:tbl>
    <w:p w14:paraId="503F6C56" w14:textId="2AF94301" w:rsidR="00B77EA3" w:rsidRDefault="00B77EA3" w:rsidP="00B77EA3">
      <w:pPr>
        <w:spacing w:before="0" w:line="240" w:lineRule="auto"/>
        <w:rPr>
          <w:bCs/>
          <w:sz w:val="22"/>
          <w:szCs w:val="22"/>
        </w:rPr>
      </w:pPr>
      <w:bookmarkStart w:id="71" w:name="_Ref502917780"/>
      <w:r w:rsidRPr="0082484A">
        <w:rPr>
          <w:bCs/>
          <w:sz w:val="22"/>
          <w:szCs w:val="22"/>
          <w:vertAlign w:val="superscript"/>
        </w:rPr>
        <w:t>a</w:t>
      </w:r>
      <w:r w:rsidRPr="0082484A">
        <w:rPr>
          <w:bCs/>
          <w:sz w:val="22"/>
          <w:szCs w:val="22"/>
        </w:rPr>
        <w:t xml:space="preserve"> The estimated number needed to treat for one patient with Type 2 diabetes to have their full lipid profile performed in the previous 12 months is -1471</w:t>
      </w:r>
    </w:p>
    <w:p w14:paraId="1A3742E4" w14:textId="77777777" w:rsidR="00930CFA" w:rsidRPr="00D500CF" w:rsidRDefault="00930CFA" w:rsidP="00930CFA">
      <w:pPr>
        <w:spacing w:before="0" w:line="240" w:lineRule="auto"/>
        <w:rPr>
          <w:bCs/>
          <w:i/>
          <w:sz w:val="22"/>
          <w:szCs w:val="22"/>
        </w:rPr>
      </w:pPr>
      <w:r>
        <w:rPr>
          <w:bCs/>
          <w:sz w:val="22"/>
          <w:szCs w:val="22"/>
          <w:vertAlign w:val="superscript"/>
        </w:rPr>
        <w:t xml:space="preserve">b </w:t>
      </w:r>
      <w:r>
        <w:rPr>
          <w:bCs/>
          <w:sz w:val="22"/>
          <w:szCs w:val="22"/>
        </w:rPr>
        <w:t xml:space="preserve">Table modified from: </w:t>
      </w:r>
      <w:r>
        <w:t xml:space="preserve">Willis TA, Collinson M, Glidewell L, Farrin A, Holland M, Meads D, et al. An adaptable implementation package targeting evidence-based indicators in primary care: a pragmatic cluster-randomised evaluation. </w:t>
      </w:r>
      <w:r w:rsidRPr="00B8773E">
        <w:rPr>
          <w:i/>
        </w:rPr>
        <w:t>PLOS Med</w:t>
      </w:r>
      <w:r>
        <w:t>. Forthcoming 2020</w:t>
      </w:r>
    </w:p>
    <w:p w14:paraId="378C3E1A" w14:textId="77777777" w:rsidR="00930CFA" w:rsidRPr="0082484A" w:rsidRDefault="00930CFA" w:rsidP="00B77EA3">
      <w:pPr>
        <w:spacing w:before="0" w:line="240" w:lineRule="auto"/>
        <w:rPr>
          <w:bCs/>
          <w:sz w:val="22"/>
          <w:szCs w:val="22"/>
        </w:rPr>
      </w:pPr>
    </w:p>
    <w:p w14:paraId="2C2BF2F0" w14:textId="77777777" w:rsidR="00B77EA3" w:rsidRPr="0082484A" w:rsidRDefault="00B77EA3" w:rsidP="00B77EA3">
      <w:pPr>
        <w:spacing w:before="0" w:after="200"/>
        <w:rPr>
          <w:bCs/>
          <w:sz w:val="22"/>
          <w:szCs w:val="22"/>
        </w:rPr>
      </w:pPr>
      <w:r w:rsidRPr="0082484A">
        <w:rPr>
          <w:sz w:val="22"/>
          <w:szCs w:val="22"/>
        </w:rPr>
        <w:br w:type="page"/>
      </w:r>
    </w:p>
    <w:p w14:paraId="685CB453" w14:textId="3253A851" w:rsidR="00B77EA3" w:rsidRPr="0082484A" w:rsidRDefault="00B77EA3" w:rsidP="00B77EA3">
      <w:pPr>
        <w:spacing w:before="0" w:line="240" w:lineRule="auto"/>
        <w:rPr>
          <w:bCs/>
          <w:sz w:val="22"/>
          <w:szCs w:val="22"/>
        </w:rPr>
      </w:pPr>
      <w:bookmarkStart w:id="72" w:name="_Ref8647190"/>
      <w:bookmarkStart w:id="73" w:name="_Toc8728093"/>
      <w:bookmarkStart w:id="74" w:name="_Toc19526748"/>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19</w:t>
      </w:r>
      <w:r w:rsidRPr="0082484A">
        <w:rPr>
          <w:bCs/>
          <w:noProof/>
          <w:sz w:val="22"/>
          <w:szCs w:val="22"/>
        </w:rPr>
        <w:fldChar w:fldCharType="end"/>
      </w:r>
      <w:bookmarkEnd w:id="71"/>
      <w:bookmarkEnd w:id="72"/>
      <w:r w:rsidRPr="0082484A">
        <w:rPr>
          <w:bCs/>
          <w:sz w:val="22"/>
          <w:szCs w:val="22"/>
        </w:rPr>
        <w:t>: Secondary outcome for Trial 1: The proportion of patients with Type 2 diabetes having micro-albuminuria testing performed in the previous 12 months (WP4A)</w:t>
      </w:r>
      <w:r w:rsidRPr="0082484A">
        <w:rPr>
          <w:bCs/>
          <w:sz w:val="22"/>
          <w:szCs w:val="22"/>
          <w:vertAlign w:val="superscript"/>
        </w:rPr>
        <w:t xml:space="preserve"> a</w:t>
      </w:r>
      <w:bookmarkEnd w:id="73"/>
      <w:bookmarkEnd w:id="74"/>
      <w:r w:rsidR="00D500CF">
        <w:rPr>
          <w:bCs/>
          <w:sz w:val="22"/>
          <w:szCs w:val="22"/>
          <w:vertAlign w:val="superscript"/>
        </w:rPr>
        <w:t>, b</w:t>
      </w:r>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4A62DBCA"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77ED062"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70D1F95"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D818B1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C2DEA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7E3B38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56A672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E0436B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2B39B0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F4FAE0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ED3B20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1AEA3B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D96B56A"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29BA85F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3B222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0.2215</w:t>
            </w:r>
          </w:p>
        </w:tc>
        <w:tc>
          <w:tcPr>
            <w:tcW w:w="1134" w:type="dxa"/>
            <w:tcBorders>
              <w:top w:val="nil"/>
              <w:left w:val="nil"/>
              <w:bottom w:val="nil"/>
              <w:right w:val="nil"/>
            </w:tcBorders>
            <w:shd w:val="clear" w:color="auto" w:fill="FFFFFF"/>
            <w:tcMar>
              <w:left w:w="67" w:type="dxa"/>
              <w:right w:w="67" w:type="dxa"/>
            </w:tcMar>
            <w:vAlign w:val="center"/>
          </w:tcPr>
          <w:p w14:paraId="13D43E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0.1353</w:t>
            </w:r>
          </w:p>
        </w:tc>
        <w:tc>
          <w:tcPr>
            <w:tcW w:w="1134" w:type="dxa"/>
            <w:tcBorders>
              <w:top w:val="nil"/>
              <w:left w:val="nil"/>
              <w:bottom w:val="nil"/>
              <w:right w:val="nil"/>
            </w:tcBorders>
            <w:shd w:val="clear" w:color="auto" w:fill="FFFFFF"/>
            <w:tcMar>
              <w:left w:w="67" w:type="dxa"/>
              <w:right w:w="67" w:type="dxa"/>
            </w:tcMar>
            <w:vAlign w:val="center"/>
          </w:tcPr>
          <w:p w14:paraId="50623D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1.2480</w:t>
            </w:r>
          </w:p>
        </w:tc>
        <w:tc>
          <w:tcPr>
            <w:tcW w:w="1134" w:type="dxa"/>
            <w:tcBorders>
              <w:top w:val="nil"/>
              <w:left w:val="nil"/>
              <w:bottom w:val="nil"/>
              <w:right w:val="nil"/>
            </w:tcBorders>
            <w:shd w:val="clear" w:color="auto" w:fill="FFFFFF"/>
            <w:tcMar>
              <w:left w:w="67" w:type="dxa"/>
              <w:right w:w="67" w:type="dxa"/>
            </w:tcMar>
            <w:vAlign w:val="center"/>
          </w:tcPr>
          <w:p w14:paraId="63E432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0.9215</w:t>
            </w:r>
          </w:p>
        </w:tc>
        <w:tc>
          <w:tcPr>
            <w:tcW w:w="1134" w:type="dxa"/>
            <w:tcBorders>
              <w:top w:val="nil"/>
              <w:left w:val="nil"/>
              <w:bottom w:val="nil"/>
              <w:right w:val="nil"/>
            </w:tcBorders>
            <w:shd w:val="clear" w:color="auto" w:fill="FFFFFF"/>
            <w:tcMar>
              <w:left w:w="67" w:type="dxa"/>
              <w:right w:w="67" w:type="dxa"/>
            </w:tcMar>
            <w:vAlign w:val="center"/>
          </w:tcPr>
          <w:p w14:paraId="447D6A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1.6902</w:t>
            </w:r>
          </w:p>
        </w:tc>
        <w:tc>
          <w:tcPr>
            <w:tcW w:w="1134" w:type="dxa"/>
            <w:tcBorders>
              <w:top w:val="nil"/>
              <w:left w:val="nil"/>
              <w:bottom w:val="nil"/>
              <w:right w:val="nil"/>
            </w:tcBorders>
            <w:shd w:val="clear" w:color="auto" w:fill="FFFFFF"/>
            <w:tcMar>
              <w:left w:w="67" w:type="dxa"/>
              <w:right w:w="67" w:type="dxa"/>
            </w:tcMar>
            <w:vAlign w:val="center"/>
          </w:tcPr>
          <w:p w14:paraId="1A70E7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2.68</w:t>
            </w:r>
          </w:p>
        </w:tc>
        <w:tc>
          <w:tcPr>
            <w:tcW w:w="567" w:type="dxa"/>
            <w:tcBorders>
              <w:top w:val="nil"/>
              <w:left w:val="nil"/>
              <w:bottom w:val="nil"/>
              <w:right w:val="nil"/>
            </w:tcBorders>
            <w:shd w:val="clear" w:color="auto" w:fill="FFFFFF"/>
            <w:tcMar>
              <w:left w:w="67" w:type="dxa"/>
              <w:right w:w="67" w:type="dxa"/>
            </w:tcMar>
            <w:vAlign w:val="center"/>
          </w:tcPr>
          <w:p w14:paraId="78759A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2C2EC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0.1016</w:t>
            </w:r>
          </w:p>
        </w:tc>
      </w:tr>
      <w:tr w:rsidR="00B77EA3" w:rsidRPr="0082484A" w14:paraId="19E38FB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0AEACA"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8DE177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2B37AA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-0.2968</w:t>
            </w:r>
          </w:p>
        </w:tc>
        <w:tc>
          <w:tcPr>
            <w:tcW w:w="1134" w:type="dxa"/>
            <w:tcBorders>
              <w:top w:val="nil"/>
              <w:left w:val="nil"/>
              <w:bottom w:val="nil"/>
              <w:right w:val="nil"/>
            </w:tcBorders>
            <w:shd w:val="clear" w:color="auto" w:fill="FFFFFF"/>
            <w:tcMar>
              <w:left w:w="67" w:type="dxa"/>
              <w:right w:w="67" w:type="dxa"/>
            </w:tcMar>
            <w:vAlign w:val="center"/>
          </w:tcPr>
          <w:p w14:paraId="1188F1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0.0245</w:t>
            </w:r>
          </w:p>
        </w:tc>
        <w:tc>
          <w:tcPr>
            <w:tcW w:w="1134" w:type="dxa"/>
            <w:tcBorders>
              <w:top w:val="nil"/>
              <w:left w:val="nil"/>
              <w:bottom w:val="nil"/>
              <w:right w:val="nil"/>
            </w:tcBorders>
            <w:shd w:val="clear" w:color="auto" w:fill="FFFFFF"/>
            <w:tcMar>
              <w:left w:w="67" w:type="dxa"/>
              <w:right w:w="67" w:type="dxa"/>
            </w:tcMar>
            <w:vAlign w:val="center"/>
          </w:tcPr>
          <w:p w14:paraId="4DB2AF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0.7432</w:t>
            </w:r>
          </w:p>
        </w:tc>
        <w:tc>
          <w:tcPr>
            <w:tcW w:w="1134" w:type="dxa"/>
            <w:tcBorders>
              <w:top w:val="nil"/>
              <w:left w:val="nil"/>
              <w:bottom w:val="nil"/>
              <w:right w:val="nil"/>
            </w:tcBorders>
            <w:shd w:val="clear" w:color="auto" w:fill="FFFFFF"/>
            <w:tcMar>
              <w:left w:w="67" w:type="dxa"/>
              <w:right w:w="67" w:type="dxa"/>
            </w:tcMar>
            <w:vAlign w:val="center"/>
          </w:tcPr>
          <w:p w14:paraId="5AFDFF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0.7035</w:t>
            </w:r>
          </w:p>
        </w:tc>
        <w:tc>
          <w:tcPr>
            <w:tcW w:w="1134" w:type="dxa"/>
            <w:tcBorders>
              <w:top w:val="nil"/>
              <w:left w:val="nil"/>
              <w:bottom w:val="nil"/>
              <w:right w:val="nil"/>
            </w:tcBorders>
            <w:shd w:val="clear" w:color="auto" w:fill="FFFFFF"/>
            <w:tcMar>
              <w:left w:w="67" w:type="dxa"/>
              <w:right w:w="67" w:type="dxa"/>
            </w:tcMar>
            <w:vAlign w:val="center"/>
          </w:tcPr>
          <w:p w14:paraId="5D3698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0.7852</w:t>
            </w:r>
          </w:p>
        </w:tc>
        <w:tc>
          <w:tcPr>
            <w:tcW w:w="1134" w:type="dxa"/>
            <w:tcBorders>
              <w:top w:val="nil"/>
              <w:left w:val="nil"/>
              <w:bottom w:val="nil"/>
              <w:right w:val="nil"/>
            </w:tcBorders>
            <w:shd w:val="clear" w:color="auto" w:fill="FFFFFF"/>
            <w:tcMar>
              <w:left w:w="67" w:type="dxa"/>
              <w:right w:w="67" w:type="dxa"/>
            </w:tcMar>
            <w:vAlign w:val="center"/>
          </w:tcPr>
          <w:p w14:paraId="129602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146.85</w:t>
            </w:r>
          </w:p>
        </w:tc>
        <w:tc>
          <w:tcPr>
            <w:tcW w:w="567" w:type="dxa"/>
            <w:tcBorders>
              <w:top w:val="nil"/>
              <w:left w:val="nil"/>
              <w:bottom w:val="nil"/>
              <w:right w:val="nil"/>
            </w:tcBorders>
            <w:shd w:val="clear" w:color="auto" w:fill="FFFFFF"/>
            <w:tcMar>
              <w:left w:w="67" w:type="dxa"/>
              <w:right w:w="67" w:type="dxa"/>
            </w:tcMar>
            <w:vAlign w:val="center"/>
          </w:tcPr>
          <w:p w14:paraId="1FF3AE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6A0F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F5FCB1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0CD36B"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69178058"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5A38C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0.0164</w:t>
            </w:r>
          </w:p>
        </w:tc>
        <w:tc>
          <w:tcPr>
            <w:tcW w:w="1134" w:type="dxa"/>
            <w:tcBorders>
              <w:top w:val="nil"/>
              <w:left w:val="nil"/>
              <w:bottom w:val="nil"/>
              <w:right w:val="nil"/>
            </w:tcBorders>
            <w:shd w:val="clear" w:color="auto" w:fill="FFFFFF"/>
            <w:tcMar>
              <w:left w:w="67" w:type="dxa"/>
              <w:right w:w="67" w:type="dxa"/>
            </w:tcMar>
            <w:vAlign w:val="center"/>
          </w:tcPr>
          <w:p w14:paraId="2E6356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33F7F2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1.0165</w:t>
            </w:r>
          </w:p>
        </w:tc>
        <w:tc>
          <w:tcPr>
            <w:tcW w:w="1134" w:type="dxa"/>
            <w:tcBorders>
              <w:top w:val="nil"/>
              <w:left w:val="nil"/>
              <w:bottom w:val="nil"/>
              <w:right w:val="nil"/>
            </w:tcBorders>
            <w:shd w:val="clear" w:color="auto" w:fill="FFFFFF"/>
            <w:tcMar>
              <w:left w:w="67" w:type="dxa"/>
              <w:right w:w="67" w:type="dxa"/>
            </w:tcMar>
            <w:vAlign w:val="center"/>
          </w:tcPr>
          <w:p w14:paraId="4A2ACD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1.0145</w:t>
            </w:r>
          </w:p>
        </w:tc>
        <w:tc>
          <w:tcPr>
            <w:tcW w:w="1134" w:type="dxa"/>
            <w:tcBorders>
              <w:top w:val="nil"/>
              <w:left w:val="nil"/>
              <w:bottom w:val="nil"/>
              <w:right w:val="nil"/>
            </w:tcBorders>
            <w:shd w:val="clear" w:color="auto" w:fill="FFFFFF"/>
            <w:tcMar>
              <w:left w:w="67" w:type="dxa"/>
              <w:right w:w="67" w:type="dxa"/>
            </w:tcMar>
            <w:vAlign w:val="center"/>
          </w:tcPr>
          <w:p w14:paraId="670D6F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1.0186</w:t>
            </w:r>
          </w:p>
        </w:tc>
        <w:tc>
          <w:tcPr>
            <w:tcW w:w="1134" w:type="dxa"/>
            <w:tcBorders>
              <w:top w:val="nil"/>
              <w:left w:val="nil"/>
              <w:bottom w:val="nil"/>
              <w:right w:val="nil"/>
            </w:tcBorders>
            <w:shd w:val="clear" w:color="auto" w:fill="FFFFFF"/>
            <w:tcMar>
              <w:left w:w="67" w:type="dxa"/>
              <w:right w:w="67" w:type="dxa"/>
            </w:tcMar>
            <w:vAlign w:val="center"/>
          </w:tcPr>
          <w:p w14:paraId="096F87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326.06</w:t>
            </w:r>
          </w:p>
        </w:tc>
        <w:tc>
          <w:tcPr>
            <w:tcW w:w="567" w:type="dxa"/>
            <w:tcBorders>
              <w:top w:val="nil"/>
              <w:left w:val="nil"/>
              <w:bottom w:val="nil"/>
              <w:right w:val="nil"/>
            </w:tcBorders>
            <w:shd w:val="clear" w:color="auto" w:fill="FFFFFF"/>
            <w:tcMar>
              <w:left w:w="67" w:type="dxa"/>
              <w:right w:w="67" w:type="dxa"/>
            </w:tcMar>
            <w:vAlign w:val="center"/>
          </w:tcPr>
          <w:p w14:paraId="16B633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6F3BB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AEBAF6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90012B9"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2DAE7F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30302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25875C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54FC5D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1.0014</w:t>
            </w:r>
          </w:p>
        </w:tc>
        <w:tc>
          <w:tcPr>
            <w:tcW w:w="1134" w:type="dxa"/>
            <w:tcBorders>
              <w:top w:val="nil"/>
              <w:left w:val="nil"/>
              <w:bottom w:val="nil"/>
              <w:right w:val="nil"/>
            </w:tcBorders>
            <w:shd w:val="clear" w:color="auto" w:fill="FFFFFF"/>
            <w:tcMar>
              <w:left w:w="67" w:type="dxa"/>
              <w:right w:w="67" w:type="dxa"/>
            </w:tcMar>
            <w:vAlign w:val="center"/>
          </w:tcPr>
          <w:p w14:paraId="70934F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0.9967</w:t>
            </w:r>
          </w:p>
        </w:tc>
        <w:tc>
          <w:tcPr>
            <w:tcW w:w="1134" w:type="dxa"/>
            <w:tcBorders>
              <w:top w:val="nil"/>
              <w:left w:val="nil"/>
              <w:bottom w:val="nil"/>
              <w:right w:val="nil"/>
            </w:tcBorders>
            <w:shd w:val="clear" w:color="auto" w:fill="FFFFFF"/>
            <w:tcMar>
              <w:left w:w="67" w:type="dxa"/>
              <w:right w:w="67" w:type="dxa"/>
            </w:tcMar>
            <w:vAlign w:val="center"/>
          </w:tcPr>
          <w:p w14:paraId="5E5417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1.0061</w:t>
            </w:r>
          </w:p>
        </w:tc>
        <w:tc>
          <w:tcPr>
            <w:tcW w:w="1134" w:type="dxa"/>
            <w:tcBorders>
              <w:top w:val="nil"/>
              <w:left w:val="nil"/>
              <w:bottom w:val="nil"/>
              <w:right w:val="nil"/>
            </w:tcBorders>
            <w:shd w:val="clear" w:color="auto" w:fill="FFFFFF"/>
            <w:tcMar>
              <w:left w:w="67" w:type="dxa"/>
              <w:right w:w="67" w:type="dxa"/>
            </w:tcMar>
            <w:vAlign w:val="center"/>
          </w:tcPr>
          <w:p w14:paraId="5B1C2D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w:t>
            </w:r>
          </w:p>
        </w:tc>
        <w:tc>
          <w:tcPr>
            <w:tcW w:w="567" w:type="dxa"/>
            <w:tcBorders>
              <w:top w:val="nil"/>
              <w:left w:val="nil"/>
              <w:bottom w:val="nil"/>
              <w:right w:val="nil"/>
            </w:tcBorders>
            <w:shd w:val="clear" w:color="auto" w:fill="FFFFFF"/>
            <w:tcMar>
              <w:left w:w="67" w:type="dxa"/>
              <w:right w:w="67" w:type="dxa"/>
            </w:tcMar>
            <w:vAlign w:val="center"/>
          </w:tcPr>
          <w:p w14:paraId="630D13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C350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0.5131</w:t>
            </w:r>
          </w:p>
        </w:tc>
      </w:tr>
      <w:tr w:rsidR="00B77EA3" w:rsidRPr="0082484A" w14:paraId="09839DA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EB5B73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C41E7D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67BB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-0.4196</w:t>
            </w:r>
          </w:p>
        </w:tc>
        <w:tc>
          <w:tcPr>
            <w:tcW w:w="1134" w:type="dxa"/>
            <w:tcBorders>
              <w:top w:val="nil"/>
              <w:left w:val="nil"/>
              <w:bottom w:val="nil"/>
              <w:right w:val="nil"/>
            </w:tcBorders>
            <w:shd w:val="clear" w:color="auto" w:fill="FFFFFF"/>
            <w:tcMar>
              <w:left w:w="67" w:type="dxa"/>
              <w:right w:w="67" w:type="dxa"/>
            </w:tcMar>
            <w:vAlign w:val="center"/>
          </w:tcPr>
          <w:p w14:paraId="0183D3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0.3866</w:t>
            </w:r>
          </w:p>
        </w:tc>
        <w:tc>
          <w:tcPr>
            <w:tcW w:w="1134" w:type="dxa"/>
            <w:tcBorders>
              <w:top w:val="nil"/>
              <w:left w:val="nil"/>
              <w:bottom w:val="nil"/>
              <w:right w:val="nil"/>
            </w:tcBorders>
            <w:shd w:val="clear" w:color="auto" w:fill="FFFFFF"/>
            <w:tcMar>
              <w:left w:w="67" w:type="dxa"/>
              <w:right w:w="67" w:type="dxa"/>
            </w:tcMar>
            <w:vAlign w:val="center"/>
          </w:tcPr>
          <w:p w14:paraId="3947A4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0.6573</w:t>
            </w:r>
          </w:p>
        </w:tc>
        <w:tc>
          <w:tcPr>
            <w:tcW w:w="1134" w:type="dxa"/>
            <w:tcBorders>
              <w:top w:val="nil"/>
              <w:left w:val="nil"/>
              <w:bottom w:val="nil"/>
              <w:right w:val="nil"/>
            </w:tcBorders>
            <w:shd w:val="clear" w:color="auto" w:fill="FFFFFF"/>
            <w:tcMar>
              <w:left w:w="67" w:type="dxa"/>
              <w:right w:w="67" w:type="dxa"/>
            </w:tcMar>
            <w:vAlign w:val="center"/>
          </w:tcPr>
          <w:p w14:paraId="0C8D2A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0.2763</w:t>
            </w:r>
          </w:p>
        </w:tc>
        <w:tc>
          <w:tcPr>
            <w:tcW w:w="1134" w:type="dxa"/>
            <w:tcBorders>
              <w:top w:val="nil"/>
              <w:left w:val="nil"/>
              <w:bottom w:val="nil"/>
              <w:right w:val="nil"/>
            </w:tcBorders>
            <w:shd w:val="clear" w:color="auto" w:fill="FFFFFF"/>
            <w:tcMar>
              <w:left w:w="67" w:type="dxa"/>
              <w:right w:w="67" w:type="dxa"/>
            </w:tcMar>
            <w:vAlign w:val="center"/>
          </w:tcPr>
          <w:p w14:paraId="1E9C93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1.5634</w:t>
            </w:r>
          </w:p>
        </w:tc>
        <w:tc>
          <w:tcPr>
            <w:tcW w:w="1134" w:type="dxa"/>
            <w:tcBorders>
              <w:top w:val="nil"/>
              <w:left w:val="nil"/>
              <w:bottom w:val="nil"/>
              <w:right w:val="nil"/>
            </w:tcBorders>
            <w:shd w:val="clear" w:color="auto" w:fill="FFFFFF"/>
            <w:tcMar>
              <w:left w:w="67" w:type="dxa"/>
              <w:right w:w="67" w:type="dxa"/>
            </w:tcMar>
            <w:vAlign w:val="center"/>
          </w:tcPr>
          <w:p w14:paraId="77DD2D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1.61</w:t>
            </w:r>
          </w:p>
        </w:tc>
        <w:tc>
          <w:tcPr>
            <w:tcW w:w="567" w:type="dxa"/>
            <w:tcBorders>
              <w:top w:val="nil"/>
              <w:left w:val="nil"/>
              <w:bottom w:val="nil"/>
              <w:right w:val="nil"/>
            </w:tcBorders>
            <w:shd w:val="clear" w:color="auto" w:fill="FFFFFF"/>
            <w:tcMar>
              <w:left w:w="67" w:type="dxa"/>
              <w:right w:w="67" w:type="dxa"/>
            </w:tcMar>
            <w:vAlign w:val="center"/>
          </w:tcPr>
          <w:p w14:paraId="7B239D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5F77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0.1053</w:t>
            </w:r>
          </w:p>
        </w:tc>
      </w:tr>
      <w:tr w:rsidR="00B77EA3" w:rsidRPr="0082484A" w14:paraId="5CBB418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4419F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4A5BE3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57F7D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0.1054</w:t>
            </w:r>
          </w:p>
        </w:tc>
        <w:tc>
          <w:tcPr>
            <w:tcW w:w="1134" w:type="dxa"/>
            <w:tcBorders>
              <w:top w:val="nil"/>
              <w:left w:val="nil"/>
              <w:bottom w:val="nil"/>
              <w:right w:val="nil"/>
            </w:tcBorders>
            <w:shd w:val="clear" w:color="auto" w:fill="FFFFFF"/>
            <w:tcMar>
              <w:left w:w="67" w:type="dxa"/>
              <w:right w:w="67" w:type="dxa"/>
            </w:tcMar>
            <w:vAlign w:val="center"/>
          </w:tcPr>
          <w:p w14:paraId="46F30E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0.3319</w:t>
            </w:r>
          </w:p>
        </w:tc>
        <w:tc>
          <w:tcPr>
            <w:tcW w:w="1134" w:type="dxa"/>
            <w:tcBorders>
              <w:top w:val="nil"/>
              <w:left w:val="nil"/>
              <w:bottom w:val="nil"/>
              <w:right w:val="nil"/>
            </w:tcBorders>
            <w:shd w:val="clear" w:color="auto" w:fill="FFFFFF"/>
            <w:tcMar>
              <w:left w:w="67" w:type="dxa"/>
              <w:right w:w="67" w:type="dxa"/>
            </w:tcMar>
            <w:vAlign w:val="center"/>
          </w:tcPr>
          <w:p w14:paraId="75798F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1.1112</w:t>
            </w:r>
          </w:p>
        </w:tc>
        <w:tc>
          <w:tcPr>
            <w:tcW w:w="1134" w:type="dxa"/>
            <w:tcBorders>
              <w:top w:val="nil"/>
              <w:left w:val="nil"/>
              <w:bottom w:val="nil"/>
              <w:right w:val="nil"/>
            </w:tcBorders>
            <w:shd w:val="clear" w:color="auto" w:fill="FFFFFF"/>
            <w:tcMar>
              <w:left w:w="67" w:type="dxa"/>
              <w:right w:w="67" w:type="dxa"/>
            </w:tcMar>
            <w:vAlign w:val="center"/>
          </w:tcPr>
          <w:p w14:paraId="5385B2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0.5280</w:t>
            </w:r>
          </w:p>
        </w:tc>
        <w:tc>
          <w:tcPr>
            <w:tcW w:w="1134" w:type="dxa"/>
            <w:tcBorders>
              <w:top w:val="nil"/>
              <w:left w:val="nil"/>
              <w:bottom w:val="nil"/>
              <w:right w:val="nil"/>
            </w:tcBorders>
            <w:shd w:val="clear" w:color="auto" w:fill="FFFFFF"/>
            <w:tcMar>
              <w:left w:w="67" w:type="dxa"/>
              <w:right w:w="67" w:type="dxa"/>
            </w:tcMar>
            <w:vAlign w:val="center"/>
          </w:tcPr>
          <w:p w14:paraId="4B2A19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2.3384</w:t>
            </w:r>
          </w:p>
        </w:tc>
        <w:tc>
          <w:tcPr>
            <w:tcW w:w="1134" w:type="dxa"/>
            <w:tcBorders>
              <w:top w:val="nil"/>
              <w:left w:val="nil"/>
              <w:bottom w:val="nil"/>
              <w:right w:val="nil"/>
            </w:tcBorders>
            <w:shd w:val="clear" w:color="auto" w:fill="FFFFFF"/>
            <w:tcMar>
              <w:left w:w="67" w:type="dxa"/>
              <w:right w:w="67" w:type="dxa"/>
            </w:tcMar>
            <w:vAlign w:val="center"/>
          </w:tcPr>
          <w:p w14:paraId="29325C3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C07804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D0A0F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1BC651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CCA05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2F34F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0EE2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-0.1994</w:t>
            </w:r>
          </w:p>
        </w:tc>
        <w:tc>
          <w:tcPr>
            <w:tcW w:w="1134" w:type="dxa"/>
            <w:tcBorders>
              <w:top w:val="nil"/>
              <w:left w:val="nil"/>
              <w:bottom w:val="nil"/>
              <w:right w:val="nil"/>
            </w:tcBorders>
            <w:shd w:val="clear" w:color="auto" w:fill="FFFFFF"/>
            <w:tcMar>
              <w:left w:w="67" w:type="dxa"/>
              <w:right w:w="67" w:type="dxa"/>
            </w:tcMar>
            <w:vAlign w:val="center"/>
          </w:tcPr>
          <w:p w14:paraId="271470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0.2450</w:t>
            </w:r>
          </w:p>
        </w:tc>
        <w:tc>
          <w:tcPr>
            <w:tcW w:w="1134" w:type="dxa"/>
            <w:tcBorders>
              <w:top w:val="nil"/>
              <w:left w:val="nil"/>
              <w:bottom w:val="nil"/>
              <w:right w:val="nil"/>
            </w:tcBorders>
            <w:shd w:val="clear" w:color="auto" w:fill="FFFFFF"/>
            <w:tcMar>
              <w:left w:w="67" w:type="dxa"/>
              <w:right w:w="67" w:type="dxa"/>
            </w:tcMar>
            <w:vAlign w:val="center"/>
          </w:tcPr>
          <w:p w14:paraId="5634EE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0.8192</w:t>
            </w:r>
          </w:p>
        </w:tc>
        <w:tc>
          <w:tcPr>
            <w:tcW w:w="1134" w:type="dxa"/>
            <w:tcBorders>
              <w:top w:val="nil"/>
              <w:left w:val="nil"/>
              <w:bottom w:val="nil"/>
              <w:right w:val="nil"/>
            </w:tcBorders>
            <w:shd w:val="clear" w:color="auto" w:fill="FFFFFF"/>
            <w:tcMar>
              <w:left w:w="67" w:type="dxa"/>
              <w:right w:w="67" w:type="dxa"/>
            </w:tcMar>
            <w:vAlign w:val="center"/>
          </w:tcPr>
          <w:p w14:paraId="479B67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0.4730</w:t>
            </w:r>
          </w:p>
        </w:tc>
        <w:tc>
          <w:tcPr>
            <w:tcW w:w="1134" w:type="dxa"/>
            <w:tcBorders>
              <w:top w:val="nil"/>
              <w:left w:val="nil"/>
              <w:bottom w:val="nil"/>
              <w:right w:val="nil"/>
            </w:tcBorders>
            <w:shd w:val="clear" w:color="auto" w:fill="FFFFFF"/>
            <w:tcMar>
              <w:left w:w="67" w:type="dxa"/>
              <w:right w:w="67" w:type="dxa"/>
            </w:tcMar>
            <w:vAlign w:val="center"/>
          </w:tcPr>
          <w:p w14:paraId="2FEA93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1.4189</w:t>
            </w:r>
          </w:p>
        </w:tc>
        <w:tc>
          <w:tcPr>
            <w:tcW w:w="1134" w:type="dxa"/>
            <w:tcBorders>
              <w:top w:val="nil"/>
              <w:left w:val="nil"/>
              <w:bottom w:val="nil"/>
              <w:right w:val="nil"/>
            </w:tcBorders>
            <w:shd w:val="clear" w:color="auto" w:fill="FFFFFF"/>
            <w:tcMar>
              <w:left w:w="67" w:type="dxa"/>
              <w:right w:w="67" w:type="dxa"/>
            </w:tcMar>
            <w:vAlign w:val="center"/>
          </w:tcPr>
          <w:p w14:paraId="552554B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42F03B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AD344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CDDE7A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37FB5A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5693A6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0F3A1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-0.7864</w:t>
            </w:r>
          </w:p>
        </w:tc>
        <w:tc>
          <w:tcPr>
            <w:tcW w:w="1134" w:type="dxa"/>
            <w:tcBorders>
              <w:top w:val="nil"/>
              <w:left w:val="nil"/>
              <w:bottom w:val="nil"/>
              <w:right w:val="nil"/>
            </w:tcBorders>
            <w:shd w:val="clear" w:color="auto" w:fill="FFFFFF"/>
            <w:tcMar>
              <w:left w:w="67" w:type="dxa"/>
              <w:right w:w="67" w:type="dxa"/>
            </w:tcMar>
            <w:vAlign w:val="center"/>
          </w:tcPr>
          <w:p w14:paraId="5D9890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0.3418</w:t>
            </w:r>
          </w:p>
        </w:tc>
        <w:tc>
          <w:tcPr>
            <w:tcW w:w="1134" w:type="dxa"/>
            <w:tcBorders>
              <w:top w:val="nil"/>
              <w:left w:val="nil"/>
              <w:bottom w:val="nil"/>
              <w:right w:val="nil"/>
            </w:tcBorders>
            <w:shd w:val="clear" w:color="auto" w:fill="FFFFFF"/>
            <w:tcMar>
              <w:left w:w="67" w:type="dxa"/>
              <w:right w:w="67" w:type="dxa"/>
            </w:tcMar>
            <w:vAlign w:val="center"/>
          </w:tcPr>
          <w:p w14:paraId="40F760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0.4555</w:t>
            </w:r>
          </w:p>
        </w:tc>
        <w:tc>
          <w:tcPr>
            <w:tcW w:w="1134" w:type="dxa"/>
            <w:tcBorders>
              <w:top w:val="nil"/>
              <w:left w:val="nil"/>
              <w:bottom w:val="nil"/>
              <w:right w:val="nil"/>
            </w:tcBorders>
            <w:shd w:val="clear" w:color="auto" w:fill="FFFFFF"/>
            <w:tcMar>
              <w:left w:w="67" w:type="dxa"/>
              <w:right w:w="67" w:type="dxa"/>
            </w:tcMar>
            <w:vAlign w:val="center"/>
          </w:tcPr>
          <w:p w14:paraId="6D5087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0.2117</w:t>
            </w:r>
          </w:p>
        </w:tc>
        <w:tc>
          <w:tcPr>
            <w:tcW w:w="1134" w:type="dxa"/>
            <w:tcBorders>
              <w:top w:val="nil"/>
              <w:left w:val="nil"/>
              <w:bottom w:val="nil"/>
              <w:right w:val="nil"/>
            </w:tcBorders>
            <w:shd w:val="clear" w:color="auto" w:fill="FFFFFF"/>
            <w:tcMar>
              <w:left w:w="67" w:type="dxa"/>
              <w:right w:w="67" w:type="dxa"/>
            </w:tcMar>
            <w:vAlign w:val="center"/>
          </w:tcPr>
          <w:p w14:paraId="457C5E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0.9798</w:t>
            </w:r>
          </w:p>
        </w:tc>
        <w:tc>
          <w:tcPr>
            <w:tcW w:w="1134" w:type="dxa"/>
            <w:tcBorders>
              <w:top w:val="nil"/>
              <w:left w:val="nil"/>
              <w:bottom w:val="nil"/>
              <w:right w:val="nil"/>
            </w:tcBorders>
            <w:shd w:val="clear" w:color="auto" w:fill="FFFFFF"/>
            <w:tcMar>
              <w:left w:w="67" w:type="dxa"/>
              <w:right w:w="67" w:type="dxa"/>
            </w:tcMar>
            <w:vAlign w:val="center"/>
          </w:tcPr>
          <w:p w14:paraId="4F3E694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85912F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C3A8A7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7AD62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0D641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4C484A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2259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-0.6411</w:t>
            </w:r>
          </w:p>
        </w:tc>
        <w:tc>
          <w:tcPr>
            <w:tcW w:w="1134" w:type="dxa"/>
            <w:tcBorders>
              <w:top w:val="nil"/>
              <w:left w:val="nil"/>
              <w:bottom w:val="nil"/>
              <w:right w:val="nil"/>
            </w:tcBorders>
            <w:shd w:val="clear" w:color="auto" w:fill="FFFFFF"/>
            <w:tcMar>
              <w:left w:w="67" w:type="dxa"/>
              <w:right w:w="67" w:type="dxa"/>
            </w:tcMar>
            <w:vAlign w:val="center"/>
          </w:tcPr>
          <w:p w14:paraId="4AC50B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0.3318</w:t>
            </w:r>
          </w:p>
        </w:tc>
        <w:tc>
          <w:tcPr>
            <w:tcW w:w="1134" w:type="dxa"/>
            <w:tcBorders>
              <w:top w:val="nil"/>
              <w:left w:val="nil"/>
              <w:bottom w:val="nil"/>
              <w:right w:val="nil"/>
            </w:tcBorders>
            <w:shd w:val="clear" w:color="auto" w:fill="FFFFFF"/>
            <w:tcMar>
              <w:left w:w="67" w:type="dxa"/>
              <w:right w:w="67" w:type="dxa"/>
            </w:tcMar>
            <w:vAlign w:val="center"/>
          </w:tcPr>
          <w:p w14:paraId="0464ED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0.5267</w:t>
            </w:r>
          </w:p>
        </w:tc>
        <w:tc>
          <w:tcPr>
            <w:tcW w:w="1134" w:type="dxa"/>
            <w:tcBorders>
              <w:top w:val="nil"/>
              <w:left w:val="nil"/>
              <w:bottom w:val="nil"/>
              <w:right w:val="nil"/>
            </w:tcBorders>
            <w:shd w:val="clear" w:color="auto" w:fill="FFFFFF"/>
            <w:tcMar>
              <w:left w:w="67" w:type="dxa"/>
              <w:right w:w="67" w:type="dxa"/>
            </w:tcMar>
            <w:vAlign w:val="center"/>
          </w:tcPr>
          <w:p w14:paraId="2EF0C9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0.2504</w:t>
            </w:r>
          </w:p>
        </w:tc>
        <w:tc>
          <w:tcPr>
            <w:tcW w:w="1134" w:type="dxa"/>
            <w:tcBorders>
              <w:top w:val="nil"/>
              <w:left w:val="nil"/>
              <w:bottom w:val="nil"/>
              <w:right w:val="nil"/>
            </w:tcBorders>
            <w:shd w:val="clear" w:color="auto" w:fill="FFFFFF"/>
            <w:tcMar>
              <w:left w:w="67" w:type="dxa"/>
              <w:right w:w="67" w:type="dxa"/>
            </w:tcMar>
            <w:vAlign w:val="center"/>
          </w:tcPr>
          <w:p w14:paraId="666505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1.1081</w:t>
            </w:r>
          </w:p>
        </w:tc>
        <w:tc>
          <w:tcPr>
            <w:tcW w:w="1134" w:type="dxa"/>
            <w:tcBorders>
              <w:top w:val="nil"/>
              <w:left w:val="nil"/>
              <w:bottom w:val="nil"/>
              <w:right w:val="nil"/>
            </w:tcBorders>
            <w:shd w:val="clear" w:color="auto" w:fill="FFFFFF"/>
            <w:tcMar>
              <w:left w:w="67" w:type="dxa"/>
              <w:right w:w="67" w:type="dxa"/>
            </w:tcMar>
            <w:vAlign w:val="center"/>
          </w:tcPr>
          <w:p w14:paraId="4C8A04A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E1BA7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BC00E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6D6223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575D61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4A3980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0C5D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-0.4013</w:t>
            </w:r>
          </w:p>
        </w:tc>
        <w:tc>
          <w:tcPr>
            <w:tcW w:w="1134" w:type="dxa"/>
            <w:tcBorders>
              <w:top w:val="nil"/>
              <w:left w:val="nil"/>
              <w:bottom w:val="nil"/>
              <w:right w:val="nil"/>
            </w:tcBorders>
            <w:shd w:val="clear" w:color="auto" w:fill="FFFFFF"/>
            <w:tcMar>
              <w:left w:w="67" w:type="dxa"/>
              <w:right w:w="67" w:type="dxa"/>
            </w:tcMar>
            <w:vAlign w:val="center"/>
          </w:tcPr>
          <w:p w14:paraId="0C597B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0.3483</w:t>
            </w:r>
          </w:p>
        </w:tc>
        <w:tc>
          <w:tcPr>
            <w:tcW w:w="1134" w:type="dxa"/>
            <w:tcBorders>
              <w:top w:val="nil"/>
              <w:left w:val="nil"/>
              <w:bottom w:val="nil"/>
              <w:right w:val="nil"/>
            </w:tcBorders>
            <w:shd w:val="clear" w:color="auto" w:fill="FFFFFF"/>
            <w:tcMar>
              <w:left w:w="67" w:type="dxa"/>
              <w:right w:w="67" w:type="dxa"/>
            </w:tcMar>
            <w:vAlign w:val="center"/>
          </w:tcPr>
          <w:p w14:paraId="5FD68E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0.6694</w:t>
            </w:r>
          </w:p>
        </w:tc>
        <w:tc>
          <w:tcPr>
            <w:tcW w:w="1134" w:type="dxa"/>
            <w:tcBorders>
              <w:top w:val="nil"/>
              <w:left w:val="nil"/>
              <w:bottom w:val="nil"/>
              <w:right w:val="nil"/>
            </w:tcBorders>
            <w:shd w:val="clear" w:color="auto" w:fill="FFFFFF"/>
            <w:tcMar>
              <w:left w:w="67" w:type="dxa"/>
              <w:right w:w="67" w:type="dxa"/>
            </w:tcMar>
            <w:vAlign w:val="center"/>
          </w:tcPr>
          <w:p w14:paraId="452264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0.3067</w:t>
            </w:r>
          </w:p>
        </w:tc>
        <w:tc>
          <w:tcPr>
            <w:tcW w:w="1134" w:type="dxa"/>
            <w:tcBorders>
              <w:top w:val="nil"/>
              <w:left w:val="nil"/>
              <w:bottom w:val="nil"/>
              <w:right w:val="nil"/>
            </w:tcBorders>
            <w:shd w:val="clear" w:color="auto" w:fill="FFFFFF"/>
            <w:tcMar>
              <w:left w:w="67" w:type="dxa"/>
              <w:right w:w="67" w:type="dxa"/>
            </w:tcMar>
            <w:vAlign w:val="center"/>
          </w:tcPr>
          <w:p w14:paraId="5363F7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1.4613</w:t>
            </w:r>
          </w:p>
        </w:tc>
        <w:tc>
          <w:tcPr>
            <w:tcW w:w="1134" w:type="dxa"/>
            <w:tcBorders>
              <w:top w:val="nil"/>
              <w:left w:val="nil"/>
              <w:bottom w:val="nil"/>
              <w:right w:val="nil"/>
            </w:tcBorders>
            <w:shd w:val="clear" w:color="auto" w:fill="FFFFFF"/>
            <w:tcMar>
              <w:left w:w="67" w:type="dxa"/>
              <w:right w:w="67" w:type="dxa"/>
            </w:tcMar>
            <w:vAlign w:val="center"/>
          </w:tcPr>
          <w:p w14:paraId="3D19A6C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C1F5D7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A512A7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E9DCA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FEA966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599D1A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0BD4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-0.2296</w:t>
            </w:r>
          </w:p>
        </w:tc>
        <w:tc>
          <w:tcPr>
            <w:tcW w:w="1134" w:type="dxa"/>
            <w:tcBorders>
              <w:top w:val="nil"/>
              <w:left w:val="nil"/>
              <w:bottom w:val="nil"/>
              <w:right w:val="nil"/>
            </w:tcBorders>
            <w:shd w:val="clear" w:color="auto" w:fill="FFFFFF"/>
            <w:tcMar>
              <w:left w:w="67" w:type="dxa"/>
              <w:right w:w="67" w:type="dxa"/>
            </w:tcMar>
            <w:vAlign w:val="center"/>
          </w:tcPr>
          <w:p w14:paraId="25F333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0.2899</w:t>
            </w:r>
          </w:p>
        </w:tc>
        <w:tc>
          <w:tcPr>
            <w:tcW w:w="1134" w:type="dxa"/>
            <w:tcBorders>
              <w:top w:val="nil"/>
              <w:left w:val="nil"/>
              <w:bottom w:val="nil"/>
              <w:right w:val="nil"/>
            </w:tcBorders>
            <w:shd w:val="clear" w:color="auto" w:fill="FFFFFF"/>
            <w:tcMar>
              <w:left w:w="67" w:type="dxa"/>
              <w:right w:w="67" w:type="dxa"/>
            </w:tcMar>
            <w:vAlign w:val="center"/>
          </w:tcPr>
          <w:p w14:paraId="7DF870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0.7948</w:t>
            </w:r>
          </w:p>
        </w:tc>
        <w:tc>
          <w:tcPr>
            <w:tcW w:w="1134" w:type="dxa"/>
            <w:tcBorders>
              <w:top w:val="nil"/>
              <w:left w:val="nil"/>
              <w:bottom w:val="nil"/>
              <w:right w:val="nil"/>
            </w:tcBorders>
            <w:shd w:val="clear" w:color="auto" w:fill="FFFFFF"/>
            <w:tcMar>
              <w:left w:w="67" w:type="dxa"/>
              <w:right w:w="67" w:type="dxa"/>
            </w:tcMar>
            <w:vAlign w:val="center"/>
          </w:tcPr>
          <w:p w14:paraId="3F094E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0.4150</w:t>
            </w:r>
          </w:p>
        </w:tc>
        <w:tc>
          <w:tcPr>
            <w:tcW w:w="1134" w:type="dxa"/>
            <w:tcBorders>
              <w:top w:val="nil"/>
              <w:left w:val="nil"/>
              <w:bottom w:val="nil"/>
              <w:right w:val="nil"/>
            </w:tcBorders>
            <w:shd w:val="clear" w:color="auto" w:fill="FFFFFF"/>
            <w:tcMar>
              <w:left w:w="67" w:type="dxa"/>
              <w:right w:w="67" w:type="dxa"/>
            </w:tcMar>
            <w:vAlign w:val="center"/>
          </w:tcPr>
          <w:p w14:paraId="631001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1.5223</w:t>
            </w:r>
          </w:p>
        </w:tc>
        <w:tc>
          <w:tcPr>
            <w:tcW w:w="1134" w:type="dxa"/>
            <w:tcBorders>
              <w:top w:val="nil"/>
              <w:left w:val="nil"/>
              <w:bottom w:val="nil"/>
              <w:right w:val="nil"/>
            </w:tcBorders>
            <w:shd w:val="clear" w:color="auto" w:fill="FFFFFF"/>
            <w:tcMar>
              <w:left w:w="67" w:type="dxa"/>
              <w:right w:w="67" w:type="dxa"/>
            </w:tcMar>
            <w:vAlign w:val="center"/>
          </w:tcPr>
          <w:p w14:paraId="781C428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F310D3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D588B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587AF0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7C37B5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5E9B2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741B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-0.3929</w:t>
            </w:r>
          </w:p>
        </w:tc>
        <w:tc>
          <w:tcPr>
            <w:tcW w:w="1134" w:type="dxa"/>
            <w:tcBorders>
              <w:top w:val="nil"/>
              <w:left w:val="nil"/>
              <w:bottom w:val="nil"/>
              <w:right w:val="nil"/>
            </w:tcBorders>
            <w:shd w:val="clear" w:color="auto" w:fill="FFFFFF"/>
            <w:tcMar>
              <w:left w:w="67" w:type="dxa"/>
              <w:right w:w="67" w:type="dxa"/>
            </w:tcMar>
            <w:vAlign w:val="center"/>
          </w:tcPr>
          <w:p w14:paraId="725DB3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0.3279</w:t>
            </w:r>
          </w:p>
        </w:tc>
        <w:tc>
          <w:tcPr>
            <w:tcW w:w="1134" w:type="dxa"/>
            <w:tcBorders>
              <w:top w:val="nil"/>
              <w:left w:val="nil"/>
              <w:bottom w:val="nil"/>
              <w:right w:val="nil"/>
            </w:tcBorders>
            <w:shd w:val="clear" w:color="auto" w:fill="FFFFFF"/>
            <w:tcMar>
              <w:left w:w="67" w:type="dxa"/>
              <w:right w:w="67" w:type="dxa"/>
            </w:tcMar>
            <w:vAlign w:val="center"/>
          </w:tcPr>
          <w:p w14:paraId="0FB056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0.6751</w:t>
            </w:r>
          </w:p>
        </w:tc>
        <w:tc>
          <w:tcPr>
            <w:tcW w:w="1134" w:type="dxa"/>
            <w:tcBorders>
              <w:top w:val="nil"/>
              <w:left w:val="nil"/>
              <w:bottom w:val="nil"/>
              <w:right w:val="nil"/>
            </w:tcBorders>
            <w:shd w:val="clear" w:color="auto" w:fill="FFFFFF"/>
            <w:tcMar>
              <w:left w:w="67" w:type="dxa"/>
              <w:right w:w="67" w:type="dxa"/>
            </w:tcMar>
            <w:vAlign w:val="center"/>
          </w:tcPr>
          <w:p w14:paraId="7AE7BA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0.3237</w:t>
            </w:r>
          </w:p>
        </w:tc>
        <w:tc>
          <w:tcPr>
            <w:tcW w:w="1134" w:type="dxa"/>
            <w:tcBorders>
              <w:top w:val="nil"/>
              <w:left w:val="nil"/>
              <w:bottom w:val="nil"/>
              <w:right w:val="nil"/>
            </w:tcBorders>
            <w:shd w:val="clear" w:color="auto" w:fill="FFFFFF"/>
            <w:tcMar>
              <w:left w:w="67" w:type="dxa"/>
              <w:right w:w="67" w:type="dxa"/>
            </w:tcMar>
            <w:vAlign w:val="center"/>
          </w:tcPr>
          <w:p w14:paraId="26E1B7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1.4078</w:t>
            </w:r>
          </w:p>
        </w:tc>
        <w:tc>
          <w:tcPr>
            <w:tcW w:w="1134" w:type="dxa"/>
            <w:tcBorders>
              <w:top w:val="nil"/>
              <w:left w:val="nil"/>
              <w:bottom w:val="nil"/>
              <w:right w:val="nil"/>
            </w:tcBorders>
            <w:shd w:val="clear" w:color="auto" w:fill="FFFFFF"/>
            <w:tcMar>
              <w:left w:w="67" w:type="dxa"/>
              <w:right w:w="67" w:type="dxa"/>
            </w:tcMar>
            <w:vAlign w:val="center"/>
          </w:tcPr>
          <w:p w14:paraId="3C4743E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04538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042EE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607D2E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15377D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A293F1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B65E9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0.1823</w:t>
            </w:r>
          </w:p>
        </w:tc>
        <w:tc>
          <w:tcPr>
            <w:tcW w:w="1134" w:type="dxa"/>
            <w:tcBorders>
              <w:top w:val="nil"/>
              <w:left w:val="nil"/>
              <w:bottom w:val="nil"/>
              <w:right w:val="nil"/>
            </w:tcBorders>
            <w:shd w:val="clear" w:color="auto" w:fill="FFFFFF"/>
            <w:tcMar>
              <w:left w:w="67" w:type="dxa"/>
              <w:right w:w="67" w:type="dxa"/>
            </w:tcMar>
            <w:vAlign w:val="center"/>
          </w:tcPr>
          <w:p w14:paraId="3FBC1B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0.3048</w:t>
            </w:r>
          </w:p>
        </w:tc>
        <w:tc>
          <w:tcPr>
            <w:tcW w:w="1134" w:type="dxa"/>
            <w:tcBorders>
              <w:top w:val="nil"/>
              <w:left w:val="nil"/>
              <w:bottom w:val="nil"/>
              <w:right w:val="nil"/>
            </w:tcBorders>
            <w:shd w:val="clear" w:color="auto" w:fill="FFFFFF"/>
            <w:tcMar>
              <w:left w:w="67" w:type="dxa"/>
              <w:right w:w="67" w:type="dxa"/>
            </w:tcMar>
            <w:vAlign w:val="center"/>
          </w:tcPr>
          <w:p w14:paraId="2E68D6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1.2000</w:t>
            </w:r>
          </w:p>
        </w:tc>
        <w:tc>
          <w:tcPr>
            <w:tcW w:w="1134" w:type="dxa"/>
            <w:tcBorders>
              <w:top w:val="nil"/>
              <w:left w:val="nil"/>
              <w:bottom w:val="nil"/>
              <w:right w:val="nil"/>
            </w:tcBorders>
            <w:shd w:val="clear" w:color="auto" w:fill="FFFFFF"/>
            <w:tcMar>
              <w:left w:w="67" w:type="dxa"/>
              <w:right w:w="67" w:type="dxa"/>
            </w:tcMar>
            <w:vAlign w:val="center"/>
          </w:tcPr>
          <w:p w14:paraId="0705DB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0.6060</w:t>
            </w:r>
          </w:p>
        </w:tc>
        <w:tc>
          <w:tcPr>
            <w:tcW w:w="1134" w:type="dxa"/>
            <w:tcBorders>
              <w:top w:val="nil"/>
              <w:left w:val="nil"/>
              <w:bottom w:val="nil"/>
              <w:right w:val="nil"/>
            </w:tcBorders>
            <w:shd w:val="clear" w:color="auto" w:fill="FFFFFF"/>
            <w:tcMar>
              <w:left w:w="67" w:type="dxa"/>
              <w:right w:w="67" w:type="dxa"/>
            </w:tcMar>
            <w:vAlign w:val="center"/>
          </w:tcPr>
          <w:p w14:paraId="06AF8F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2.3764</w:t>
            </w:r>
          </w:p>
        </w:tc>
        <w:tc>
          <w:tcPr>
            <w:tcW w:w="1134" w:type="dxa"/>
            <w:tcBorders>
              <w:top w:val="nil"/>
              <w:left w:val="nil"/>
              <w:bottom w:val="nil"/>
              <w:right w:val="nil"/>
            </w:tcBorders>
            <w:shd w:val="clear" w:color="auto" w:fill="FFFFFF"/>
            <w:tcMar>
              <w:left w:w="67" w:type="dxa"/>
              <w:right w:w="67" w:type="dxa"/>
            </w:tcMar>
            <w:vAlign w:val="center"/>
          </w:tcPr>
          <w:p w14:paraId="181B4F4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ABE347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F0480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BBF579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323DF6"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437FC4A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7A752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09157F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0.0166</w:t>
            </w:r>
          </w:p>
        </w:tc>
        <w:tc>
          <w:tcPr>
            <w:tcW w:w="1134" w:type="dxa"/>
            <w:tcBorders>
              <w:top w:val="nil"/>
              <w:left w:val="nil"/>
              <w:bottom w:val="nil"/>
              <w:right w:val="nil"/>
            </w:tcBorders>
            <w:shd w:val="clear" w:color="auto" w:fill="FFFFFF"/>
            <w:tcMar>
              <w:left w:w="67" w:type="dxa"/>
              <w:right w:w="67" w:type="dxa"/>
            </w:tcMar>
            <w:vAlign w:val="center"/>
          </w:tcPr>
          <w:p w14:paraId="18D1BA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0.9816</w:t>
            </w:r>
          </w:p>
        </w:tc>
        <w:tc>
          <w:tcPr>
            <w:tcW w:w="1134" w:type="dxa"/>
            <w:tcBorders>
              <w:top w:val="nil"/>
              <w:left w:val="nil"/>
              <w:bottom w:val="nil"/>
              <w:right w:val="nil"/>
            </w:tcBorders>
            <w:shd w:val="clear" w:color="auto" w:fill="FFFFFF"/>
            <w:tcMar>
              <w:left w:w="67" w:type="dxa"/>
              <w:right w:w="67" w:type="dxa"/>
            </w:tcMar>
            <w:vAlign w:val="center"/>
          </w:tcPr>
          <w:p w14:paraId="40DA15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0.9457</w:t>
            </w:r>
          </w:p>
        </w:tc>
        <w:tc>
          <w:tcPr>
            <w:tcW w:w="1134" w:type="dxa"/>
            <w:tcBorders>
              <w:top w:val="nil"/>
              <w:left w:val="nil"/>
              <w:bottom w:val="nil"/>
              <w:right w:val="nil"/>
            </w:tcBorders>
            <w:shd w:val="clear" w:color="auto" w:fill="FFFFFF"/>
            <w:tcMar>
              <w:left w:w="67" w:type="dxa"/>
              <w:right w:w="67" w:type="dxa"/>
            </w:tcMar>
            <w:vAlign w:val="center"/>
          </w:tcPr>
          <w:p w14:paraId="096B44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1.0189</w:t>
            </w:r>
          </w:p>
        </w:tc>
        <w:tc>
          <w:tcPr>
            <w:tcW w:w="1134" w:type="dxa"/>
            <w:tcBorders>
              <w:top w:val="nil"/>
              <w:left w:val="nil"/>
              <w:bottom w:val="nil"/>
              <w:right w:val="nil"/>
            </w:tcBorders>
            <w:shd w:val="clear" w:color="auto" w:fill="FFFFFF"/>
            <w:tcMar>
              <w:left w:w="67" w:type="dxa"/>
              <w:right w:w="67" w:type="dxa"/>
            </w:tcMar>
            <w:vAlign w:val="center"/>
          </w:tcPr>
          <w:p w14:paraId="732FC4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w:t>
            </w:r>
          </w:p>
        </w:tc>
        <w:tc>
          <w:tcPr>
            <w:tcW w:w="567" w:type="dxa"/>
            <w:tcBorders>
              <w:top w:val="nil"/>
              <w:left w:val="nil"/>
              <w:bottom w:val="nil"/>
              <w:right w:val="nil"/>
            </w:tcBorders>
            <w:shd w:val="clear" w:color="auto" w:fill="FFFFFF"/>
            <w:tcMar>
              <w:left w:w="67" w:type="dxa"/>
              <w:right w:w="67" w:type="dxa"/>
            </w:tcMar>
            <w:vAlign w:val="center"/>
          </w:tcPr>
          <w:p w14:paraId="0A9559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8628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0.2637</w:t>
            </w:r>
          </w:p>
        </w:tc>
      </w:tr>
      <w:tr w:rsidR="00B77EA3" w:rsidRPr="0082484A" w14:paraId="2B0F73F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909D5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4EFF54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4A0AD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0.0058</w:t>
            </w:r>
          </w:p>
        </w:tc>
        <w:tc>
          <w:tcPr>
            <w:tcW w:w="1134" w:type="dxa"/>
            <w:tcBorders>
              <w:top w:val="nil"/>
              <w:left w:val="nil"/>
              <w:bottom w:val="nil"/>
              <w:right w:val="nil"/>
            </w:tcBorders>
            <w:shd w:val="clear" w:color="auto" w:fill="FFFFFF"/>
            <w:tcMar>
              <w:left w:w="67" w:type="dxa"/>
              <w:right w:w="67" w:type="dxa"/>
            </w:tcMar>
            <w:vAlign w:val="center"/>
          </w:tcPr>
          <w:p w14:paraId="6335C7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0.0103</w:t>
            </w:r>
          </w:p>
        </w:tc>
        <w:tc>
          <w:tcPr>
            <w:tcW w:w="1134" w:type="dxa"/>
            <w:tcBorders>
              <w:top w:val="nil"/>
              <w:left w:val="nil"/>
              <w:bottom w:val="nil"/>
              <w:right w:val="nil"/>
            </w:tcBorders>
            <w:shd w:val="clear" w:color="auto" w:fill="FFFFFF"/>
            <w:tcMar>
              <w:left w:w="67" w:type="dxa"/>
              <w:right w:w="67" w:type="dxa"/>
            </w:tcMar>
            <w:vAlign w:val="center"/>
          </w:tcPr>
          <w:p w14:paraId="21235C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1.0058</w:t>
            </w:r>
          </w:p>
        </w:tc>
        <w:tc>
          <w:tcPr>
            <w:tcW w:w="1134" w:type="dxa"/>
            <w:tcBorders>
              <w:top w:val="nil"/>
              <w:left w:val="nil"/>
              <w:bottom w:val="nil"/>
              <w:right w:val="nil"/>
            </w:tcBorders>
            <w:shd w:val="clear" w:color="auto" w:fill="FFFFFF"/>
            <w:tcMar>
              <w:left w:w="67" w:type="dxa"/>
              <w:right w:w="67" w:type="dxa"/>
            </w:tcMar>
            <w:vAlign w:val="center"/>
          </w:tcPr>
          <w:p w14:paraId="64AFCF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0.9830</w:t>
            </w:r>
          </w:p>
        </w:tc>
        <w:tc>
          <w:tcPr>
            <w:tcW w:w="1134" w:type="dxa"/>
            <w:tcBorders>
              <w:top w:val="nil"/>
              <w:left w:val="nil"/>
              <w:bottom w:val="nil"/>
              <w:right w:val="nil"/>
            </w:tcBorders>
            <w:shd w:val="clear" w:color="auto" w:fill="FFFFFF"/>
            <w:tcMar>
              <w:left w:w="67" w:type="dxa"/>
              <w:right w:w="67" w:type="dxa"/>
            </w:tcMar>
            <w:vAlign w:val="center"/>
          </w:tcPr>
          <w:p w14:paraId="47B65E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1.0292</w:t>
            </w:r>
          </w:p>
        </w:tc>
        <w:tc>
          <w:tcPr>
            <w:tcW w:w="1134" w:type="dxa"/>
            <w:tcBorders>
              <w:top w:val="nil"/>
              <w:left w:val="nil"/>
              <w:bottom w:val="nil"/>
              <w:right w:val="nil"/>
            </w:tcBorders>
            <w:shd w:val="clear" w:color="auto" w:fill="FFFFFF"/>
            <w:tcMar>
              <w:left w:w="67" w:type="dxa"/>
              <w:right w:w="67" w:type="dxa"/>
            </w:tcMar>
            <w:vAlign w:val="center"/>
          </w:tcPr>
          <w:p w14:paraId="3A4881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w:t>
            </w:r>
          </w:p>
        </w:tc>
        <w:tc>
          <w:tcPr>
            <w:tcW w:w="567" w:type="dxa"/>
            <w:tcBorders>
              <w:top w:val="nil"/>
              <w:left w:val="nil"/>
              <w:bottom w:val="nil"/>
              <w:right w:val="nil"/>
            </w:tcBorders>
            <w:shd w:val="clear" w:color="auto" w:fill="FFFFFF"/>
            <w:tcMar>
              <w:left w:w="67" w:type="dxa"/>
              <w:right w:w="67" w:type="dxa"/>
            </w:tcMar>
            <w:vAlign w:val="center"/>
          </w:tcPr>
          <w:p w14:paraId="0AA957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8C51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0.5713</w:t>
            </w:r>
          </w:p>
        </w:tc>
      </w:tr>
      <w:tr w:rsidR="00B77EA3" w:rsidRPr="0082484A" w14:paraId="573E165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AE07C56"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610EAC2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AEF6E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nil"/>
              <w:right w:val="nil"/>
            </w:tcBorders>
            <w:shd w:val="clear" w:color="auto" w:fill="FFFFFF"/>
            <w:tcMar>
              <w:left w:w="67" w:type="dxa"/>
              <w:right w:w="67" w:type="dxa"/>
            </w:tcMar>
            <w:vAlign w:val="center"/>
          </w:tcPr>
          <w:p w14:paraId="1E6445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07CDA2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1.0000</w:t>
            </w:r>
          </w:p>
        </w:tc>
        <w:tc>
          <w:tcPr>
            <w:tcW w:w="1134" w:type="dxa"/>
            <w:tcBorders>
              <w:top w:val="nil"/>
              <w:left w:val="nil"/>
              <w:bottom w:val="nil"/>
              <w:right w:val="nil"/>
            </w:tcBorders>
            <w:shd w:val="clear" w:color="auto" w:fill="FFFFFF"/>
            <w:tcMar>
              <w:left w:w="67" w:type="dxa"/>
              <w:right w:w="67" w:type="dxa"/>
            </w:tcMar>
            <w:vAlign w:val="center"/>
          </w:tcPr>
          <w:p w14:paraId="76E92F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0.9942</w:t>
            </w:r>
          </w:p>
        </w:tc>
        <w:tc>
          <w:tcPr>
            <w:tcW w:w="1134" w:type="dxa"/>
            <w:tcBorders>
              <w:top w:val="nil"/>
              <w:left w:val="nil"/>
              <w:bottom w:val="nil"/>
              <w:right w:val="nil"/>
            </w:tcBorders>
            <w:shd w:val="clear" w:color="auto" w:fill="FFFFFF"/>
            <w:tcMar>
              <w:left w:w="67" w:type="dxa"/>
              <w:right w:w="67" w:type="dxa"/>
            </w:tcMar>
            <w:vAlign w:val="center"/>
          </w:tcPr>
          <w:p w14:paraId="6ACCA7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1.0059</w:t>
            </w:r>
          </w:p>
        </w:tc>
        <w:tc>
          <w:tcPr>
            <w:tcW w:w="1134" w:type="dxa"/>
            <w:tcBorders>
              <w:top w:val="nil"/>
              <w:left w:val="nil"/>
              <w:bottom w:val="nil"/>
              <w:right w:val="nil"/>
            </w:tcBorders>
            <w:shd w:val="clear" w:color="auto" w:fill="FFFFFF"/>
            <w:tcMar>
              <w:left w:w="67" w:type="dxa"/>
              <w:right w:w="67" w:type="dxa"/>
            </w:tcMar>
            <w:vAlign w:val="center"/>
          </w:tcPr>
          <w:p w14:paraId="4844FF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A116A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93E54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0.9982</w:t>
            </w:r>
          </w:p>
        </w:tc>
      </w:tr>
      <w:tr w:rsidR="00B77EA3" w:rsidRPr="0082484A" w14:paraId="5C6F3903"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03EACF49"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21EDD4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51C3B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0.0857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7215C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0.0828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5F5F7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1.0895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82918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0.9050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BAC37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1.3115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8CF44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2753E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6FC69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0.3006</w:t>
            </w:r>
          </w:p>
        </w:tc>
      </w:tr>
    </w:tbl>
    <w:p w14:paraId="31EB0B25" w14:textId="2DE0AC90" w:rsidR="00B77EA3"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micro-albuminuria testing performed in the previous 12 months is 20</w:t>
      </w:r>
    </w:p>
    <w:p w14:paraId="1F48EEA6" w14:textId="1A135A04" w:rsidR="00D500CF" w:rsidRPr="00D500CF" w:rsidRDefault="00D500CF" w:rsidP="00B77EA3">
      <w:pPr>
        <w:spacing w:before="0" w:line="240" w:lineRule="auto"/>
        <w:rPr>
          <w:bCs/>
          <w:i/>
          <w:sz w:val="22"/>
          <w:szCs w:val="22"/>
        </w:rPr>
      </w:pPr>
      <w:r>
        <w:rPr>
          <w:bCs/>
          <w:sz w:val="22"/>
          <w:szCs w:val="22"/>
          <w:vertAlign w:val="superscript"/>
        </w:rPr>
        <w:t xml:space="preserve">b </w:t>
      </w:r>
      <w:r>
        <w:rPr>
          <w:bCs/>
          <w:sz w:val="22"/>
          <w:szCs w:val="22"/>
        </w:rPr>
        <w:t xml:space="preserve">Table modified from: </w:t>
      </w:r>
      <w:r w:rsidR="00930CFA">
        <w:t xml:space="preserve">Willis TA, Collinson M, Glidewell L, Farrin A, Holland M, Meads D, et al. An adaptable implementation package targeting evidence-based indicators in primary care: a pragmatic cluster-randomised evaluation. </w:t>
      </w:r>
      <w:r w:rsidR="00930CFA" w:rsidRPr="00B8773E">
        <w:rPr>
          <w:i/>
        </w:rPr>
        <w:t>PLOS Med</w:t>
      </w:r>
      <w:r w:rsidR="00930CFA">
        <w:t>. Forthcoming 2020</w:t>
      </w:r>
    </w:p>
    <w:p w14:paraId="2117693A" w14:textId="77777777" w:rsidR="00B77EA3" w:rsidRPr="0082484A" w:rsidRDefault="00B77EA3" w:rsidP="00B77EA3">
      <w:pPr>
        <w:spacing w:before="0" w:after="160" w:line="259" w:lineRule="auto"/>
        <w:rPr>
          <w:sz w:val="22"/>
          <w:szCs w:val="22"/>
        </w:rPr>
      </w:pPr>
      <w:r w:rsidRPr="0082484A">
        <w:rPr>
          <w:sz w:val="22"/>
          <w:szCs w:val="22"/>
        </w:rPr>
        <w:br w:type="page"/>
      </w:r>
    </w:p>
    <w:p w14:paraId="1A2CA74C" w14:textId="6303AFA7" w:rsidR="00B77EA3" w:rsidRPr="0082484A" w:rsidRDefault="00B77EA3" w:rsidP="00B77EA3">
      <w:pPr>
        <w:spacing w:before="0" w:line="240" w:lineRule="auto"/>
        <w:rPr>
          <w:bCs/>
          <w:sz w:val="22"/>
          <w:szCs w:val="22"/>
        </w:rPr>
      </w:pPr>
      <w:bookmarkStart w:id="75" w:name="_Ref502917782"/>
      <w:bookmarkStart w:id="76" w:name="_Toc8728094"/>
      <w:bookmarkStart w:id="77" w:name="_Toc19526749"/>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20</w:t>
      </w:r>
      <w:r w:rsidRPr="0082484A">
        <w:rPr>
          <w:bCs/>
          <w:noProof/>
          <w:sz w:val="22"/>
          <w:szCs w:val="22"/>
        </w:rPr>
        <w:fldChar w:fldCharType="end"/>
      </w:r>
      <w:bookmarkEnd w:id="75"/>
      <w:r w:rsidRPr="0082484A">
        <w:rPr>
          <w:bCs/>
          <w:sz w:val="22"/>
          <w:szCs w:val="22"/>
        </w:rPr>
        <w:t>: Secondary outcome for Trial 1: The proportion of patients with Type 2 diabetes having estimated glomerular filtration rate (eGFR) / serum creatinine testing performed in the previous 12 months (WP4A)</w:t>
      </w:r>
      <w:r w:rsidRPr="0082484A">
        <w:rPr>
          <w:bCs/>
          <w:sz w:val="22"/>
          <w:szCs w:val="22"/>
          <w:vertAlign w:val="superscript"/>
        </w:rPr>
        <w:t xml:space="preserve"> a</w:t>
      </w:r>
      <w:bookmarkEnd w:id="76"/>
      <w:bookmarkEnd w:id="77"/>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3C79B38B"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E1ABE30" w14:textId="77777777" w:rsidR="00B77EA3" w:rsidRPr="0082484A" w:rsidRDefault="00B77EA3" w:rsidP="00B77EA3">
            <w:pPr>
              <w:spacing w:beforeLines="10" w:before="24" w:afterLines="10" w:after="24" w:line="240" w:lineRule="auto"/>
              <w:rPr>
                <w:bCs/>
                <w:sz w:val="22"/>
                <w:szCs w:val="22"/>
              </w:rPr>
            </w:pPr>
            <w:bookmarkStart w:id="78" w:name="IDX134"/>
            <w:bookmarkEnd w:id="78"/>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2FF1E64"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3DABD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8F5EB7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D57DD7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ED8343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58D45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5D7C33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168B6C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938A0B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44E2C3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3E99E09"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4607E2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14D3C7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0.0760</w:t>
            </w:r>
          </w:p>
        </w:tc>
        <w:tc>
          <w:tcPr>
            <w:tcW w:w="1134" w:type="dxa"/>
            <w:tcBorders>
              <w:top w:val="nil"/>
              <w:left w:val="nil"/>
              <w:bottom w:val="nil"/>
              <w:right w:val="nil"/>
            </w:tcBorders>
            <w:shd w:val="clear" w:color="auto" w:fill="FFFFFF"/>
            <w:tcMar>
              <w:left w:w="67" w:type="dxa"/>
              <w:right w:w="67" w:type="dxa"/>
            </w:tcMar>
            <w:vAlign w:val="center"/>
          </w:tcPr>
          <w:p w14:paraId="1B9587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0.1273</w:t>
            </w:r>
          </w:p>
        </w:tc>
        <w:tc>
          <w:tcPr>
            <w:tcW w:w="1134" w:type="dxa"/>
            <w:tcBorders>
              <w:top w:val="nil"/>
              <w:left w:val="nil"/>
              <w:bottom w:val="nil"/>
              <w:right w:val="nil"/>
            </w:tcBorders>
            <w:shd w:val="clear" w:color="auto" w:fill="FFFFFF"/>
            <w:tcMar>
              <w:left w:w="67" w:type="dxa"/>
              <w:right w:w="67" w:type="dxa"/>
            </w:tcMar>
            <w:vAlign w:val="center"/>
          </w:tcPr>
          <w:p w14:paraId="527150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1.0790</w:t>
            </w:r>
          </w:p>
        </w:tc>
        <w:tc>
          <w:tcPr>
            <w:tcW w:w="1134" w:type="dxa"/>
            <w:tcBorders>
              <w:top w:val="nil"/>
              <w:left w:val="nil"/>
              <w:bottom w:val="nil"/>
              <w:right w:val="nil"/>
            </w:tcBorders>
            <w:shd w:val="clear" w:color="auto" w:fill="FFFFFF"/>
            <w:tcMar>
              <w:left w:w="67" w:type="dxa"/>
              <w:right w:w="67" w:type="dxa"/>
            </w:tcMar>
            <w:vAlign w:val="center"/>
          </w:tcPr>
          <w:p w14:paraId="601CB5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0.8111</w:t>
            </w:r>
          </w:p>
        </w:tc>
        <w:tc>
          <w:tcPr>
            <w:tcW w:w="1134" w:type="dxa"/>
            <w:tcBorders>
              <w:top w:val="nil"/>
              <w:left w:val="nil"/>
              <w:bottom w:val="nil"/>
              <w:right w:val="nil"/>
            </w:tcBorders>
            <w:shd w:val="clear" w:color="auto" w:fill="FFFFFF"/>
            <w:tcMar>
              <w:left w:w="67" w:type="dxa"/>
              <w:right w:w="67" w:type="dxa"/>
            </w:tcMar>
            <w:vAlign w:val="center"/>
          </w:tcPr>
          <w:p w14:paraId="48742D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1.4353</w:t>
            </w:r>
          </w:p>
        </w:tc>
        <w:tc>
          <w:tcPr>
            <w:tcW w:w="1134" w:type="dxa"/>
            <w:tcBorders>
              <w:top w:val="nil"/>
              <w:left w:val="nil"/>
              <w:bottom w:val="nil"/>
              <w:right w:val="nil"/>
            </w:tcBorders>
            <w:shd w:val="clear" w:color="auto" w:fill="FFFFFF"/>
            <w:tcMar>
              <w:left w:w="67" w:type="dxa"/>
              <w:right w:w="67" w:type="dxa"/>
            </w:tcMar>
            <w:vAlign w:val="center"/>
          </w:tcPr>
          <w:p w14:paraId="2C0684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w:t>
            </w:r>
          </w:p>
        </w:tc>
        <w:tc>
          <w:tcPr>
            <w:tcW w:w="567" w:type="dxa"/>
            <w:tcBorders>
              <w:top w:val="nil"/>
              <w:left w:val="nil"/>
              <w:bottom w:val="nil"/>
              <w:right w:val="nil"/>
            </w:tcBorders>
            <w:shd w:val="clear" w:color="auto" w:fill="FFFFFF"/>
            <w:tcMar>
              <w:left w:w="67" w:type="dxa"/>
              <w:right w:w="67" w:type="dxa"/>
            </w:tcMar>
            <w:vAlign w:val="center"/>
          </w:tcPr>
          <w:p w14:paraId="111134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1387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0.5506</w:t>
            </w:r>
          </w:p>
        </w:tc>
      </w:tr>
      <w:tr w:rsidR="00B77EA3" w:rsidRPr="0082484A" w14:paraId="4AE3958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02811B"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591FEE4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390420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0.0342</w:t>
            </w:r>
          </w:p>
        </w:tc>
        <w:tc>
          <w:tcPr>
            <w:tcW w:w="1134" w:type="dxa"/>
            <w:tcBorders>
              <w:top w:val="nil"/>
              <w:left w:val="nil"/>
              <w:bottom w:val="nil"/>
              <w:right w:val="nil"/>
            </w:tcBorders>
            <w:shd w:val="clear" w:color="auto" w:fill="FFFFFF"/>
            <w:tcMar>
              <w:left w:w="67" w:type="dxa"/>
              <w:right w:w="67" w:type="dxa"/>
            </w:tcMar>
            <w:vAlign w:val="center"/>
          </w:tcPr>
          <w:p w14:paraId="6E6A8B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0.0444</w:t>
            </w:r>
          </w:p>
        </w:tc>
        <w:tc>
          <w:tcPr>
            <w:tcW w:w="1134" w:type="dxa"/>
            <w:tcBorders>
              <w:top w:val="nil"/>
              <w:left w:val="nil"/>
              <w:bottom w:val="nil"/>
              <w:right w:val="nil"/>
            </w:tcBorders>
            <w:shd w:val="clear" w:color="auto" w:fill="FFFFFF"/>
            <w:tcMar>
              <w:left w:w="67" w:type="dxa"/>
              <w:right w:w="67" w:type="dxa"/>
            </w:tcMar>
            <w:vAlign w:val="center"/>
          </w:tcPr>
          <w:p w14:paraId="087478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1.0348</w:t>
            </w:r>
          </w:p>
        </w:tc>
        <w:tc>
          <w:tcPr>
            <w:tcW w:w="1134" w:type="dxa"/>
            <w:tcBorders>
              <w:top w:val="nil"/>
              <w:left w:val="nil"/>
              <w:bottom w:val="nil"/>
              <w:right w:val="nil"/>
            </w:tcBorders>
            <w:shd w:val="clear" w:color="auto" w:fill="FFFFFF"/>
            <w:tcMar>
              <w:left w:w="67" w:type="dxa"/>
              <w:right w:w="67" w:type="dxa"/>
            </w:tcMar>
            <w:vAlign w:val="center"/>
          </w:tcPr>
          <w:p w14:paraId="7748F3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0.9367</w:t>
            </w:r>
          </w:p>
        </w:tc>
        <w:tc>
          <w:tcPr>
            <w:tcW w:w="1134" w:type="dxa"/>
            <w:tcBorders>
              <w:top w:val="nil"/>
              <w:left w:val="nil"/>
              <w:bottom w:val="nil"/>
              <w:right w:val="nil"/>
            </w:tcBorders>
            <w:shd w:val="clear" w:color="auto" w:fill="FFFFFF"/>
            <w:tcMar>
              <w:left w:w="67" w:type="dxa"/>
              <w:right w:w="67" w:type="dxa"/>
            </w:tcMar>
            <w:vAlign w:val="center"/>
          </w:tcPr>
          <w:p w14:paraId="44A8E3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1.1431</w:t>
            </w:r>
          </w:p>
        </w:tc>
        <w:tc>
          <w:tcPr>
            <w:tcW w:w="1134" w:type="dxa"/>
            <w:tcBorders>
              <w:top w:val="nil"/>
              <w:left w:val="nil"/>
              <w:bottom w:val="nil"/>
              <w:right w:val="nil"/>
            </w:tcBorders>
            <w:shd w:val="clear" w:color="auto" w:fill="FFFFFF"/>
            <w:tcMar>
              <w:left w:w="67" w:type="dxa"/>
              <w:right w:w="67" w:type="dxa"/>
            </w:tcMar>
            <w:vAlign w:val="center"/>
          </w:tcPr>
          <w:p w14:paraId="1E2B71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w:t>
            </w:r>
          </w:p>
        </w:tc>
        <w:tc>
          <w:tcPr>
            <w:tcW w:w="567" w:type="dxa"/>
            <w:tcBorders>
              <w:top w:val="nil"/>
              <w:left w:val="nil"/>
              <w:bottom w:val="nil"/>
              <w:right w:val="nil"/>
            </w:tcBorders>
            <w:shd w:val="clear" w:color="auto" w:fill="FFFFFF"/>
            <w:tcMar>
              <w:left w:w="67" w:type="dxa"/>
              <w:right w:w="67" w:type="dxa"/>
            </w:tcMar>
            <w:vAlign w:val="center"/>
          </w:tcPr>
          <w:p w14:paraId="03A650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6605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0.4419</w:t>
            </w:r>
          </w:p>
        </w:tc>
      </w:tr>
      <w:tr w:rsidR="00B77EA3" w:rsidRPr="0082484A" w14:paraId="70E9E20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7EC47DE"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5E8DD1BC"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1B3FB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0.0277</w:t>
            </w:r>
          </w:p>
        </w:tc>
        <w:tc>
          <w:tcPr>
            <w:tcW w:w="1134" w:type="dxa"/>
            <w:tcBorders>
              <w:top w:val="nil"/>
              <w:left w:val="nil"/>
              <w:bottom w:val="nil"/>
              <w:right w:val="nil"/>
            </w:tcBorders>
            <w:shd w:val="clear" w:color="auto" w:fill="FFFFFF"/>
            <w:tcMar>
              <w:left w:w="67" w:type="dxa"/>
              <w:right w:w="67" w:type="dxa"/>
            </w:tcMar>
            <w:vAlign w:val="center"/>
          </w:tcPr>
          <w:p w14:paraId="70B409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45E422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1.0281</w:t>
            </w:r>
          </w:p>
        </w:tc>
        <w:tc>
          <w:tcPr>
            <w:tcW w:w="1134" w:type="dxa"/>
            <w:tcBorders>
              <w:top w:val="nil"/>
              <w:left w:val="nil"/>
              <w:bottom w:val="nil"/>
              <w:right w:val="nil"/>
            </w:tcBorders>
            <w:shd w:val="clear" w:color="auto" w:fill="FFFFFF"/>
            <w:tcMar>
              <w:left w:w="67" w:type="dxa"/>
              <w:right w:w="67" w:type="dxa"/>
            </w:tcMar>
            <w:vAlign w:val="center"/>
          </w:tcPr>
          <w:p w14:paraId="5C169F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1.0244</w:t>
            </w:r>
          </w:p>
        </w:tc>
        <w:tc>
          <w:tcPr>
            <w:tcW w:w="1134" w:type="dxa"/>
            <w:tcBorders>
              <w:top w:val="nil"/>
              <w:left w:val="nil"/>
              <w:bottom w:val="nil"/>
              <w:right w:val="nil"/>
            </w:tcBorders>
            <w:shd w:val="clear" w:color="auto" w:fill="FFFFFF"/>
            <w:tcMar>
              <w:left w:w="67" w:type="dxa"/>
              <w:right w:w="67" w:type="dxa"/>
            </w:tcMar>
            <w:vAlign w:val="center"/>
          </w:tcPr>
          <w:p w14:paraId="6AFC88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1.0318</w:t>
            </w:r>
          </w:p>
        </w:tc>
        <w:tc>
          <w:tcPr>
            <w:tcW w:w="1134" w:type="dxa"/>
            <w:tcBorders>
              <w:top w:val="nil"/>
              <w:left w:val="nil"/>
              <w:bottom w:val="nil"/>
              <w:right w:val="nil"/>
            </w:tcBorders>
            <w:shd w:val="clear" w:color="auto" w:fill="FFFFFF"/>
            <w:tcMar>
              <w:left w:w="67" w:type="dxa"/>
              <w:right w:w="67" w:type="dxa"/>
            </w:tcMar>
            <w:vAlign w:val="center"/>
          </w:tcPr>
          <w:p w14:paraId="751470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297.72</w:t>
            </w:r>
          </w:p>
        </w:tc>
        <w:tc>
          <w:tcPr>
            <w:tcW w:w="567" w:type="dxa"/>
            <w:tcBorders>
              <w:top w:val="nil"/>
              <w:left w:val="nil"/>
              <w:bottom w:val="nil"/>
              <w:right w:val="nil"/>
            </w:tcBorders>
            <w:shd w:val="clear" w:color="auto" w:fill="FFFFFF"/>
            <w:tcMar>
              <w:left w:w="67" w:type="dxa"/>
              <w:right w:w="67" w:type="dxa"/>
            </w:tcMar>
            <w:vAlign w:val="center"/>
          </w:tcPr>
          <w:p w14:paraId="2C3CF5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99DAC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314A933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791A8AB"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A009EE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4DC1A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1AE2DE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0C8AE3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1.0008</w:t>
            </w:r>
          </w:p>
        </w:tc>
        <w:tc>
          <w:tcPr>
            <w:tcW w:w="1134" w:type="dxa"/>
            <w:tcBorders>
              <w:top w:val="nil"/>
              <w:left w:val="nil"/>
              <w:bottom w:val="nil"/>
              <w:right w:val="nil"/>
            </w:tcBorders>
            <w:shd w:val="clear" w:color="auto" w:fill="FFFFFF"/>
            <w:tcMar>
              <w:left w:w="67" w:type="dxa"/>
              <w:right w:w="67" w:type="dxa"/>
            </w:tcMar>
            <w:vAlign w:val="center"/>
          </w:tcPr>
          <w:p w14:paraId="474D1E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0.9964</w:t>
            </w:r>
          </w:p>
        </w:tc>
        <w:tc>
          <w:tcPr>
            <w:tcW w:w="1134" w:type="dxa"/>
            <w:tcBorders>
              <w:top w:val="nil"/>
              <w:left w:val="nil"/>
              <w:bottom w:val="nil"/>
              <w:right w:val="nil"/>
            </w:tcBorders>
            <w:shd w:val="clear" w:color="auto" w:fill="FFFFFF"/>
            <w:tcMar>
              <w:left w:w="67" w:type="dxa"/>
              <w:right w:w="67" w:type="dxa"/>
            </w:tcMar>
            <w:vAlign w:val="center"/>
          </w:tcPr>
          <w:p w14:paraId="74A9CF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1.0053</w:t>
            </w:r>
          </w:p>
        </w:tc>
        <w:tc>
          <w:tcPr>
            <w:tcW w:w="1134" w:type="dxa"/>
            <w:tcBorders>
              <w:top w:val="nil"/>
              <w:left w:val="nil"/>
              <w:bottom w:val="nil"/>
              <w:right w:val="nil"/>
            </w:tcBorders>
            <w:shd w:val="clear" w:color="auto" w:fill="FFFFFF"/>
            <w:tcMar>
              <w:left w:w="67" w:type="dxa"/>
              <w:right w:w="67" w:type="dxa"/>
            </w:tcMar>
            <w:vAlign w:val="center"/>
          </w:tcPr>
          <w:p w14:paraId="318F54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62B87C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9F6D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0.6723</w:t>
            </w:r>
          </w:p>
        </w:tc>
      </w:tr>
      <w:tr w:rsidR="00B77EA3" w:rsidRPr="0082484A" w14:paraId="0B01F3F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4FD9F5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0D571B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7949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-0.2423</w:t>
            </w:r>
          </w:p>
        </w:tc>
        <w:tc>
          <w:tcPr>
            <w:tcW w:w="1134" w:type="dxa"/>
            <w:tcBorders>
              <w:top w:val="nil"/>
              <w:left w:val="nil"/>
              <w:bottom w:val="nil"/>
              <w:right w:val="nil"/>
            </w:tcBorders>
            <w:shd w:val="clear" w:color="auto" w:fill="FFFFFF"/>
            <w:tcMar>
              <w:left w:w="67" w:type="dxa"/>
              <w:right w:w="67" w:type="dxa"/>
            </w:tcMar>
            <w:vAlign w:val="center"/>
          </w:tcPr>
          <w:p w14:paraId="031538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0.3490</w:t>
            </w:r>
          </w:p>
        </w:tc>
        <w:tc>
          <w:tcPr>
            <w:tcW w:w="1134" w:type="dxa"/>
            <w:tcBorders>
              <w:top w:val="nil"/>
              <w:left w:val="nil"/>
              <w:bottom w:val="nil"/>
              <w:right w:val="nil"/>
            </w:tcBorders>
            <w:shd w:val="clear" w:color="auto" w:fill="FFFFFF"/>
            <w:tcMar>
              <w:left w:w="67" w:type="dxa"/>
              <w:right w:w="67" w:type="dxa"/>
            </w:tcMar>
            <w:vAlign w:val="center"/>
          </w:tcPr>
          <w:p w14:paraId="6032C8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0.7849</w:t>
            </w:r>
          </w:p>
        </w:tc>
        <w:tc>
          <w:tcPr>
            <w:tcW w:w="1134" w:type="dxa"/>
            <w:tcBorders>
              <w:top w:val="nil"/>
              <w:left w:val="nil"/>
              <w:bottom w:val="nil"/>
              <w:right w:val="nil"/>
            </w:tcBorders>
            <w:shd w:val="clear" w:color="auto" w:fill="FFFFFF"/>
            <w:tcMar>
              <w:left w:w="67" w:type="dxa"/>
              <w:right w:w="67" w:type="dxa"/>
            </w:tcMar>
            <w:vAlign w:val="center"/>
          </w:tcPr>
          <w:p w14:paraId="1742D7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0.3589</w:t>
            </w:r>
          </w:p>
        </w:tc>
        <w:tc>
          <w:tcPr>
            <w:tcW w:w="1134" w:type="dxa"/>
            <w:tcBorders>
              <w:top w:val="nil"/>
              <w:left w:val="nil"/>
              <w:bottom w:val="nil"/>
              <w:right w:val="nil"/>
            </w:tcBorders>
            <w:shd w:val="clear" w:color="auto" w:fill="FFFFFF"/>
            <w:tcMar>
              <w:left w:w="67" w:type="dxa"/>
              <w:right w:w="67" w:type="dxa"/>
            </w:tcMar>
            <w:vAlign w:val="center"/>
          </w:tcPr>
          <w:p w14:paraId="7A4D7E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1.7162</w:t>
            </w:r>
          </w:p>
        </w:tc>
        <w:tc>
          <w:tcPr>
            <w:tcW w:w="1134" w:type="dxa"/>
            <w:tcBorders>
              <w:top w:val="nil"/>
              <w:left w:val="nil"/>
              <w:bottom w:val="nil"/>
              <w:right w:val="nil"/>
            </w:tcBorders>
            <w:shd w:val="clear" w:color="auto" w:fill="FFFFFF"/>
            <w:tcMar>
              <w:left w:w="67" w:type="dxa"/>
              <w:right w:w="67" w:type="dxa"/>
            </w:tcMar>
            <w:vAlign w:val="center"/>
          </w:tcPr>
          <w:p w14:paraId="0A0A35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1.74</w:t>
            </w:r>
          </w:p>
        </w:tc>
        <w:tc>
          <w:tcPr>
            <w:tcW w:w="567" w:type="dxa"/>
            <w:tcBorders>
              <w:top w:val="nil"/>
              <w:left w:val="nil"/>
              <w:bottom w:val="nil"/>
              <w:right w:val="nil"/>
            </w:tcBorders>
            <w:shd w:val="clear" w:color="auto" w:fill="FFFFFF"/>
            <w:tcMar>
              <w:left w:w="67" w:type="dxa"/>
              <w:right w:w="67" w:type="dxa"/>
            </w:tcMar>
            <w:vAlign w:val="center"/>
          </w:tcPr>
          <w:p w14:paraId="44B3DB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F6A4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0.0745</w:t>
            </w:r>
          </w:p>
        </w:tc>
      </w:tr>
      <w:tr w:rsidR="00B77EA3" w:rsidRPr="0082484A" w14:paraId="2284F29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F98DB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4BDB14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C4662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0.2851</w:t>
            </w:r>
          </w:p>
        </w:tc>
        <w:tc>
          <w:tcPr>
            <w:tcW w:w="1134" w:type="dxa"/>
            <w:tcBorders>
              <w:top w:val="nil"/>
              <w:left w:val="nil"/>
              <w:bottom w:val="nil"/>
              <w:right w:val="nil"/>
            </w:tcBorders>
            <w:shd w:val="clear" w:color="auto" w:fill="FFFFFF"/>
            <w:tcMar>
              <w:left w:w="67" w:type="dxa"/>
              <w:right w:w="67" w:type="dxa"/>
            </w:tcMar>
            <w:vAlign w:val="center"/>
          </w:tcPr>
          <w:p w14:paraId="032E8E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0.3190</w:t>
            </w:r>
          </w:p>
        </w:tc>
        <w:tc>
          <w:tcPr>
            <w:tcW w:w="1134" w:type="dxa"/>
            <w:tcBorders>
              <w:top w:val="nil"/>
              <w:left w:val="nil"/>
              <w:bottom w:val="nil"/>
              <w:right w:val="nil"/>
            </w:tcBorders>
            <w:shd w:val="clear" w:color="auto" w:fill="FFFFFF"/>
            <w:tcMar>
              <w:left w:w="67" w:type="dxa"/>
              <w:right w:w="67" w:type="dxa"/>
            </w:tcMar>
            <w:vAlign w:val="center"/>
          </w:tcPr>
          <w:p w14:paraId="2C2E3A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1.3299</w:t>
            </w:r>
          </w:p>
        </w:tc>
        <w:tc>
          <w:tcPr>
            <w:tcW w:w="1134" w:type="dxa"/>
            <w:tcBorders>
              <w:top w:val="nil"/>
              <w:left w:val="nil"/>
              <w:bottom w:val="nil"/>
              <w:right w:val="nil"/>
            </w:tcBorders>
            <w:shd w:val="clear" w:color="auto" w:fill="FFFFFF"/>
            <w:tcMar>
              <w:left w:w="67" w:type="dxa"/>
              <w:right w:w="67" w:type="dxa"/>
            </w:tcMar>
            <w:vAlign w:val="center"/>
          </w:tcPr>
          <w:p w14:paraId="048AB5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0.6506</w:t>
            </w:r>
          </w:p>
        </w:tc>
        <w:tc>
          <w:tcPr>
            <w:tcW w:w="1134" w:type="dxa"/>
            <w:tcBorders>
              <w:top w:val="nil"/>
              <w:left w:val="nil"/>
              <w:bottom w:val="nil"/>
              <w:right w:val="nil"/>
            </w:tcBorders>
            <w:shd w:val="clear" w:color="auto" w:fill="FFFFFF"/>
            <w:tcMar>
              <w:left w:w="67" w:type="dxa"/>
              <w:right w:w="67" w:type="dxa"/>
            </w:tcMar>
            <w:vAlign w:val="center"/>
          </w:tcPr>
          <w:p w14:paraId="58716A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2.7184</w:t>
            </w:r>
          </w:p>
        </w:tc>
        <w:tc>
          <w:tcPr>
            <w:tcW w:w="1134" w:type="dxa"/>
            <w:tcBorders>
              <w:top w:val="nil"/>
              <w:left w:val="nil"/>
              <w:bottom w:val="nil"/>
              <w:right w:val="nil"/>
            </w:tcBorders>
            <w:shd w:val="clear" w:color="auto" w:fill="FFFFFF"/>
            <w:tcMar>
              <w:left w:w="67" w:type="dxa"/>
              <w:right w:w="67" w:type="dxa"/>
            </w:tcMar>
            <w:vAlign w:val="center"/>
          </w:tcPr>
          <w:p w14:paraId="120466C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DE8570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5FAD3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0F2D37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5C76D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348992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2784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-0.2023</w:t>
            </w:r>
          </w:p>
        </w:tc>
        <w:tc>
          <w:tcPr>
            <w:tcW w:w="1134" w:type="dxa"/>
            <w:tcBorders>
              <w:top w:val="nil"/>
              <w:left w:val="nil"/>
              <w:bottom w:val="nil"/>
              <w:right w:val="nil"/>
            </w:tcBorders>
            <w:shd w:val="clear" w:color="auto" w:fill="FFFFFF"/>
            <w:tcMar>
              <w:left w:w="67" w:type="dxa"/>
              <w:right w:w="67" w:type="dxa"/>
            </w:tcMar>
            <w:vAlign w:val="center"/>
          </w:tcPr>
          <w:p w14:paraId="1E1599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0.2299</w:t>
            </w:r>
          </w:p>
        </w:tc>
        <w:tc>
          <w:tcPr>
            <w:tcW w:w="1134" w:type="dxa"/>
            <w:tcBorders>
              <w:top w:val="nil"/>
              <w:left w:val="nil"/>
              <w:bottom w:val="nil"/>
              <w:right w:val="nil"/>
            </w:tcBorders>
            <w:shd w:val="clear" w:color="auto" w:fill="FFFFFF"/>
            <w:tcMar>
              <w:left w:w="67" w:type="dxa"/>
              <w:right w:w="67" w:type="dxa"/>
            </w:tcMar>
            <w:vAlign w:val="center"/>
          </w:tcPr>
          <w:p w14:paraId="3D9B65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0.8168</w:t>
            </w:r>
          </w:p>
        </w:tc>
        <w:tc>
          <w:tcPr>
            <w:tcW w:w="1134" w:type="dxa"/>
            <w:tcBorders>
              <w:top w:val="nil"/>
              <w:left w:val="nil"/>
              <w:bottom w:val="nil"/>
              <w:right w:val="nil"/>
            </w:tcBorders>
            <w:shd w:val="clear" w:color="auto" w:fill="FFFFFF"/>
            <w:tcMar>
              <w:left w:w="67" w:type="dxa"/>
              <w:right w:w="67" w:type="dxa"/>
            </w:tcMar>
            <w:vAlign w:val="center"/>
          </w:tcPr>
          <w:p w14:paraId="0D8547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0.4879</w:t>
            </w:r>
          </w:p>
        </w:tc>
        <w:tc>
          <w:tcPr>
            <w:tcW w:w="1134" w:type="dxa"/>
            <w:tcBorders>
              <w:top w:val="nil"/>
              <w:left w:val="nil"/>
              <w:bottom w:val="nil"/>
              <w:right w:val="nil"/>
            </w:tcBorders>
            <w:shd w:val="clear" w:color="auto" w:fill="FFFFFF"/>
            <w:tcMar>
              <w:left w:w="67" w:type="dxa"/>
              <w:right w:w="67" w:type="dxa"/>
            </w:tcMar>
            <w:vAlign w:val="center"/>
          </w:tcPr>
          <w:p w14:paraId="4D136B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1.3675</w:t>
            </w:r>
          </w:p>
        </w:tc>
        <w:tc>
          <w:tcPr>
            <w:tcW w:w="1134" w:type="dxa"/>
            <w:tcBorders>
              <w:top w:val="nil"/>
              <w:left w:val="nil"/>
              <w:bottom w:val="nil"/>
              <w:right w:val="nil"/>
            </w:tcBorders>
            <w:shd w:val="clear" w:color="auto" w:fill="FFFFFF"/>
            <w:tcMar>
              <w:left w:w="67" w:type="dxa"/>
              <w:right w:w="67" w:type="dxa"/>
            </w:tcMar>
            <w:vAlign w:val="center"/>
          </w:tcPr>
          <w:p w14:paraId="7CFFF01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1A9F4E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24057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348B4C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EA75FC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613716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F230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-0.2934</w:t>
            </w:r>
          </w:p>
        </w:tc>
        <w:tc>
          <w:tcPr>
            <w:tcW w:w="1134" w:type="dxa"/>
            <w:tcBorders>
              <w:top w:val="nil"/>
              <w:left w:val="nil"/>
              <w:bottom w:val="nil"/>
              <w:right w:val="nil"/>
            </w:tcBorders>
            <w:shd w:val="clear" w:color="auto" w:fill="FFFFFF"/>
            <w:tcMar>
              <w:left w:w="67" w:type="dxa"/>
              <w:right w:w="67" w:type="dxa"/>
            </w:tcMar>
            <w:vAlign w:val="center"/>
          </w:tcPr>
          <w:p w14:paraId="3046B4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0.3169</w:t>
            </w:r>
          </w:p>
        </w:tc>
        <w:tc>
          <w:tcPr>
            <w:tcW w:w="1134" w:type="dxa"/>
            <w:tcBorders>
              <w:top w:val="nil"/>
              <w:left w:val="nil"/>
              <w:bottom w:val="nil"/>
              <w:right w:val="nil"/>
            </w:tcBorders>
            <w:shd w:val="clear" w:color="auto" w:fill="FFFFFF"/>
            <w:tcMar>
              <w:left w:w="67" w:type="dxa"/>
              <w:right w:w="67" w:type="dxa"/>
            </w:tcMar>
            <w:vAlign w:val="center"/>
          </w:tcPr>
          <w:p w14:paraId="23802F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0.7457</w:t>
            </w:r>
          </w:p>
        </w:tc>
        <w:tc>
          <w:tcPr>
            <w:tcW w:w="1134" w:type="dxa"/>
            <w:tcBorders>
              <w:top w:val="nil"/>
              <w:left w:val="nil"/>
              <w:bottom w:val="nil"/>
              <w:right w:val="nil"/>
            </w:tcBorders>
            <w:shd w:val="clear" w:color="auto" w:fill="FFFFFF"/>
            <w:tcMar>
              <w:left w:w="67" w:type="dxa"/>
              <w:right w:w="67" w:type="dxa"/>
            </w:tcMar>
            <w:vAlign w:val="center"/>
          </w:tcPr>
          <w:p w14:paraId="07A5D5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0.3665</w:t>
            </w:r>
          </w:p>
        </w:tc>
        <w:tc>
          <w:tcPr>
            <w:tcW w:w="1134" w:type="dxa"/>
            <w:tcBorders>
              <w:top w:val="nil"/>
              <w:left w:val="nil"/>
              <w:bottom w:val="nil"/>
              <w:right w:val="nil"/>
            </w:tcBorders>
            <w:shd w:val="clear" w:color="auto" w:fill="FFFFFF"/>
            <w:tcMar>
              <w:left w:w="67" w:type="dxa"/>
              <w:right w:w="67" w:type="dxa"/>
            </w:tcMar>
            <w:vAlign w:val="center"/>
          </w:tcPr>
          <w:p w14:paraId="7FFCA4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1.5172</w:t>
            </w:r>
          </w:p>
        </w:tc>
        <w:tc>
          <w:tcPr>
            <w:tcW w:w="1134" w:type="dxa"/>
            <w:tcBorders>
              <w:top w:val="nil"/>
              <w:left w:val="nil"/>
              <w:bottom w:val="nil"/>
              <w:right w:val="nil"/>
            </w:tcBorders>
            <w:shd w:val="clear" w:color="auto" w:fill="FFFFFF"/>
            <w:tcMar>
              <w:left w:w="67" w:type="dxa"/>
              <w:right w:w="67" w:type="dxa"/>
            </w:tcMar>
            <w:vAlign w:val="center"/>
          </w:tcPr>
          <w:p w14:paraId="1A2F9AE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F55C79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8D7A10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96059A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4CE59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C11299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974C4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-0.4715</w:t>
            </w:r>
          </w:p>
        </w:tc>
        <w:tc>
          <w:tcPr>
            <w:tcW w:w="1134" w:type="dxa"/>
            <w:tcBorders>
              <w:top w:val="nil"/>
              <w:left w:val="nil"/>
              <w:bottom w:val="nil"/>
              <w:right w:val="nil"/>
            </w:tcBorders>
            <w:shd w:val="clear" w:color="auto" w:fill="FFFFFF"/>
            <w:tcMar>
              <w:left w:w="67" w:type="dxa"/>
              <w:right w:w="67" w:type="dxa"/>
            </w:tcMar>
            <w:vAlign w:val="center"/>
          </w:tcPr>
          <w:p w14:paraId="1F92AD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0.3142</w:t>
            </w:r>
          </w:p>
        </w:tc>
        <w:tc>
          <w:tcPr>
            <w:tcW w:w="1134" w:type="dxa"/>
            <w:tcBorders>
              <w:top w:val="nil"/>
              <w:left w:val="nil"/>
              <w:bottom w:val="nil"/>
              <w:right w:val="nil"/>
            </w:tcBorders>
            <w:shd w:val="clear" w:color="auto" w:fill="FFFFFF"/>
            <w:tcMar>
              <w:left w:w="67" w:type="dxa"/>
              <w:right w:w="67" w:type="dxa"/>
            </w:tcMar>
            <w:vAlign w:val="center"/>
          </w:tcPr>
          <w:p w14:paraId="5927FA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0.6241</w:t>
            </w:r>
          </w:p>
        </w:tc>
        <w:tc>
          <w:tcPr>
            <w:tcW w:w="1134" w:type="dxa"/>
            <w:tcBorders>
              <w:top w:val="nil"/>
              <w:left w:val="nil"/>
              <w:bottom w:val="nil"/>
              <w:right w:val="nil"/>
            </w:tcBorders>
            <w:shd w:val="clear" w:color="auto" w:fill="FFFFFF"/>
            <w:tcMar>
              <w:left w:w="67" w:type="dxa"/>
              <w:right w:w="67" w:type="dxa"/>
            </w:tcMar>
            <w:vAlign w:val="center"/>
          </w:tcPr>
          <w:p w14:paraId="6DCA74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0.3086</w:t>
            </w:r>
          </w:p>
        </w:tc>
        <w:tc>
          <w:tcPr>
            <w:tcW w:w="1134" w:type="dxa"/>
            <w:tcBorders>
              <w:top w:val="nil"/>
              <w:left w:val="nil"/>
              <w:bottom w:val="nil"/>
              <w:right w:val="nil"/>
            </w:tcBorders>
            <w:shd w:val="clear" w:color="auto" w:fill="FFFFFF"/>
            <w:tcMar>
              <w:left w:w="67" w:type="dxa"/>
              <w:right w:w="67" w:type="dxa"/>
            </w:tcMar>
            <w:vAlign w:val="center"/>
          </w:tcPr>
          <w:p w14:paraId="0AF4B3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1.2622</w:t>
            </w:r>
          </w:p>
        </w:tc>
        <w:tc>
          <w:tcPr>
            <w:tcW w:w="1134" w:type="dxa"/>
            <w:tcBorders>
              <w:top w:val="nil"/>
              <w:left w:val="nil"/>
              <w:bottom w:val="nil"/>
              <w:right w:val="nil"/>
            </w:tcBorders>
            <w:shd w:val="clear" w:color="auto" w:fill="FFFFFF"/>
            <w:tcMar>
              <w:left w:w="67" w:type="dxa"/>
              <w:right w:w="67" w:type="dxa"/>
            </w:tcMar>
            <w:vAlign w:val="center"/>
          </w:tcPr>
          <w:p w14:paraId="689B704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E2EBF9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277CF8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83EBE7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5D75E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80E4E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DA3E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-0.0619</w:t>
            </w:r>
          </w:p>
        </w:tc>
        <w:tc>
          <w:tcPr>
            <w:tcW w:w="1134" w:type="dxa"/>
            <w:tcBorders>
              <w:top w:val="nil"/>
              <w:left w:val="nil"/>
              <w:bottom w:val="nil"/>
              <w:right w:val="nil"/>
            </w:tcBorders>
            <w:shd w:val="clear" w:color="auto" w:fill="FFFFFF"/>
            <w:tcMar>
              <w:left w:w="67" w:type="dxa"/>
              <w:right w:w="67" w:type="dxa"/>
            </w:tcMar>
            <w:vAlign w:val="center"/>
          </w:tcPr>
          <w:p w14:paraId="0A997A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0.3294</w:t>
            </w:r>
          </w:p>
        </w:tc>
        <w:tc>
          <w:tcPr>
            <w:tcW w:w="1134" w:type="dxa"/>
            <w:tcBorders>
              <w:top w:val="nil"/>
              <w:left w:val="nil"/>
              <w:bottom w:val="nil"/>
              <w:right w:val="nil"/>
            </w:tcBorders>
            <w:shd w:val="clear" w:color="auto" w:fill="FFFFFF"/>
            <w:tcMar>
              <w:left w:w="67" w:type="dxa"/>
              <w:right w:w="67" w:type="dxa"/>
            </w:tcMar>
            <w:vAlign w:val="center"/>
          </w:tcPr>
          <w:p w14:paraId="3CF381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0.9400</w:t>
            </w:r>
          </w:p>
        </w:tc>
        <w:tc>
          <w:tcPr>
            <w:tcW w:w="1134" w:type="dxa"/>
            <w:tcBorders>
              <w:top w:val="nil"/>
              <w:left w:val="nil"/>
              <w:bottom w:val="nil"/>
              <w:right w:val="nil"/>
            </w:tcBorders>
            <w:shd w:val="clear" w:color="auto" w:fill="FFFFFF"/>
            <w:tcMar>
              <w:left w:w="67" w:type="dxa"/>
              <w:right w:w="67" w:type="dxa"/>
            </w:tcMar>
            <w:vAlign w:val="center"/>
          </w:tcPr>
          <w:p w14:paraId="64BFCC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0.4492</w:t>
            </w:r>
          </w:p>
        </w:tc>
        <w:tc>
          <w:tcPr>
            <w:tcW w:w="1134" w:type="dxa"/>
            <w:tcBorders>
              <w:top w:val="nil"/>
              <w:left w:val="nil"/>
              <w:bottom w:val="nil"/>
              <w:right w:val="nil"/>
            </w:tcBorders>
            <w:shd w:val="clear" w:color="auto" w:fill="FFFFFF"/>
            <w:tcMar>
              <w:left w:w="67" w:type="dxa"/>
              <w:right w:w="67" w:type="dxa"/>
            </w:tcMar>
            <w:vAlign w:val="center"/>
          </w:tcPr>
          <w:p w14:paraId="2D0430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1.9671</w:t>
            </w:r>
          </w:p>
        </w:tc>
        <w:tc>
          <w:tcPr>
            <w:tcW w:w="1134" w:type="dxa"/>
            <w:tcBorders>
              <w:top w:val="nil"/>
              <w:left w:val="nil"/>
              <w:bottom w:val="nil"/>
              <w:right w:val="nil"/>
            </w:tcBorders>
            <w:shd w:val="clear" w:color="auto" w:fill="FFFFFF"/>
            <w:tcMar>
              <w:left w:w="67" w:type="dxa"/>
              <w:right w:w="67" w:type="dxa"/>
            </w:tcMar>
            <w:vAlign w:val="center"/>
          </w:tcPr>
          <w:p w14:paraId="14C531D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C158CF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CE091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4FB04C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A1EE88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ECA529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CF27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-0.2373</w:t>
            </w:r>
          </w:p>
        </w:tc>
        <w:tc>
          <w:tcPr>
            <w:tcW w:w="1134" w:type="dxa"/>
            <w:tcBorders>
              <w:top w:val="nil"/>
              <w:left w:val="nil"/>
              <w:bottom w:val="nil"/>
              <w:right w:val="nil"/>
            </w:tcBorders>
            <w:shd w:val="clear" w:color="auto" w:fill="FFFFFF"/>
            <w:tcMar>
              <w:left w:w="67" w:type="dxa"/>
              <w:right w:w="67" w:type="dxa"/>
            </w:tcMar>
            <w:vAlign w:val="center"/>
          </w:tcPr>
          <w:p w14:paraId="302744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0.2736</w:t>
            </w:r>
          </w:p>
        </w:tc>
        <w:tc>
          <w:tcPr>
            <w:tcW w:w="1134" w:type="dxa"/>
            <w:tcBorders>
              <w:top w:val="nil"/>
              <w:left w:val="nil"/>
              <w:bottom w:val="nil"/>
              <w:right w:val="nil"/>
            </w:tcBorders>
            <w:shd w:val="clear" w:color="auto" w:fill="FFFFFF"/>
            <w:tcMar>
              <w:left w:w="67" w:type="dxa"/>
              <w:right w:w="67" w:type="dxa"/>
            </w:tcMar>
            <w:vAlign w:val="center"/>
          </w:tcPr>
          <w:p w14:paraId="6D8B2B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0.7888</w:t>
            </w:r>
          </w:p>
        </w:tc>
        <w:tc>
          <w:tcPr>
            <w:tcW w:w="1134" w:type="dxa"/>
            <w:tcBorders>
              <w:top w:val="nil"/>
              <w:left w:val="nil"/>
              <w:bottom w:val="nil"/>
              <w:right w:val="nil"/>
            </w:tcBorders>
            <w:shd w:val="clear" w:color="auto" w:fill="FFFFFF"/>
            <w:tcMar>
              <w:left w:w="67" w:type="dxa"/>
              <w:right w:w="67" w:type="dxa"/>
            </w:tcMar>
            <w:vAlign w:val="center"/>
          </w:tcPr>
          <w:p w14:paraId="0F0C23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0.4271</w:t>
            </w:r>
          </w:p>
        </w:tc>
        <w:tc>
          <w:tcPr>
            <w:tcW w:w="1134" w:type="dxa"/>
            <w:tcBorders>
              <w:top w:val="nil"/>
              <w:left w:val="nil"/>
              <w:bottom w:val="nil"/>
              <w:right w:val="nil"/>
            </w:tcBorders>
            <w:shd w:val="clear" w:color="auto" w:fill="FFFFFF"/>
            <w:tcMar>
              <w:left w:w="67" w:type="dxa"/>
              <w:right w:w="67" w:type="dxa"/>
            </w:tcMar>
            <w:vAlign w:val="center"/>
          </w:tcPr>
          <w:p w14:paraId="5FC610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1.4566</w:t>
            </w:r>
          </w:p>
        </w:tc>
        <w:tc>
          <w:tcPr>
            <w:tcW w:w="1134" w:type="dxa"/>
            <w:tcBorders>
              <w:top w:val="nil"/>
              <w:left w:val="nil"/>
              <w:bottom w:val="nil"/>
              <w:right w:val="nil"/>
            </w:tcBorders>
            <w:shd w:val="clear" w:color="auto" w:fill="FFFFFF"/>
            <w:tcMar>
              <w:left w:w="67" w:type="dxa"/>
              <w:right w:w="67" w:type="dxa"/>
            </w:tcMar>
            <w:vAlign w:val="center"/>
          </w:tcPr>
          <w:p w14:paraId="4C7FF53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3F04B2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7EF14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BF4D45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CF3849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333C9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9A890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-0.2682</w:t>
            </w:r>
          </w:p>
        </w:tc>
        <w:tc>
          <w:tcPr>
            <w:tcW w:w="1134" w:type="dxa"/>
            <w:tcBorders>
              <w:top w:val="nil"/>
              <w:left w:val="nil"/>
              <w:bottom w:val="nil"/>
              <w:right w:val="nil"/>
            </w:tcBorders>
            <w:shd w:val="clear" w:color="auto" w:fill="FFFFFF"/>
            <w:tcMar>
              <w:left w:w="67" w:type="dxa"/>
              <w:right w:w="67" w:type="dxa"/>
            </w:tcMar>
            <w:vAlign w:val="center"/>
          </w:tcPr>
          <w:p w14:paraId="62CD8C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0.3131</w:t>
            </w:r>
          </w:p>
        </w:tc>
        <w:tc>
          <w:tcPr>
            <w:tcW w:w="1134" w:type="dxa"/>
            <w:tcBorders>
              <w:top w:val="nil"/>
              <w:left w:val="nil"/>
              <w:bottom w:val="nil"/>
              <w:right w:val="nil"/>
            </w:tcBorders>
            <w:shd w:val="clear" w:color="auto" w:fill="FFFFFF"/>
            <w:tcMar>
              <w:left w:w="67" w:type="dxa"/>
              <w:right w:w="67" w:type="dxa"/>
            </w:tcMar>
            <w:vAlign w:val="center"/>
          </w:tcPr>
          <w:p w14:paraId="028D22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0.7648</w:t>
            </w:r>
          </w:p>
        </w:tc>
        <w:tc>
          <w:tcPr>
            <w:tcW w:w="1134" w:type="dxa"/>
            <w:tcBorders>
              <w:top w:val="nil"/>
              <w:left w:val="nil"/>
              <w:bottom w:val="nil"/>
              <w:right w:val="nil"/>
            </w:tcBorders>
            <w:shd w:val="clear" w:color="auto" w:fill="FFFFFF"/>
            <w:tcMar>
              <w:left w:w="67" w:type="dxa"/>
              <w:right w:w="67" w:type="dxa"/>
            </w:tcMar>
            <w:vAlign w:val="center"/>
          </w:tcPr>
          <w:p w14:paraId="7B5EF9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0.3791</w:t>
            </w:r>
          </w:p>
        </w:tc>
        <w:tc>
          <w:tcPr>
            <w:tcW w:w="1134" w:type="dxa"/>
            <w:tcBorders>
              <w:top w:val="nil"/>
              <w:left w:val="nil"/>
              <w:bottom w:val="nil"/>
              <w:right w:val="nil"/>
            </w:tcBorders>
            <w:shd w:val="clear" w:color="auto" w:fill="FFFFFF"/>
            <w:tcMar>
              <w:left w:w="67" w:type="dxa"/>
              <w:right w:w="67" w:type="dxa"/>
            </w:tcMar>
            <w:vAlign w:val="center"/>
          </w:tcPr>
          <w:p w14:paraId="05A1FB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1.5429</w:t>
            </w:r>
          </w:p>
        </w:tc>
        <w:tc>
          <w:tcPr>
            <w:tcW w:w="1134" w:type="dxa"/>
            <w:tcBorders>
              <w:top w:val="nil"/>
              <w:left w:val="nil"/>
              <w:bottom w:val="nil"/>
              <w:right w:val="nil"/>
            </w:tcBorders>
            <w:shd w:val="clear" w:color="auto" w:fill="FFFFFF"/>
            <w:tcMar>
              <w:left w:w="67" w:type="dxa"/>
              <w:right w:w="67" w:type="dxa"/>
            </w:tcMar>
            <w:vAlign w:val="center"/>
          </w:tcPr>
          <w:p w14:paraId="322AE5E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2C246A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1E356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2B60F7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81FDF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7F8E5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788C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0.4768</w:t>
            </w:r>
          </w:p>
        </w:tc>
        <w:tc>
          <w:tcPr>
            <w:tcW w:w="1134" w:type="dxa"/>
            <w:tcBorders>
              <w:top w:val="nil"/>
              <w:left w:val="nil"/>
              <w:bottom w:val="nil"/>
              <w:right w:val="nil"/>
            </w:tcBorders>
            <w:shd w:val="clear" w:color="auto" w:fill="FFFFFF"/>
            <w:tcMar>
              <w:left w:w="67" w:type="dxa"/>
              <w:right w:w="67" w:type="dxa"/>
            </w:tcMar>
            <w:vAlign w:val="center"/>
          </w:tcPr>
          <w:p w14:paraId="35A299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0.2902</w:t>
            </w:r>
          </w:p>
        </w:tc>
        <w:tc>
          <w:tcPr>
            <w:tcW w:w="1134" w:type="dxa"/>
            <w:tcBorders>
              <w:top w:val="nil"/>
              <w:left w:val="nil"/>
              <w:bottom w:val="nil"/>
              <w:right w:val="nil"/>
            </w:tcBorders>
            <w:shd w:val="clear" w:color="auto" w:fill="FFFFFF"/>
            <w:tcMar>
              <w:left w:w="67" w:type="dxa"/>
              <w:right w:w="67" w:type="dxa"/>
            </w:tcMar>
            <w:vAlign w:val="center"/>
          </w:tcPr>
          <w:p w14:paraId="39D4AE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1.6110</w:t>
            </w:r>
          </w:p>
        </w:tc>
        <w:tc>
          <w:tcPr>
            <w:tcW w:w="1134" w:type="dxa"/>
            <w:tcBorders>
              <w:top w:val="nil"/>
              <w:left w:val="nil"/>
              <w:bottom w:val="nil"/>
              <w:right w:val="nil"/>
            </w:tcBorders>
            <w:shd w:val="clear" w:color="auto" w:fill="FFFFFF"/>
            <w:tcMar>
              <w:left w:w="67" w:type="dxa"/>
              <w:right w:w="67" w:type="dxa"/>
            </w:tcMar>
            <w:vAlign w:val="center"/>
          </w:tcPr>
          <w:p w14:paraId="2F4991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0.8406</w:t>
            </w:r>
          </w:p>
        </w:tc>
        <w:tc>
          <w:tcPr>
            <w:tcW w:w="1134" w:type="dxa"/>
            <w:tcBorders>
              <w:top w:val="nil"/>
              <w:left w:val="nil"/>
              <w:bottom w:val="nil"/>
              <w:right w:val="nil"/>
            </w:tcBorders>
            <w:shd w:val="clear" w:color="auto" w:fill="FFFFFF"/>
            <w:tcMar>
              <w:left w:w="67" w:type="dxa"/>
              <w:right w:w="67" w:type="dxa"/>
            </w:tcMar>
            <w:vAlign w:val="center"/>
          </w:tcPr>
          <w:p w14:paraId="344F61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3.0872</w:t>
            </w:r>
          </w:p>
        </w:tc>
        <w:tc>
          <w:tcPr>
            <w:tcW w:w="1134" w:type="dxa"/>
            <w:tcBorders>
              <w:top w:val="nil"/>
              <w:left w:val="nil"/>
              <w:bottom w:val="nil"/>
              <w:right w:val="nil"/>
            </w:tcBorders>
            <w:shd w:val="clear" w:color="auto" w:fill="FFFFFF"/>
            <w:tcMar>
              <w:left w:w="67" w:type="dxa"/>
              <w:right w:w="67" w:type="dxa"/>
            </w:tcMar>
            <w:vAlign w:val="center"/>
          </w:tcPr>
          <w:p w14:paraId="644C8B5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78B711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7E2DF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F6175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D7BD44A"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28C247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55F3C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51A0C3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0.0159</w:t>
            </w:r>
          </w:p>
        </w:tc>
        <w:tc>
          <w:tcPr>
            <w:tcW w:w="1134" w:type="dxa"/>
            <w:tcBorders>
              <w:top w:val="nil"/>
              <w:left w:val="nil"/>
              <w:bottom w:val="nil"/>
              <w:right w:val="nil"/>
            </w:tcBorders>
            <w:shd w:val="clear" w:color="auto" w:fill="FFFFFF"/>
            <w:tcMar>
              <w:left w:w="67" w:type="dxa"/>
              <w:right w:w="67" w:type="dxa"/>
            </w:tcMar>
            <w:vAlign w:val="center"/>
          </w:tcPr>
          <w:p w14:paraId="1F781C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0.9994</w:t>
            </w:r>
          </w:p>
        </w:tc>
        <w:tc>
          <w:tcPr>
            <w:tcW w:w="1134" w:type="dxa"/>
            <w:tcBorders>
              <w:top w:val="nil"/>
              <w:left w:val="nil"/>
              <w:bottom w:val="nil"/>
              <w:right w:val="nil"/>
            </w:tcBorders>
            <w:shd w:val="clear" w:color="auto" w:fill="FFFFFF"/>
            <w:tcMar>
              <w:left w:w="67" w:type="dxa"/>
              <w:right w:w="67" w:type="dxa"/>
            </w:tcMar>
            <w:vAlign w:val="center"/>
          </w:tcPr>
          <w:p w14:paraId="5DE56E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0.9644</w:t>
            </w:r>
          </w:p>
        </w:tc>
        <w:tc>
          <w:tcPr>
            <w:tcW w:w="1134" w:type="dxa"/>
            <w:tcBorders>
              <w:top w:val="nil"/>
              <w:left w:val="nil"/>
              <w:bottom w:val="nil"/>
              <w:right w:val="nil"/>
            </w:tcBorders>
            <w:shd w:val="clear" w:color="auto" w:fill="FFFFFF"/>
            <w:tcMar>
              <w:left w:w="67" w:type="dxa"/>
              <w:right w:w="67" w:type="dxa"/>
            </w:tcMar>
            <w:vAlign w:val="center"/>
          </w:tcPr>
          <w:p w14:paraId="45D7DB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1.0357</w:t>
            </w:r>
          </w:p>
        </w:tc>
        <w:tc>
          <w:tcPr>
            <w:tcW w:w="1134" w:type="dxa"/>
            <w:tcBorders>
              <w:top w:val="nil"/>
              <w:left w:val="nil"/>
              <w:bottom w:val="nil"/>
              <w:right w:val="nil"/>
            </w:tcBorders>
            <w:shd w:val="clear" w:color="auto" w:fill="FFFFFF"/>
            <w:tcMar>
              <w:left w:w="67" w:type="dxa"/>
              <w:right w:w="67" w:type="dxa"/>
            </w:tcMar>
            <w:vAlign w:val="center"/>
          </w:tcPr>
          <w:p w14:paraId="051360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53719F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0491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0.9697</w:t>
            </w:r>
          </w:p>
        </w:tc>
      </w:tr>
      <w:tr w:rsidR="00B77EA3" w:rsidRPr="0082484A" w14:paraId="1B86428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8F2BEA0"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387F43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1AFBD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0.0337</w:t>
            </w:r>
          </w:p>
        </w:tc>
        <w:tc>
          <w:tcPr>
            <w:tcW w:w="1134" w:type="dxa"/>
            <w:tcBorders>
              <w:top w:val="nil"/>
              <w:left w:val="nil"/>
              <w:bottom w:val="nil"/>
              <w:right w:val="nil"/>
            </w:tcBorders>
            <w:shd w:val="clear" w:color="auto" w:fill="FFFFFF"/>
            <w:tcMar>
              <w:left w:w="67" w:type="dxa"/>
              <w:right w:w="67" w:type="dxa"/>
            </w:tcMar>
            <w:vAlign w:val="center"/>
          </w:tcPr>
          <w:p w14:paraId="5DF7D0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0.0096</w:t>
            </w:r>
          </w:p>
        </w:tc>
        <w:tc>
          <w:tcPr>
            <w:tcW w:w="1134" w:type="dxa"/>
            <w:tcBorders>
              <w:top w:val="nil"/>
              <w:left w:val="nil"/>
              <w:bottom w:val="nil"/>
              <w:right w:val="nil"/>
            </w:tcBorders>
            <w:shd w:val="clear" w:color="auto" w:fill="FFFFFF"/>
            <w:tcMar>
              <w:left w:w="67" w:type="dxa"/>
              <w:right w:w="67" w:type="dxa"/>
            </w:tcMar>
            <w:vAlign w:val="center"/>
          </w:tcPr>
          <w:p w14:paraId="07081C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1.0343</w:t>
            </w:r>
          </w:p>
        </w:tc>
        <w:tc>
          <w:tcPr>
            <w:tcW w:w="1134" w:type="dxa"/>
            <w:tcBorders>
              <w:top w:val="nil"/>
              <w:left w:val="nil"/>
              <w:bottom w:val="nil"/>
              <w:right w:val="nil"/>
            </w:tcBorders>
            <w:shd w:val="clear" w:color="auto" w:fill="FFFFFF"/>
            <w:tcMar>
              <w:left w:w="67" w:type="dxa"/>
              <w:right w:w="67" w:type="dxa"/>
            </w:tcMar>
            <w:vAlign w:val="center"/>
          </w:tcPr>
          <w:p w14:paraId="5D3615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1.0122</w:t>
            </w:r>
          </w:p>
        </w:tc>
        <w:tc>
          <w:tcPr>
            <w:tcW w:w="1134" w:type="dxa"/>
            <w:tcBorders>
              <w:top w:val="nil"/>
              <w:left w:val="nil"/>
              <w:bottom w:val="nil"/>
              <w:right w:val="nil"/>
            </w:tcBorders>
            <w:shd w:val="clear" w:color="auto" w:fill="FFFFFF"/>
            <w:tcMar>
              <w:left w:w="67" w:type="dxa"/>
              <w:right w:w="67" w:type="dxa"/>
            </w:tcMar>
            <w:vAlign w:val="center"/>
          </w:tcPr>
          <w:p w14:paraId="7EE39B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1.0569</w:t>
            </w:r>
          </w:p>
        </w:tc>
        <w:tc>
          <w:tcPr>
            <w:tcW w:w="1134" w:type="dxa"/>
            <w:tcBorders>
              <w:top w:val="nil"/>
              <w:left w:val="nil"/>
              <w:bottom w:val="nil"/>
              <w:right w:val="nil"/>
            </w:tcBorders>
            <w:shd w:val="clear" w:color="auto" w:fill="FFFFFF"/>
            <w:tcMar>
              <w:left w:w="67" w:type="dxa"/>
              <w:right w:w="67" w:type="dxa"/>
            </w:tcMar>
            <w:vAlign w:val="center"/>
          </w:tcPr>
          <w:p w14:paraId="7CE1B7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12.24</w:t>
            </w:r>
          </w:p>
        </w:tc>
        <w:tc>
          <w:tcPr>
            <w:tcW w:w="567" w:type="dxa"/>
            <w:tcBorders>
              <w:top w:val="nil"/>
              <w:left w:val="nil"/>
              <w:bottom w:val="nil"/>
              <w:right w:val="nil"/>
            </w:tcBorders>
            <w:shd w:val="clear" w:color="auto" w:fill="FFFFFF"/>
            <w:tcMar>
              <w:left w:w="67" w:type="dxa"/>
              <w:right w:w="67" w:type="dxa"/>
            </w:tcMar>
            <w:vAlign w:val="center"/>
          </w:tcPr>
          <w:p w14:paraId="7A46B2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474D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r>
      <w:tr w:rsidR="00B77EA3" w:rsidRPr="0082484A" w14:paraId="446E8FB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8B27043"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089778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4BC6B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7B7FD8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72AB63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0.9981</w:t>
            </w:r>
          </w:p>
        </w:tc>
        <w:tc>
          <w:tcPr>
            <w:tcW w:w="1134" w:type="dxa"/>
            <w:tcBorders>
              <w:top w:val="nil"/>
              <w:left w:val="nil"/>
              <w:bottom w:val="nil"/>
              <w:right w:val="nil"/>
            </w:tcBorders>
            <w:shd w:val="clear" w:color="auto" w:fill="FFFFFF"/>
            <w:tcMar>
              <w:left w:w="67" w:type="dxa"/>
              <w:right w:w="67" w:type="dxa"/>
            </w:tcMar>
            <w:vAlign w:val="center"/>
          </w:tcPr>
          <w:p w14:paraId="34064B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0.9924</w:t>
            </w:r>
          </w:p>
        </w:tc>
        <w:tc>
          <w:tcPr>
            <w:tcW w:w="1134" w:type="dxa"/>
            <w:tcBorders>
              <w:top w:val="nil"/>
              <w:left w:val="nil"/>
              <w:bottom w:val="nil"/>
              <w:right w:val="nil"/>
            </w:tcBorders>
            <w:shd w:val="clear" w:color="auto" w:fill="FFFFFF"/>
            <w:tcMar>
              <w:left w:w="67" w:type="dxa"/>
              <w:right w:w="67" w:type="dxa"/>
            </w:tcMar>
            <w:vAlign w:val="center"/>
          </w:tcPr>
          <w:p w14:paraId="70815F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1.0039</w:t>
            </w:r>
          </w:p>
        </w:tc>
        <w:tc>
          <w:tcPr>
            <w:tcW w:w="1134" w:type="dxa"/>
            <w:tcBorders>
              <w:top w:val="nil"/>
              <w:left w:val="nil"/>
              <w:bottom w:val="nil"/>
              <w:right w:val="nil"/>
            </w:tcBorders>
            <w:shd w:val="clear" w:color="auto" w:fill="FFFFFF"/>
            <w:tcMar>
              <w:left w:w="67" w:type="dxa"/>
              <w:right w:w="67" w:type="dxa"/>
            </w:tcMar>
            <w:vAlign w:val="center"/>
          </w:tcPr>
          <w:p w14:paraId="2E2CBF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w:t>
            </w:r>
          </w:p>
        </w:tc>
        <w:tc>
          <w:tcPr>
            <w:tcW w:w="567" w:type="dxa"/>
            <w:tcBorders>
              <w:top w:val="nil"/>
              <w:left w:val="nil"/>
              <w:bottom w:val="nil"/>
              <w:right w:val="nil"/>
            </w:tcBorders>
            <w:shd w:val="clear" w:color="auto" w:fill="FFFFFF"/>
            <w:tcMar>
              <w:left w:w="67" w:type="dxa"/>
              <w:right w:w="67" w:type="dxa"/>
            </w:tcMar>
            <w:vAlign w:val="center"/>
          </w:tcPr>
          <w:p w14:paraId="05C310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75008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0.4692</w:t>
            </w:r>
          </w:p>
        </w:tc>
      </w:tr>
      <w:tr w:rsidR="00B77EA3" w:rsidRPr="0082484A" w14:paraId="5A09C9A7"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08D3BBF"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2539F26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15B9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B6CF5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E14B0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1.0598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BCA6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0.8855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24215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1.2683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C51EA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0DADFD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6EAD5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0.4687</w:t>
            </w:r>
          </w:p>
        </w:tc>
      </w:tr>
    </w:tbl>
    <w:p w14:paraId="4489E176"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estimated glomerular filtration rate (eGFR) / serum creatinine testing performed in the previous 12 months is 222</w:t>
      </w:r>
    </w:p>
    <w:p w14:paraId="789B44E1" w14:textId="77777777" w:rsidR="00B77EA3" w:rsidRPr="0082484A" w:rsidRDefault="00B77EA3" w:rsidP="00B77EA3">
      <w:pPr>
        <w:spacing w:before="0" w:after="160" w:line="259" w:lineRule="auto"/>
        <w:rPr>
          <w:sz w:val="22"/>
          <w:szCs w:val="22"/>
        </w:rPr>
      </w:pPr>
      <w:r w:rsidRPr="0082484A">
        <w:rPr>
          <w:sz w:val="22"/>
          <w:szCs w:val="22"/>
        </w:rPr>
        <w:br w:type="page"/>
      </w:r>
    </w:p>
    <w:p w14:paraId="77AE63D8" w14:textId="2639D2D2" w:rsidR="00B77EA3" w:rsidRPr="0082484A" w:rsidRDefault="00B77EA3" w:rsidP="00B77EA3">
      <w:pPr>
        <w:spacing w:before="0" w:line="240" w:lineRule="auto"/>
        <w:rPr>
          <w:bCs/>
          <w:sz w:val="22"/>
          <w:szCs w:val="22"/>
        </w:rPr>
      </w:pPr>
      <w:bookmarkStart w:id="79" w:name="_Ref502917784"/>
      <w:bookmarkStart w:id="80" w:name="_Toc8728095"/>
      <w:bookmarkStart w:id="81" w:name="_Toc19526750"/>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21</w:t>
      </w:r>
      <w:r w:rsidRPr="0082484A">
        <w:rPr>
          <w:bCs/>
          <w:noProof/>
          <w:sz w:val="22"/>
          <w:szCs w:val="22"/>
        </w:rPr>
        <w:fldChar w:fldCharType="end"/>
      </w:r>
      <w:bookmarkEnd w:id="79"/>
      <w:r w:rsidRPr="0082484A">
        <w:rPr>
          <w:bCs/>
          <w:sz w:val="22"/>
          <w:szCs w:val="22"/>
        </w:rPr>
        <w:t>: Secondary outcome for Trial 1: The proportion of patients with Type 2 diabetes having a foot care review in the previous 12 months (WP4A)</w:t>
      </w:r>
      <w:r w:rsidRPr="0082484A">
        <w:rPr>
          <w:bCs/>
          <w:sz w:val="22"/>
          <w:szCs w:val="22"/>
          <w:vertAlign w:val="superscript"/>
        </w:rPr>
        <w:t xml:space="preserve"> a</w:t>
      </w:r>
      <w:bookmarkEnd w:id="80"/>
      <w:bookmarkEnd w:id="81"/>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5C96529C"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B956DDA" w14:textId="77777777" w:rsidR="00B77EA3" w:rsidRPr="0082484A" w:rsidRDefault="00B77EA3" w:rsidP="00B77EA3">
            <w:pPr>
              <w:spacing w:beforeLines="10" w:before="24" w:afterLines="10" w:after="24" w:line="240" w:lineRule="auto"/>
              <w:rPr>
                <w:bCs/>
                <w:sz w:val="22"/>
                <w:szCs w:val="22"/>
              </w:rPr>
            </w:pPr>
            <w:bookmarkStart w:id="82" w:name="IDX151"/>
            <w:bookmarkEnd w:id="82"/>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EA4133F"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783239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CF836A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956BC9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8D4DE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AF2BCC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D4230E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F5A263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078FD3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477A3B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DEC16A6"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52D87F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2EC5E8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0.1833</w:t>
            </w:r>
          </w:p>
        </w:tc>
        <w:tc>
          <w:tcPr>
            <w:tcW w:w="1134" w:type="dxa"/>
            <w:tcBorders>
              <w:top w:val="nil"/>
              <w:left w:val="nil"/>
              <w:bottom w:val="nil"/>
              <w:right w:val="nil"/>
            </w:tcBorders>
            <w:shd w:val="clear" w:color="auto" w:fill="FFFFFF"/>
            <w:tcMar>
              <w:left w:w="67" w:type="dxa"/>
              <w:right w:w="67" w:type="dxa"/>
            </w:tcMar>
            <w:vAlign w:val="center"/>
          </w:tcPr>
          <w:p w14:paraId="796C7B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0.1525</w:t>
            </w:r>
          </w:p>
        </w:tc>
        <w:tc>
          <w:tcPr>
            <w:tcW w:w="1134" w:type="dxa"/>
            <w:tcBorders>
              <w:top w:val="nil"/>
              <w:left w:val="nil"/>
              <w:bottom w:val="nil"/>
              <w:right w:val="nil"/>
            </w:tcBorders>
            <w:shd w:val="clear" w:color="auto" w:fill="FFFFFF"/>
            <w:tcMar>
              <w:left w:w="67" w:type="dxa"/>
              <w:right w:w="67" w:type="dxa"/>
            </w:tcMar>
            <w:vAlign w:val="center"/>
          </w:tcPr>
          <w:p w14:paraId="51C049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1.2012</w:t>
            </w:r>
          </w:p>
        </w:tc>
        <w:tc>
          <w:tcPr>
            <w:tcW w:w="1134" w:type="dxa"/>
            <w:tcBorders>
              <w:top w:val="nil"/>
              <w:left w:val="nil"/>
              <w:bottom w:val="nil"/>
              <w:right w:val="nil"/>
            </w:tcBorders>
            <w:shd w:val="clear" w:color="auto" w:fill="FFFFFF"/>
            <w:tcMar>
              <w:left w:w="67" w:type="dxa"/>
              <w:right w:w="67" w:type="dxa"/>
            </w:tcMar>
            <w:vAlign w:val="center"/>
          </w:tcPr>
          <w:p w14:paraId="58E195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0.8534</w:t>
            </w:r>
          </w:p>
        </w:tc>
        <w:tc>
          <w:tcPr>
            <w:tcW w:w="1134" w:type="dxa"/>
            <w:tcBorders>
              <w:top w:val="nil"/>
              <w:left w:val="nil"/>
              <w:bottom w:val="nil"/>
              <w:right w:val="nil"/>
            </w:tcBorders>
            <w:shd w:val="clear" w:color="auto" w:fill="FFFFFF"/>
            <w:tcMar>
              <w:left w:w="67" w:type="dxa"/>
              <w:right w:w="67" w:type="dxa"/>
            </w:tcMar>
            <w:vAlign w:val="center"/>
          </w:tcPr>
          <w:p w14:paraId="61396E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1.6906</w:t>
            </w:r>
          </w:p>
        </w:tc>
        <w:tc>
          <w:tcPr>
            <w:tcW w:w="1134" w:type="dxa"/>
            <w:tcBorders>
              <w:top w:val="nil"/>
              <w:left w:val="nil"/>
              <w:bottom w:val="nil"/>
              <w:right w:val="nil"/>
            </w:tcBorders>
            <w:shd w:val="clear" w:color="auto" w:fill="FFFFFF"/>
            <w:tcMar>
              <w:left w:w="67" w:type="dxa"/>
              <w:right w:w="67" w:type="dxa"/>
            </w:tcMar>
            <w:vAlign w:val="center"/>
          </w:tcPr>
          <w:p w14:paraId="7348DA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w:t>
            </w:r>
          </w:p>
        </w:tc>
        <w:tc>
          <w:tcPr>
            <w:tcW w:w="567" w:type="dxa"/>
            <w:tcBorders>
              <w:top w:val="nil"/>
              <w:left w:val="nil"/>
              <w:bottom w:val="nil"/>
              <w:right w:val="nil"/>
            </w:tcBorders>
            <w:shd w:val="clear" w:color="auto" w:fill="FFFFFF"/>
            <w:tcMar>
              <w:left w:w="67" w:type="dxa"/>
              <w:right w:w="67" w:type="dxa"/>
            </w:tcMar>
            <w:vAlign w:val="center"/>
          </w:tcPr>
          <w:p w14:paraId="4CF0AE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5373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0.2293</w:t>
            </w:r>
          </w:p>
        </w:tc>
      </w:tr>
      <w:tr w:rsidR="00B77EA3" w:rsidRPr="0082484A" w14:paraId="2F907E4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CCFF600"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11D2E0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277B75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-0.0701</w:t>
            </w:r>
          </w:p>
        </w:tc>
        <w:tc>
          <w:tcPr>
            <w:tcW w:w="1134" w:type="dxa"/>
            <w:tcBorders>
              <w:top w:val="nil"/>
              <w:left w:val="nil"/>
              <w:bottom w:val="nil"/>
              <w:right w:val="nil"/>
            </w:tcBorders>
            <w:shd w:val="clear" w:color="auto" w:fill="FFFFFF"/>
            <w:tcMar>
              <w:left w:w="67" w:type="dxa"/>
              <w:right w:w="67" w:type="dxa"/>
            </w:tcMar>
            <w:vAlign w:val="center"/>
          </w:tcPr>
          <w:p w14:paraId="465FF0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0.0298</w:t>
            </w:r>
          </w:p>
        </w:tc>
        <w:tc>
          <w:tcPr>
            <w:tcW w:w="1134" w:type="dxa"/>
            <w:tcBorders>
              <w:top w:val="nil"/>
              <w:left w:val="nil"/>
              <w:bottom w:val="nil"/>
              <w:right w:val="nil"/>
            </w:tcBorders>
            <w:shd w:val="clear" w:color="auto" w:fill="FFFFFF"/>
            <w:tcMar>
              <w:left w:w="67" w:type="dxa"/>
              <w:right w:w="67" w:type="dxa"/>
            </w:tcMar>
            <w:vAlign w:val="center"/>
          </w:tcPr>
          <w:p w14:paraId="698740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0.9323</w:t>
            </w:r>
          </w:p>
        </w:tc>
        <w:tc>
          <w:tcPr>
            <w:tcW w:w="1134" w:type="dxa"/>
            <w:tcBorders>
              <w:top w:val="nil"/>
              <w:left w:val="nil"/>
              <w:bottom w:val="nil"/>
              <w:right w:val="nil"/>
            </w:tcBorders>
            <w:shd w:val="clear" w:color="auto" w:fill="FFFFFF"/>
            <w:tcMar>
              <w:left w:w="67" w:type="dxa"/>
              <w:right w:w="67" w:type="dxa"/>
            </w:tcMar>
            <w:vAlign w:val="center"/>
          </w:tcPr>
          <w:p w14:paraId="04B830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0.8720</w:t>
            </w:r>
          </w:p>
        </w:tc>
        <w:tc>
          <w:tcPr>
            <w:tcW w:w="1134" w:type="dxa"/>
            <w:tcBorders>
              <w:top w:val="nil"/>
              <w:left w:val="nil"/>
              <w:bottom w:val="nil"/>
              <w:right w:val="nil"/>
            </w:tcBorders>
            <w:shd w:val="clear" w:color="auto" w:fill="FFFFFF"/>
            <w:tcMar>
              <w:left w:w="67" w:type="dxa"/>
              <w:right w:w="67" w:type="dxa"/>
            </w:tcMar>
            <w:vAlign w:val="center"/>
          </w:tcPr>
          <w:p w14:paraId="29384E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0.9967</w:t>
            </w:r>
          </w:p>
        </w:tc>
        <w:tc>
          <w:tcPr>
            <w:tcW w:w="1134" w:type="dxa"/>
            <w:tcBorders>
              <w:top w:val="nil"/>
              <w:left w:val="nil"/>
              <w:bottom w:val="nil"/>
              <w:right w:val="nil"/>
            </w:tcBorders>
            <w:shd w:val="clear" w:color="auto" w:fill="FFFFFF"/>
            <w:tcMar>
              <w:left w:w="67" w:type="dxa"/>
              <w:right w:w="67" w:type="dxa"/>
            </w:tcMar>
            <w:vAlign w:val="center"/>
          </w:tcPr>
          <w:p w14:paraId="7020D8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5.54</w:t>
            </w:r>
          </w:p>
        </w:tc>
        <w:tc>
          <w:tcPr>
            <w:tcW w:w="567" w:type="dxa"/>
            <w:tcBorders>
              <w:top w:val="nil"/>
              <w:left w:val="nil"/>
              <w:bottom w:val="nil"/>
              <w:right w:val="nil"/>
            </w:tcBorders>
            <w:shd w:val="clear" w:color="auto" w:fill="FFFFFF"/>
            <w:tcMar>
              <w:left w:w="67" w:type="dxa"/>
              <w:right w:w="67" w:type="dxa"/>
            </w:tcMar>
            <w:vAlign w:val="center"/>
          </w:tcPr>
          <w:p w14:paraId="370B9E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BDB3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0.0186</w:t>
            </w:r>
          </w:p>
        </w:tc>
      </w:tr>
      <w:tr w:rsidR="00B77EA3" w:rsidRPr="0082484A" w14:paraId="4A1426A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548251B"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4BC45E1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75983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0.0194</w:t>
            </w:r>
          </w:p>
        </w:tc>
        <w:tc>
          <w:tcPr>
            <w:tcW w:w="1134" w:type="dxa"/>
            <w:tcBorders>
              <w:top w:val="nil"/>
              <w:left w:val="nil"/>
              <w:bottom w:val="nil"/>
              <w:right w:val="nil"/>
            </w:tcBorders>
            <w:shd w:val="clear" w:color="auto" w:fill="FFFFFF"/>
            <w:tcMar>
              <w:left w:w="67" w:type="dxa"/>
              <w:right w:w="67" w:type="dxa"/>
            </w:tcMar>
            <w:vAlign w:val="center"/>
          </w:tcPr>
          <w:p w14:paraId="500A16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2E09A0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1.0196</w:t>
            </w:r>
          </w:p>
        </w:tc>
        <w:tc>
          <w:tcPr>
            <w:tcW w:w="1134" w:type="dxa"/>
            <w:tcBorders>
              <w:top w:val="nil"/>
              <w:left w:val="nil"/>
              <w:bottom w:val="nil"/>
              <w:right w:val="nil"/>
            </w:tcBorders>
            <w:shd w:val="clear" w:color="auto" w:fill="FFFFFF"/>
            <w:tcMar>
              <w:left w:w="67" w:type="dxa"/>
              <w:right w:w="67" w:type="dxa"/>
            </w:tcMar>
            <w:vAlign w:val="center"/>
          </w:tcPr>
          <w:p w14:paraId="426F1F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1.0171</w:t>
            </w:r>
          </w:p>
        </w:tc>
        <w:tc>
          <w:tcPr>
            <w:tcW w:w="1134" w:type="dxa"/>
            <w:tcBorders>
              <w:top w:val="nil"/>
              <w:left w:val="nil"/>
              <w:bottom w:val="nil"/>
              <w:right w:val="nil"/>
            </w:tcBorders>
            <w:shd w:val="clear" w:color="auto" w:fill="FFFFFF"/>
            <w:tcMar>
              <w:left w:w="67" w:type="dxa"/>
              <w:right w:w="67" w:type="dxa"/>
            </w:tcMar>
            <w:vAlign w:val="center"/>
          </w:tcPr>
          <w:p w14:paraId="3C21F4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1.0221</w:t>
            </w:r>
          </w:p>
        </w:tc>
        <w:tc>
          <w:tcPr>
            <w:tcW w:w="1134" w:type="dxa"/>
            <w:tcBorders>
              <w:top w:val="nil"/>
              <w:left w:val="nil"/>
              <w:bottom w:val="nil"/>
              <w:right w:val="nil"/>
            </w:tcBorders>
            <w:shd w:val="clear" w:color="auto" w:fill="FFFFFF"/>
            <w:tcMar>
              <w:left w:w="67" w:type="dxa"/>
              <w:right w:w="67" w:type="dxa"/>
            </w:tcMar>
            <w:vAlign w:val="center"/>
          </w:tcPr>
          <w:p w14:paraId="7DAAAD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315.11</w:t>
            </w:r>
          </w:p>
        </w:tc>
        <w:tc>
          <w:tcPr>
            <w:tcW w:w="567" w:type="dxa"/>
            <w:tcBorders>
              <w:top w:val="nil"/>
              <w:left w:val="nil"/>
              <w:bottom w:val="nil"/>
              <w:right w:val="nil"/>
            </w:tcBorders>
            <w:shd w:val="clear" w:color="auto" w:fill="FFFFFF"/>
            <w:tcMar>
              <w:left w:w="67" w:type="dxa"/>
              <w:right w:w="67" w:type="dxa"/>
            </w:tcMar>
            <w:vAlign w:val="center"/>
          </w:tcPr>
          <w:p w14:paraId="17D862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34430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584252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1C3C6D"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046CDF5"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757F7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54CCAB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4ACFF2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0.9999</w:t>
            </w:r>
          </w:p>
        </w:tc>
        <w:tc>
          <w:tcPr>
            <w:tcW w:w="1134" w:type="dxa"/>
            <w:tcBorders>
              <w:top w:val="nil"/>
              <w:left w:val="nil"/>
              <w:bottom w:val="nil"/>
              <w:right w:val="nil"/>
            </w:tcBorders>
            <w:shd w:val="clear" w:color="auto" w:fill="FFFFFF"/>
            <w:tcMar>
              <w:left w:w="67" w:type="dxa"/>
              <w:right w:w="67" w:type="dxa"/>
            </w:tcMar>
            <w:vAlign w:val="center"/>
          </w:tcPr>
          <w:p w14:paraId="2683F8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0.9946</w:t>
            </w:r>
          </w:p>
        </w:tc>
        <w:tc>
          <w:tcPr>
            <w:tcW w:w="1134" w:type="dxa"/>
            <w:tcBorders>
              <w:top w:val="nil"/>
              <w:left w:val="nil"/>
              <w:bottom w:val="nil"/>
              <w:right w:val="nil"/>
            </w:tcBorders>
            <w:shd w:val="clear" w:color="auto" w:fill="FFFFFF"/>
            <w:tcMar>
              <w:left w:w="67" w:type="dxa"/>
              <w:right w:w="67" w:type="dxa"/>
            </w:tcMar>
            <w:vAlign w:val="center"/>
          </w:tcPr>
          <w:p w14:paraId="2FE485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1.0052</w:t>
            </w:r>
          </w:p>
        </w:tc>
        <w:tc>
          <w:tcPr>
            <w:tcW w:w="1134" w:type="dxa"/>
            <w:tcBorders>
              <w:top w:val="nil"/>
              <w:left w:val="nil"/>
              <w:bottom w:val="nil"/>
              <w:right w:val="nil"/>
            </w:tcBorders>
            <w:shd w:val="clear" w:color="auto" w:fill="FFFFFF"/>
            <w:tcMar>
              <w:left w:w="67" w:type="dxa"/>
              <w:right w:w="67" w:type="dxa"/>
            </w:tcMar>
            <w:vAlign w:val="center"/>
          </w:tcPr>
          <w:p w14:paraId="6CEB3E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7D195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62F5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0.9642</w:t>
            </w:r>
          </w:p>
        </w:tc>
      </w:tr>
      <w:tr w:rsidR="00B77EA3" w:rsidRPr="0082484A" w14:paraId="5960B16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99344F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CA20E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5D48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-0.3252</w:t>
            </w:r>
          </w:p>
        </w:tc>
        <w:tc>
          <w:tcPr>
            <w:tcW w:w="1134" w:type="dxa"/>
            <w:tcBorders>
              <w:top w:val="nil"/>
              <w:left w:val="nil"/>
              <w:bottom w:val="nil"/>
              <w:right w:val="nil"/>
            </w:tcBorders>
            <w:shd w:val="clear" w:color="auto" w:fill="FFFFFF"/>
            <w:tcMar>
              <w:left w:w="67" w:type="dxa"/>
              <w:right w:w="67" w:type="dxa"/>
            </w:tcMar>
            <w:vAlign w:val="center"/>
          </w:tcPr>
          <w:p w14:paraId="7FABEB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0.4325</w:t>
            </w:r>
          </w:p>
        </w:tc>
        <w:tc>
          <w:tcPr>
            <w:tcW w:w="1134" w:type="dxa"/>
            <w:tcBorders>
              <w:top w:val="nil"/>
              <w:left w:val="nil"/>
              <w:bottom w:val="nil"/>
              <w:right w:val="nil"/>
            </w:tcBorders>
            <w:shd w:val="clear" w:color="auto" w:fill="FFFFFF"/>
            <w:tcMar>
              <w:left w:w="67" w:type="dxa"/>
              <w:right w:w="67" w:type="dxa"/>
            </w:tcMar>
            <w:vAlign w:val="center"/>
          </w:tcPr>
          <w:p w14:paraId="017357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0.7224</w:t>
            </w:r>
          </w:p>
        </w:tc>
        <w:tc>
          <w:tcPr>
            <w:tcW w:w="1134" w:type="dxa"/>
            <w:tcBorders>
              <w:top w:val="nil"/>
              <w:left w:val="nil"/>
              <w:bottom w:val="nil"/>
              <w:right w:val="nil"/>
            </w:tcBorders>
            <w:shd w:val="clear" w:color="auto" w:fill="FFFFFF"/>
            <w:tcMar>
              <w:left w:w="67" w:type="dxa"/>
              <w:right w:w="67" w:type="dxa"/>
            </w:tcMar>
            <w:vAlign w:val="center"/>
          </w:tcPr>
          <w:p w14:paraId="40E88F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0.2740</w:t>
            </w:r>
          </w:p>
        </w:tc>
        <w:tc>
          <w:tcPr>
            <w:tcW w:w="1134" w:type="dxa"/>
            <w:tcBorders>
              <w:top w:val="nil"/>
              <w:left w:val="nil"/>
              <w:bottom w:val="nil"/>
              <w:right w:val="nil"/>
            </w:tcBorders>
            <w:shd w:val="clear" w:color="auto" w:fill="FFFFFF"/>
            <w:tcMar>
              <w:left w:w="67" w:type="dxa"/>
              <w:right w:w="67" w:type="dxa"/>
            </w:tcMar>
            <w:vAlign w:val="center"/>
          </w:tcPr>
          <w:p w14:paraId="34DA83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1.9043</w:t>
            </w:r>
          </w:p>
        </w:tc>
        <w:tc>
          <w:tcPr>
            <w:tcW w:w="1134" w:type="dxa"/>
            <w:tcBorders>
              <w:top w:val="nil"/>
              <w:left w:val="nil"/>
              <w:bottom w:val="nil"/>
              <w:right w:val="nil"/>
            </w:tcBorders>
            <w:shd w:val="clear" w:color="auto" w:fill="FFFFFF"/>
            <w:tcMar>
              <w:left w:w="67" w:type="dxa"/>
              <w:right w:w="67" w:type="dxa"/>
            </w:tcMar>
            <w:vAlign w:val="center"/>
          </w:tcPr>
          <w:p w14:paraId="3DE663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2.73</w:t>
            </w:r>
          </w:p>
        </w:tc>
        <w:tc>
          <w:tcPr>
            <w:tcW w:w="567" w:type="dxa"/>
            <w:tcBorders>
              <w:top w:val="nil"/>
              <w:left w:val="nil"/>
              <w:bottom w:val="nil"/>
              <w:right w:val="nil"/>
            </w:tcBorders>
            <w:shd w:val="clear" w:color="auto" w:fill="FFFFFF"/>
            <w:tcMar>
              <w:left w:w="67" w:type="dxa"/>
              <w:right w:w="67" w:type="dxa"/>
            </w:tcMar>
            <w:vAlign w:val="center"/>
          </w:tcPr>
          <w:p w14:paraId="4A9394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C6D8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r>
      <w:tr w:rsidR="00B77EA3" w:rsidRPr="0082484A" w14:paraId="70FC9FE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83BCC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EED74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C540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0.1594</w:t>
            </w:r>
          </w:p>
        </w:tc>
        <w:tc>
          <w:tcPr>
            <w:tcW w:w="1134" w:type="dxa"/>
            <w:tcBorders>
              <w:top w:val="nil"/>
              <w:left w:val="nil"/>
              <w:bottom w:val="nil"/>
              <w:right w:val="nil"/>
            </w:tcBorders>
            <w:shd w:val="clear" w:color="auto" w:fill="FFFFFF"/>
            <w:tcMar>
              <w:left w:w="67" w:type="dxa"/>
              <w:right w:w="67" w:type="dxa"/>
            </w:tcMar>
            <w:vAlign w:val="center"/>
          </w:tcPr>
          <w:p w14:paraId="145A27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0.3748</w:t>
            </w:r>
          </w:p>
        </w:tc>
        <w:tc>
          <w:tcPr>
            <w:tcW w:w="1134" w:type="dxa"/>
            <w:tcBorders>
              <w:top w:val="nil"/>
              <w:left w:val="nil"/>
              <w:bottom w:val="nil"/>
              <w:right w:val="nil"/>
            </w:tcBorders>
            <w:shd w:val="clear" w:color="auto" w:fill="FFFFFF"/>
            <w:tcMar>
              <w:left w:w="67" w:type="dxa"/>
              <w:right w:w="67" w:type="dxa"/>
            </w:tcMar>
            <w:vAlign w:val="center"/>
          </w:tcPr>
          <w:p w14:paraId="61B9E9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1.1728</w:t>
            </w:r>
          </w:p>
        </w:tc>
        <w:tc>
          <w:tcPr>
            <w:tcW w:w="1134" w:type="dxa"/>
            <w:tcBorders>
              <w:top w:val="nil"/>
              <w:left w:val="nil"/>
              <w:bottom w:val="nil"/>
              <w:right w:val="nil"/>
            </w:tcBorders>
            <w:shd w:val="clear" w:color="auto" w:fill="FFFFFF"/>
            <w:tcMar>
              <w:left w:w="67" w:type="dxa"/>
              <w:right w:w="67" w:type="dxa"/>
            </w:tcMar>
            <w:vAlign w:val="center"/>
          </w:tcPr>
          <w:p w14:paraId="345083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0.5062</w:t>
            </w:r>
          </w:p>
        </w:tc>
        <w:tc>
          <w:tcPr>
            <w:tcW w:w="1134" w:type="dxa"/>
            <w:tcBorders>
              <w:top w:val="nil"/>
              <w:left w:val="nil"/>
              <w:bottom w:val="nil"/>
              <w:right w:val="nil"/>
            </w:tcBorders>
            <w:shd w:val="clear" w:color="auto" w:fill="FFFFFF"/>
            <w:tcMar>
              <w:left w:w="67" w:type="dxa"/>
              <w:right w:w="67" w:type="dxa"/>
            </w:tcMar>
            <w:vAlign w:val="center"/>
          </w:tcPr>
          <w:p w14:paraId="0FC985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2.7171</w:t>
            </w:r>
          </w:p>
        </w:tc>
        <w:tc>
          <w:tcPr>
            <w:tcW w:w="1134" w:type="dxa"/>
            <w:tcBorders>
              <w:top w:val="nil"/>
              <w:left w:val="nil"/>
              <w:bottom w:val="nil"/>
              <w:right w:val="nil"/>
            </w:tcBorders>
            <w:shd w:val="clear" w:color="auto" w:fill="FFFFFF"/>
            <w:tcMar>
              <w:left w:w="67" w:type="dxa"/>
              <w:right w:w="67" w:type="dxa"/>
            </w:tcMar>
            <w:vAlign w:val="center"/>
          </w:tcPr>
          <w:p w14:paraId="410C9A0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B7D75A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1663B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7F29CC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901A4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4C948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1EA88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-0.7606</w:t>
            </w:r>
          </w:p>
        </w:tc>
        <w:tc>
          <w:tcPr>
            <w:tcW w:w="1134" w:type="dxa"/>
            <w:tcBorders>
              <w:top w:val="nil"/>
              <w:left w:val="nil"/>
              <w:bottom w:val="nil"/>
              <w:right w:val="nil"/>
            </w:tcBorders>
            <w:shd w:val="clear" w:color="auto" w:fill="FFFFFF"/>
            <w:tcMar>
              <w:left w:w="67" w:type="dxa"/>
              <w:right w:w="67" w:type="dxa"/>
            </w:tcMar>
            <w:vAlign w:val="center"/>
          </w:tcPr>
          <w:p w14:paraId="4D8E52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0.2747</w:t>
            </w:r>
          </w:p>
        </w:tc>
        <w:tc>
          <w:tcPr>
            <w:tcW w:w="1134" w:type="dxa"/>
            <w:tcBorders>
              <w:top w:val="nil"/>
              <w:left w:val="nil"/>
              <w:bottom w:val="nil"/>
              <w:right w:val="nil"/>
            </w:tcBorders>
            <w:shd w:val="clear" w:color="auto" w:fill="FFFFFF"/>
            <w:tcMar>
              <w:left w:w="67" w:type="dxa"/>
              <w:right w:w="67" w:type="dxa"/>
            </w:tcMar>
            <w:vAlign w:val="center"/>
          </w:tcPr>
          <w:p w14:paraId="67ED8E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0.4674</w:t>
            </w:r>
          </w:p>
        </w:tc>
        <w:tc>
          <w:tcPr>
            <w:tcW w:w="1134" w:type="dxa"/>
            <w:tcBorders>
              <w:top w:val="nil"/>
              <w:left w:val="nil"/>
              <w:bottom w:val="nil"/>
              <w:right w:val="nil"/>
            </w:tcBorders>
            <w:shd w:val="clear" w:color="auto" w:fill="FFFFFF"/>
            <w:tcMar>
              <w:left w:w="67" w:type="dxa"/>
              <w:right w:w="67" w:type="dxa"/>
            </w:tcMar>
            <w:vAlign w:val="center"/>
          </w:tcPr>
          <w:p w14:paraId="1F8CAB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0.2525</w:t>
            </w:r>
          </w:p>
        </w:tc>
        <w:tc>
          <w:tcPr>
            <w:tcW w:w="1134" w:type="dxa"/>
            <w:tcBorders>
              <w:top w:val="nil"/>
              <w:left w:val="nil"/>
              <w:bottom w:val="nil"/>
              <w:right w:val="nil"/>
            </w:tcBorders>
            <w:shd w:val="clear" w:color="auto" w:fill="FFFFFF"/>
            <w:tcMar>
              <w:left w:w="67" w:type="dxa"/>
              <w:right w:w="67" w:type="dxa"/>
            </w:tcMar>
            <w:vAlign w:val="center"/>
          </w:tcPr>
          <w:p w14:paraId="729114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0.8653</w:t>
            </w:r>
          </w:p>
        </w:tc>
        <w:tc>
          <w:tcPr>
            <w:tcW w:w="1134" w:type="dxa"/>
            <w:tcBorders>
              <w:top w:val="nil"/>
              <w:left w:val="nil"/>
              <w:bottom w:val="nil"/>
              <w:right w:val="nil"/>
            </w:tcBorders>
            <w:shd w:val="clear" w:color="auto" w:fill="FFFFFF"/>
            <w:tcMar>
              <w:left w:w="67" w:type="dxa"/>
              <w:right w:w="67" w:type="dxa"/>
            </w:tcMar>
            <w:vAlign w:val="center"/>
          </w:tcPr>
          <w:p w14:paraId="42D7E2A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F1FD76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39721A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10D54E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17505A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66106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906F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-0.7159</w:t>
            </w:r>
          </w:p>
        </w:tc>
        <w:tc>
          <w:tcPr>
            <w:tcW w:w="1134" w:type="dxa"/>
            <w:tcBorders>
              <w:top w:val="nil"/>
              <w:left w:val="nil"/>
              <w:bottom w:val="nil"/>
              <w:right w:val="nil"/>
            </w:tcBorders>
            <w:shd w:val="clear" w:color="auto" w:fill="FFFFFF"/>
            <w:tcMar>
              <w:left w:w="67" w:type="dxa"/>
              <w:right w:w="67" w:type="dxa"/>
            </w:tcMar>
            <w:vAlign w:val="center"/>
          </w:tcPr>
          <w:p w14:paraId="572395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0.3828</w:t>
            </w:r>
          </w:p>
        </w:tc>
        <w:tc>
          <w:tcPr>
            <w:tcW w:w="1134" w:type="dxa"/>
            <w:tcBorders>
              <w:top w:val="nil"/>
              <w:left w:val="nil"/>
              <w:bottom w:val="nil"/>
              <w:right w:val="nil"/>
            </w:tcBorders>
            <w:shd w:val="clear" w:color="auto" w:fill="FFFFFF"/>
            <w:tcMar>
              <w:left w:w="67" w:type="dxa"/>
              <w:right w:w="67" w:type="dxa"/>
            </w:tcMar>
            <w:vAlign w:val="center"/>
          </w:tcPr>
          <w:p w14:paraId="0B18AF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0.4888</w:t>
            </w:r>
          </w:p>
        </w:tc>
        <w:tc>
          <w:tcPr>
            <w:tcW w:w="1134" w:type="dxa"/>
            <w:tcBorders>
              <w:top w:val="nil"/>
              <w:left w:val="nil"/>
              <w:bottom w:val="nil"/>
              <w:right w:val="nil"/>
            </w:tcBorders>
            <w:shd w:val="clear" w:color="auto" w:fill="FFFFFF"/>
            <w:tcMar>
              <w:left w:w="67" w:type="dxa"/>
              <w:right w:w="67" w:type="dxa"/>
            </w:tcMar>
            <w:vAlign w:val="center"/>
          </w:tcPr>
          <w:p w14:paraId="4D05C4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0.2072</w:t>
            </w:r>
          </w:p>
        </w:tc>
        <w:tc>
          <w:tcPr>
            <w:tcW w:w="1134" w:type="dxa"/>
            <w:tcBorders>
              <w:top w:val="nil"/>
              <w:left w:val="nil"/>
              <w:bottom w:val="nil"/>
              <w:right w:val="nil"/>
            </w:tcBorders>
            <w:shd w:val="clear" w:color="auto" w:fill="FFFFFF"/>
            <w:tcMar>
              <w:left w:w="67" w:type="dxa"/>
              <w:right w:w="67" w:type="dxa"/>
            </w:tcMar>
            <w:vAlign w:val="center"/>
          </w:tcPr>
          <w:p w14:paraId="714FD9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1.1528</w:t>
            </w:r>
          </w:p>
        </w:tc>
        <w:tc>
          <w:tcPr>
            <w:tcW w:w="1134" w:type="dxa"/>
            <w:tcBorders>
              <w:top w:val="nil"/>
              <w:left w:val="nil"/>
              <w:bottom w:val="nil"/>
              <w:right w:val="nil"/>
            </w:tcBorders>
            <w:shd w:val="clear" w:color="auto" w:fill="FFFFFF"/>
            <w:tcMar>
              <w:left w:w="67" w:type="dxa"/>
              <w:right w:w="67" w:type="dxa"/>
            </w:tcMar>
            <w:vAlign w:val="center"/>
          </w:tcPr>
          <w:p w14:paraId="1F5831D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7D927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6905B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6391C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77F4C2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999686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D4646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-0.0216</w:t>
            </w:r>
          </w:p>
        </w:tc>
        <w:tc>
          <w:tcPr>
            <w:tcW w:w="1134" w:type="dxa"/>
            <w:tcBorders>
              <w:top w:val="nil"/>
              <w:left w:val="nil"/>
              <w:bottom w:val="nil"/>
              <w:right w:val="nil"/>
            </w:tcBorders>
            <w:shd w:val="clear" w:color="auto" w:fill="FFFFFF"/>
            <w:tcMar>
              <w:left w:w="67" w:type="dxa"/>
              <w:right w:w="67" w:type="dxa"/>
            </w:tcMar>
            <w:vAlign w:val="center"/>
          </w:tcPr>
          <w:p w14:paraId="5C19E0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0.3755</w:t>
            </w:r>
          </w:p>
        </w:tc>
        <w:tc>
          <w:tcPr>
            <w:tcW w:w="1134" w:type="dxa"/>
            <w:tcBorders>
              <w:top w:val="nil"/>
              <w:left w:val="nil"/>
              <w:bottom w:val="nil"/>
              <w:right w:val="nil"/>
            </w:tcBorders>
            <w:shd w:val="clear" w:color="auto" w:fill="FFFFFF"/>
            <w:tcMar>
              <w:left w:w="67" w:type="dxa"/>
              <w:right w:w="67" w:type="dxa"/>
            </w:tcMar>
            <w:vAlign w:val="center"/>
          </w:tcPr>
          <w:p w14:paraId="67B758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0.9786</w:t>
            </w:r>
          </w:p>
        </w:tc>
        <w:tc>
          <w:tcPr>
            <w:tcW w:w="1134" w:type="dxa"/>
            <w:tcBorders>
              <w:top w:val="nil"/>
              <w:left w:val="nil"/>
              <w:bottom w:val="nil"/>
              <w:right w:val="nil"/>
            </w:tcBorders>
            <w:shd w:val="clear" w:color="auto" w:fill="FFFFFF"/>
            <w:tcMar>
              <w:left w:w="67" w:type="dxa"/>
              <w:right w:w="67" w:type="dxa"/>
            </w:tcMar>
            <w:vAlign w:val="center"/>
          </w:tcPr>
          <w:p w14:paraId="7FD4C1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0.4217</w:t>
            </w:r>
          </w:p>
        </w:tc>
        <w:tc>
          <w:tcPr>
            <w:tcW w:w="1134" w:type="dxa"/>
            <w:tcBorders>
              <w:top w:val="nil"/>
              <w:left w:val="nil"/>
              <w:bottom w:val="nil"/>
              <w:right w:val="nil"/>
            </w:tcBorders>
            <w:shd w:val="clear" w:color="auto" w:fill="FFFFFF"/>
            <w:tcMar>
              <w:left w:w="67" w:type="dxa"/>
              <w:right w:w="67" w:type="dxa"/>
            </w:tcMar>
            <w:vAlign w:val="center"/>
          </w:tcPr>
          <w:p w14:paraId="202344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2.2709</w:t>
            </w:r>
          </w:p>
        </w:tc>
        <w:tc>
          <w:tcPr>
            <w:tcW w:w="1134" w:type="dxa"/>
            <w:tcBorders>
              <w:top w:val="nil"/>
              <w:left w:val="nil"/>
              <w:bottom w:val="nil"/>
              <w:right w:val="nil"/>
            </w:tcBorders>
            <w:shd w:val="clear" w:color="auto" w:fill="FFFFFF"/>
            <w:tcMar>
              <w:left w:w="67" w:type="dxa"/>
              <w:right w:w="67" w:type="dxa"/>
            </w:tcMar>
            <w:vAlign w:val="center"/>
          </w:tcPr>
          <w:p w14:paraId="04012B8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BF07C5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DDFCD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0581C7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145D6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050884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C8893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-0.3469</w:t>
            </w:r>
          </w:p>
        </w:tc>
        <w:tc>
          <w:tcPr>
            <w:tcW w:w="1134" w:type="dxa"/>
            <w:tcBorders>
              <w:top w:val="nil"/>
              <w:left w:val="nil"/>
              <w:bottom w:val="nil"/>
              <w:right w:val="nil"/>
            </w:tcBorders>
            <w:shd w:val="clear" w:color="auto" w:fill="FFFFFF"/>
            <w:tcMar>
              <w:left w:w="67" w:type="dxa"/>
              <w:right w:w="67" w:type="dxa"/>
            </w:tcMar>
            <w:vAlign w:val="center"/>
          </w:tcPr>
          <w:p w14:paraId="6EA116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0.3910</w:t>
            </w:r>
          </w:p>
        </w:tc>
        <w:tc>
          <w:tcPr>
            <w:tcW w:w="1134" w:type="dxa"/>
            <w:tcBorders>
              <w:top w:val="nil"/>
              <w:left w:val="nil"/>
              <w:bottom w:val="nil"/>
              <w:right w:val="nil"/>
            </w:tcBorders>
            <w:shd w:val="clear" w:color="auto" w:fill="FFFFFF"/>
            <w:tcMar>
              <w:left w:w="67" w:type="dxa"/>
              <w:right w:w="67" w:type="dxa"/>
            </w:tcMar>
            <w:vAlign w:val="center"/>
          </w:tcPr>
          <w:p w14:paraId="34E896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0.7069</w:t>
            </w:r>
          </w:p>
        </w:tc>
        <w:tc>
          <w:tcPr>
            <w:tcW w:w="1134" w:type="dxa"/>
            <w:tcBorders>
              <w:top w:val="nil"/>
              <w:left w:val="nil"/>
              <w:bottom w:val="nil"/>
              <w:right w:val="nil"/>
            </w:tcBorders>
            <w:shd w:val="clear" w:color="auto" w:fill="FFFFFF"/>
            <w:tcMar>
              <w:left w:w="67" w:type="dxa"/>
              <w:right w:w="67" w:type="dxa"/>
            </w:tcMar>
            <w:vAlign w:val="center"/>
          </w:tcPr>
          <w:p w14:paraId="59D8CA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0.2942</w:t>
            </w:r>
          </w:p>
        </w:tc>
        <w:tc>
          <w:tcPr>
            <w:tcW w:w="1134" w:type="dxa"/>
            <w:tcBorders>
              <w:top w:val="nil"/>
              <w:left w:val="nil"/>
              <w:bottom w:val="nil"/>
              <w:right w:val="nil"/>
            </w:tcBorders>
            <w:shd w:val="clear" w:color="auto" w:fill="FFFFFF"/>
            <w:tcMar>
              <w:left w:w="67" w:type="dxa"/>
              <w:right w:w="67" w:type="dxa"/>
            </w:tcMar>
            <w:vAlign w:val="center"/>
          </w:tcPr>
          <w:p w14:paraId="6CE9D5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1.6983</w:t>
            </w:r>
          </w:p>
        </w:tc>
        <w:tc>
          <w:tcPr>
            <w:tcW w:w="1134" w:type="dxa"/>
            <w:tcBorders>
              <w:top w:val="nil"/>
              <w:left w:val="nil"/>
              <w:bottom w:val="nil"/>
              <w:right w:val="nil"/>
            </w:tcBorders>
            <w:shd w:val="clear" w:color="auto" w:fill="FFFFFF"/>
            <w:tcMar>
              <w:left w:w="67" w:type="dxa"/>
              <w:right w:w="67" w:type="dxa"/>
            </w:tcMar>
            <w:vAlign w:val="center"/>
          </w:tcPr>
          <w:p w14:paraId="61B50DD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E13CF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ED72C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098C6C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F4916F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201CBE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9F756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-0.0711</w:t>
            </w:r>
          </w:p>
        </w:tc>
        <w:tc>
          <w:tcPr>
            <w:tcW w:w="1134" w:type="dxa"/>
            <w:tcBorders>
              <w:top w:val="nil"/>
              <w:left w:val="nil"/>
              <w:bottom w:val="nil"/>
              <w:right w:val="nil"/>
            </w:tcBorders>
            <w:shd w:val="clear" w:color="auto" w:fill="FFFFFF"/>
            <w:tcMar>
              <w:left w:w="67" w:type="dxa"/>
              <w:right w:w="67" w:type="dxa"/>
            </w:tcMar>
            <w:vAlign w:val="center"/>
          </w:tcPr>
          <w:p w14:paraId="40C3E4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0.3255</w:t>
            </w:r>
          </w:p>
        </w:tc>
        <w:tc>
          <w:tcPr>
            <w:tcW w:w="1134" w:type="dxa"/>
            <w:tcBorders>
              <w:top w:val="nil"/>
              <w:left w:val="nil"/>
              <w:bottom w:val="nil"/>
              <w:right w:val="nil"/>
            </w:tcBorders>
            <w:shd w:val="clear" w:color="auto" w:fill="FFFFFF"/>
            <w:tcMar>
              <w:left w:w="67" w:type="dxa"/>
              <w:right w:w="67" w:type="dxa"/>
            </w:tcMar>
            <w:vAlign w:val="center"/>
          </w:tcPr>
          <w:p w14:paraId="3633AD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0.9314</w:t>
            </w:r>
          </w:p>
        </w:tc>
        <w:tc>
          <w:tcPr>
            <w:tcW w:w="1134" w:type="dxa"/>
            <w:tcBorders>
              <w:top w:val="nil"/>
              <w:left w:val="nil"/>
              <w:bottom w:val="nil"/>
              <w:right w:val="nil"/>
            </w:tcBorders>
            <w:shd w:val="clear" w:color="auto" w:fill="FFFFFF"/>
            <w:tcMar>
              <w:left w:w="67" w:type="dxa"/>
              <w:right w:w="67" w:type="dxa"/>
            </w:tcMar>
            <w:vAlign w:val="center"/>
          </w:tcPr>
          <w:p w14:paraId="778947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0.4490</w:t>
            </w:r>
          </w:p>
        </w:tc>
        <w:tc>
          <w:tcPr>
            <w:tcW w:w="1134" w:type="dxa"/>
            <w:tcBorders>
              <w:top w:val="nil"/>
              <w:left w:val="nil"/>
              <w:bottom w:val="nil"/>
              <w:right w:val="nil"/>
            </w:tcBorders>
            <w:shd w:val="clear" w:color="auto" w:fill="FFFFFF"/>
            <w:tcMar>
              <w:left w:w="67" w:type="dxa"/>
              <w:right w:w="67" w:type="dxa"/>
            </w:tcMar>
            <w:vAlign w:val="center"/>
          </w:tcPr>
          <w:p w14:paraId="687DC4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1.9321</w:t>
            </w:r>
          </w:p>
        </w:tc>
        <w:tc>
          <w:tcPr>
            <w:tcW w:w="1134" w:type="dxa"/>
            <w:tcBorders>
              <w:top w:val="nil"/>
              <w:left w:val="nil"/>
              <w:bottom w:val="nil"/>
              <w:right w:val="nil"/>
            </w:tcBorders>
            <w:shd w:val="clear" w:color="auto" w:fill="FFFFFF"/>
            <w:tcMar>
              <w:left w:w="67" w:type="dxa"/>
              <w:right w:w="67" w:type="dxa"/>
            </w:tcMar>
            <w:vAlign w:val="center"/>
          </w:tcPr>
          <w:p w14:paraId="3BF597C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7CC195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F5D27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8F5684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00D763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F7CD3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2D925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0.0408</w:t>
            </w:r>
          </w:p>
        </w:tc>
        <w:tc>
          <w:tcPr>
            <w:tcW w:w="1134" w:type="dxa"/>
            <w:tcBorders>
              <w:top w:val="nil"/>
              <w:left w:val="nil"/>
              <w:bottom w:val="nil"/>
              <w:right w:val="nil"/>
            </w:tcBorders>
            <w:shd w:val="clear" w:color="auto" w:fill="FFFFFF"/>
            <w:tcMar>
              <w:left w:w="67" w:type="dxa"/>
              <w:right w:w="67" w:type="dxa"/>
            </w:tcMar>
            <w:vAlign w:val="center"/>
          </w:tcPr>
          <w:p w14:paraId="5F87F8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0.3717</w:t>
            </w:r>
          </w:p>
        </w:tc>
        <w:tc>
          <w:tcPr>
            <w:tcW w:w="1134" w:type="dxa"/>
            <w:tcBorders>
              <w:top w:val="nil"/>
              <w:left w:val="nil"/>
              <w:bottom w:val="nil"/>
              <w:right w:val="nil"/>
            </w:tcBorders>
            <w:shd w:val="clear" w:color="auto" w:fill="FFFFFF"/>
            <w:tcMar>
              <w:left w:w="67" w:type="dxa"/>
              <w:right w:w="67" w:type="dxa"/>
            </w:tcMar>
            <w:vAlign w:val="center"/>
          </w:tcPr>
          <w:p w14:paraId="7E4300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1.0416</w:t>
            </w:r>
          </w:p>
        </w:tc>
        <w:tc>
          <w:tcPr>
            <w:tcW w:w="1134" w:type="dxa"/>
            <w:tcBorders>
              <w:top w:val="nil"/>
              <w:left w:val="nil"/>
              <w:bottom w:val="nil"/>
              <w:right w:val="nil"/>
            </w:tcBorders>
            <w:shd w:val="clear" w:color="auto" w:fill="FFFFFF"/>
            <w:tcMar>
              <w:left w:w="67" w:type="dxa"/>
              <w:right w:w="67" w:type="dxa"/>
            </w:tcMar>
            <w:vAlign w:val="center"/>
          </w:tcPr>
          <w:p w14:paraId="6B7C1A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0.4528</w:t>
            </w:r>
          </w:p>
        </w:tc>
        <w:tc>
          <w:tcPr>
            <w:tcW w:w="1134" w:type="dxa"/>
            <w:tcBorders>
              <w:top w:val="nil"/>
              <w:left w:val="nil"/>
              <w:bottom w:val="nil"/>
              <w:right w:val="nil"/>
            </w:tcBorders>
            <w:shd w:val="clear" w:color="auto" w:fill="FFFFFF"/>
            <w:tcMar>
              <w:left w:w="67" w:type="dxa"/>
              <w:right w:w="67" w:type="dxa"/>
            </w:tcMar>
            <w:vAlign w:val="center"/>
          </w:tcPr>
          <w:p w14:paraId="130D82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2.3963</w:t>
            </w:r>
          </w:p>
        </w:tc>
        <w:tc>
          <w:tcPr>
            <w:tcW w:w="1134" w:type="dxa"/>
            <w:tcBorders>
              <w:top w:val="nil"/>
              <w:left w:val="nil"/>
              <w:bottom w:val="nil"/>
              <w:right w:val="nil"/>
            </w:tcBorders>
            <w:shd w:val="clear" w:color="auto" w:fill="FFFFFF"/>
            <w:tcMar>
              <w:left w:w="67" w:type="dxa"/>
              <w:right w:w="67" w:type="dxa"/>
            </w:tcMar>
            <w:vAlign w:val="center"/>
          </w:tcPr>
          <w:p w14:paraId="086405F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461FC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3E454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224CCE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AF253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F33A7B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BB4FC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0.1836</w:t>
            </w:r>
          </w:p>
        </w:tc>
        <w:tc>
          <w:tcPr>
            <w:tcW w:w="1134" w:type="dxa"/>
            <w:tcBorders>
              <w:top w:val="nil"/>
              <w:left w:val="nil"/>
              <w:bottom w:val="nil"/>
              <w:right w:val="nil"/>
            </w:tcBorders>
            <w:shd w:val="clear" w:color="auto" w:fill="FFFFFF"/>
            <w:tcMar>
              <w:left w:w="67" w:type="dxa"/>
              <w:right w:w="67" w:type="dxa"/>
            </w:tcMar>
            <w:vAlign w:val="center"/>
          </w:tcPr>
          <w:p w14:paraId="39514E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0.3427</w:t>
            </w:r>
          </w:p>
        </w:tc>
        <w:tc>
          <w:tcPr>
            <w:tcW w:w="1134" w:type="dxa"/>
            <w:tcBorders>
              <w:top w:val="nil"/>
              <w:left w:val="nil"/>
              <w:bottom w:val="nil"/>
              <w:right w:val="nil"/>
            </w:tcBorders>
            <w:shd w:val="clear" w:color="auto" w:fill="FFFFFF"/>
            <w:tcMar>
              <w:left w:w="67" w:type="dxa"/>
              <w:right w:w="67" w:type="dxa"/>
            </w:tcMar>
            <w:vAlign w:val="center"/>
          </w:tcPr>
          <w:p w14:paraId="7F4075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1.2015</w:t>
            </w:r>
          </w:p>
        </w:tc>
        <w:tc>
          <w:tcPr>
            <w:tcW w:w="1134" w:type="dxa"/>
            <w:tcBorders>
              <w:top w:val="nil"/>
              <w:left w:val="nil"/>
              <w:bottom w:val="nil"/>
              <w:right w:val="nil"/>
            </w:tcBorders>
            <w:shd w:val="clear" w:color="auto" w:fill="FFFFFF"/>
            <w:tcMar>
              <w:left w:w="67" w:type="dxa"/>
              <w:right w:w="67" w:type="dxa"/>
            </w:tcMar>
            <w:vAlign w:val="center"/>
          </w:tcPr>
          <w:p w14:paraId="66DA6C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0.5573</w:t>
            </w:r>
          </w:p>
        </w:tc>
        <w:tc>
          <w:tcPr>
            <w:tcW w:w="1134" w:type="dxa"/>
            <w:tcBorders>
              <w:top w:val="nil"/>
              <w:left w:val="nil"/>
              <w:bottom w:val="nil"/>
              <w:right w:val="nil"/>
            </w:tcBorders>
            <w:shd w:val="clear" w:color="auto" w:fill="FFFFFF"/>
            <w:tcMar>
              <w:left w:w="67" w:type="dxa"/>
              <w:right w:w="67" w:type="dxa"/>
            </w:tcMar>
            <w:vAlign w:val="center"/>
          </w:tcPr>
          <w:p w14:paraId="647C5C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2.5902</w:t>
            </w:r>
          </w:p>
        </w:tc>
        <w:tc>
          <w:tcPr>
            <w:tcW w:w="1134" w:type="dxa"/>
            <w:tcBorders>
              <w:top w:val="nil"/>
              <w:left w:val="nil"/>
              <w:bottom w:val="nil"/>
              <w:right w:val="nil"/>
            </w:tcBorders>
            <w:shd w:val="clear" w:color="auto" w:fill="FFFFFF"/>
            <w:tcMar>
              <w:left w:w="67" w:type="dxa"/>
              <w:right w:w="67" w:type="dxa"/>
            </w:tcMar>
            <w:vAlign w:val="center"/>
          </w:tcPr>
          <w:p w14:paraId="11EB874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3B2411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78822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24468C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8D4C9F9"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7655476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0A1F5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0.0266</w:t>
            </w:r>
          </w:p>
        </w:tc>
        <w:tc>
          <w:tcPr>
            <w:tcW w:w="1134" w:type="dxa"/>
            <w:tcBorders>
              <w:top w:val="nil"/>
              <w:left w:val="nil"/>
              <w:bottom w:val="nil"/>
              <w:right w:val="nil"/>
            </w:tcBorders>
            <w:shd w:val="clear" w:color="auto" w:fill="FFFFFF"/>
            <w:tcMar>
              <w:left w:w="67" w:type="dxa"/>
              <w:right w:w="67" w:type="dxa"/>
            </w:tcMar>
            <w:vAlign w:val="center"/>
          </w:tcPr>
          <w:p w14:paraId="205974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0.0190</w:t>
            </w:r>
          </w:p>
        </w:tc>
        <w:tc>
          <w:tcPr>
            <w:tcW w:w="1134" w:type="dxa"/>
            <w:tcBorders>
              <w:top w:val="nil"/>
              <w:left w:val="nil"/>
              <w:bottom w:val="nil"/>
              <w:right w:val="nil"/>
            </w:tcBorders>
            <w:shd w:val="clear" w:color="auto" w:fill="FFFFFF"/>
            <w:tcMar>
              <w:left w:w="67" w:type="dxa"/>
              <w:right w:w="67" w:type="dxa"/>
            </w:tcMar>
            <w:vAlign w:val="center"/>
          </w:tcPr>
          <w:p w14:paraId="22DF45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1.0269</w:t>
            </w:r>
          </w:p>
        </w:tc>
        <w:tc>
          <w:tcPr>
            <w:tcW w:w="1134" w:type="dxa"/>
            <w:tcBorders>
              <w:top w:val="nil"/>
              <w:left w:val="nil"/>
              <w:bottom w:val="nil"/>
              <w:right w:val="nil"/>
            </w:tcBorders>
            <w:shd w:val="clear" w:color="auto" w:fill="FFFFFF"/>
            <w:tcMar>
              <w:left w:w="67" w:type="dxa"/>
              <w:right w:w="67" w:type="dxa"/>
            </w:tcMar>
            <w:vAlign w:val="center"/>
          </w:tcPr>
          <w:p w14:paraId="6A80FC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0.9842</w:t>
            </w:r>
          </w:p>
        </w:tc>
        <w:tc>
          <w:tcPr>
            <w:tcW w:w="1134" w:type="dxa"/>
            <w:tcBorders>
              <w:top w:val="nil"/>
              <w:left w:val="nil"/>
              <w:bottom w:val="nil"/>
              <w:right w:val="nil"/>
            </w:tcBorders>
            <w:shd w:val="clear" w:color="auto" w:fill="FFFFFF"/>
            <w:tcMar>
              <w:left w:w="67" w:type="dxa"/>
              <w:right w:w="67" w:type="dxa"/>
            </w:tcMar>
            <w:vAlign w:val="center"/>
          </w:tcPr>
          <w:p w14:paraId="716B4C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1.0715</w:t>
            </w:r>
          </w:p>
        </w:tc>
        <w:tc>
          <w:tcPr>
            <w:tcW w:w="1134" w:type="dxa"/>
            <w:tcBorders>
              <w:top w:val="nil"/>
              <w:left w:val="nil"/>
              <w:bottom w:val="nil"/>
              <w:right w:val="nil"/>
            </w:tcBorders>
            <w:shd w:val="clear" w:color="auto" w:fill="FFFFFF"/>
            <w:tcMar>
              <w:left w:w="67" w:type="dxa"/>
              <w:right w:w="67" w:type="dxa"/>
            </w:tcMar>
            <w:vAlign w:val="center"/>
          </w:tcPr>
          <w:p w14:paraId="3C6B2C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1.97</w:t>
            </w:r>
          </w:p>
        </w:tc>
        <w:tc>
          <w:tcPr>
            <w:tcW w:w="567" w:type="dxa"/>
            <w:tcBorders>
              <w:top w:val="nil"/>
              <w:left w:val="nil"/>
              <w:bottom w:val="nil"/>
              <w:right w:val="nil"/>
            </w:tcBorders>
            <w:shd w:val="clear" w:color="auto" w:fill="FFFFFF"/>
            <w:tcMar>
              <w:left w:w="67" w:type="dxa"/>
              <w:right w:w="67" w:type="dxa"/>
            </w:tcMar>
            <w:vAlign w:val="center"/>
          </w:tcPr>
          <w:p w14:paraId="7685B6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AEAD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0.1609</w:t>
            </w:r>
          </w:p>
        </w:tc>
      </w:tr>
      <w:tr w:rsidR="00B77EA3" w:rsidRPr="0082484A" w14:paraId="62BF27A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73F4A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1C7EA10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0F387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0.0202</w:t>
            </w:r>
          </w:p>
        </w:tc>
        <w:tc>
          <w:tcPr>
            <w:tcW w:w="1134" w:type="dxa"/>
            <w:tcBorders>
              <w:top w:val="nil"/>
              <w:left w:val="nil"/>
              <w:bottom w:val="nil"/>
              <w:right w:val="nil"/>
            </w:tcBorders>
            <w:shd w:val="clear" w:color="auto" w:fill="FFFFFF"/>
            <w:tcMar>
              <w:left w:w="67" w:type="dxa"/>
              <w:right w:w="67" w:type="dxa"/>
            </w:tcMar>
            <w:vAlign w:val="center"/>
          </w:tcPr>
          <w:p w14:paraId="59AFEB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0.0116</w:t>
            </w:r>
          </w:p>
        </w:tc>
        <w:tc>
          <w:tcPr>
            <w:tcW w:w="1134" w:type="dxa"/>
            <w:tcBorders>
              <w:top w:val="nil"/>
              <w:left w:val="nil"/>
              <w:bottom w:val="nil"/>
              <w:right w:val="nil"/>
            </w:tcBorders>
            <w:shd w:val="clear" w:color="auto" w:fill="FFFFFF"/>
            <w:tcMar>
              <w:left w:w="67" w:type="dxa"/>
              <w:right w:w="67" w:type="dxa"/>
            </w:tcMar>
            <w:vAlign w:val="center"/>
          </w:tcPr>
          <w:p w14:paraId="4CDCDD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1.0204</w:t>
            </w:r>
          </w:p>
        </w:tc>
        <w:tc>
          <w:tcPr>
            <w:tcW w:w="1134" w:type="dxa"/>
            <w:tcBorders>
              <w:top w:val="nil"/>
              <w:left w:val="nil"/>
              <w:bottom w:val="nil"/>
              <w:right w:val="nil"/>
            </w:tcBorders>
            <w:shd w:val="clear" w:color="auto" w:fill="FFFFFF"/>
            <w:tcMar>
              <w:left w:w="67" w:type="dxa"/>
              <w:right w:w="67" w:type="dxa"/>
            </w:tcMar>
            <w:vAlign w:val="center"/>
          </w:tcPr>
          <w:p w14:paraId="503143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0.9943</w:t>
            </w:r>
          </w:p>
        </w:tc>
        <w:tc>
          <w:tcPr>
            <w:tcW w:w="1134" w:type="dxa"/>
            <w:tcBorders>
              <w:top w:val="nil"/>
              <w:left w:val="nil"/>
              <w:bottom w:val="nil"/>
              <w:right w:val="nil"/>
            </w:tcBorders>
            <w:shd w:val="clear" w:color="auto" w:fill="FFFFFF"/>
            <w:tcMar>
              <w:left w:w="67" w:type="dxa"/>
              <w:right w:w="67" w:type="dxa"/>
            </w:tcMar>
            <w:vAlign w:val="center"/>
          </w:tcPr>
          <w:p w14:paraId="0D0A0A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1.0473</w:t>
            </w:r>
          </w:p>
        </w:tc>
        <w:tc>
          <w:tcPr>
            <w:tcW w:w="1134" w:type="dxa"/>
            <w:tcBorders>
              <w:top w:val="nil"/>
              <w:left w:val="nil"/>
              <w:bottom w:val="nil"/>
              <w:right w:val="nil"/>
            </w:tcBorders>
            <w:shd w:val="clear" w:color="auto" w:fill="FFFFFF"/>
            <w:tcMar>
              <w:left w:w="67" w:type="dxa"/>
              <w:right w:w="67" w:type="dxa"/>
            </w:tcMar>
            <w:vAlign w:val="center"/>
          </w:tcPr>
          <w:p w14:paraId="553B85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3.05</w:t>
            </w:r>
          </w:p>
        </w:tc>
        <w:tc>
          <w:tcPr>
            <w:tcW w:w="567" w:type="dxa"/>
            <w:tcBorders>
              <w:top w:val="nil"/>
              <w:left w:val="nil"/>
              <w:bottom w:val="nil"/>
              <w:right w:val="nil"/>
            </w:tcBorders>
            <w:shd w:val="clear" w:color="auto" w:fill="FFFFFF"/>
            <w:tcMar>
              <w:left w:w="67" w:type="dxa"/>
              <w:right w:w="67" w:type="dxa"/>
            </w:tcMar>
            <w:vAlign w:val="center"/>
          </w:tcPr>
          <w:p w14:paraId="6786B7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63D24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0.0809</w:t>
            </w:r>
          </w:p>
        </w:tc>
      </w:tr>
      <w:tr w:rsidR="00B77EA3" w:rsidRPr="0082484A" w14:paraId="080CA59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607C3E"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28B432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39CB0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0.0042</w:t>
            </w:r>
          </w:p>
        </w:tc>
        <w:tc>
          <w:tcPr>
            <w:tcW w:w="1134" w:type="dxa"/>
            <w:tcBorders>
              <w:top w:val="nil"/>
              <w:left w:val="nil"/>
              <w:bottom w:val="nil"/>
              <w:right w:val="nil"/>
            </w:tcBorders>
            <w:shd w:val="clear" w:color="auto" w:fill="FFFFFF"/>
            <w:tcMar>
              <w:left w:w="67" w:type="dxa"/>
              <w:right w:w="67" w:type="dxa"/>
            </w:tcMar>
            <w:vAlign w:val="center"/>
          </w:tcPr>
          <w:p w14:paraId="5D3F01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552778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1.0042</w:t>
            </w:r>
          </w:p>
        </w:tc>
        <w:tc>
          <w:tcPr>
            <w:tcW w:w="1134" w:type="dxa"/>
            <w:tcBorders>
              <w:top w:val="nil"/>
              <w:left w:val="nil"/>
              <w:bottom w:val="nil"/>
              <w:right w:val="nil"/>
            </w:tcBorders>
            <w:shd w:val="clear" w:color="auto" w:fill="FFFFFF"/>
            <w:tcMar>
              <w:left w:w="67" w:type="dxa"/>
              <w:right w:w="67" w:type="dxa"/>
            </w:tcMar>
            <w:vAlign w:val="center"/>
          </w:tcPr>
          <w:p w14:paraId="663F5F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0.9976</w:t>
            </w:r>
          </w:p>
        </w:tc>
        <w:tc>
          <w:tcPr>
            <w:tcW w:w="1134" w:type="dxa"/>
            <w:tcBorders>
              <w:top w:val="nil"/>
              <w:left w:val="nil"/>
              <w:bottom w:val="nil"/>
              <w:right w:val="nil"/>
            </w:tcBorders>
            <w:shd w:val="clear" w:color="auto" w:fill="FFFFFF"/>
            <w:tcMar>
              <w:left w:w="67" w:type="dxa"/>
              <w:right w:w="67" w:type="dxa"/>
            </w:tcMar>
            <w:vAlign w:val="center"/>
          </w:tcPr>
          <w:p w14:paraId="2835A0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1.0108</w:t>
            </w:r>
          </w:p>
        </w:tc>
        <w:tc>
          <w:tcPr>
            <w:tcW w:w="1134" w:type="dxa"/>
            <w:tcBorders>
              <w:top w:val="nil"/>
              <w:left w:val="nil"/>
              <w:bottom w:val="nil"/>
              <w:right w:val="nil"/>
            </w:tcBorders>
            <w:shd w:val="clear" w:color="auto" w:fill="FFFFFF"/>
            <w:tcMar>
              <w:left w:w="67" w:type="dxa"/>
              <w:right w:w="67" w:type="dxa"/>
            </w:tcMar>
            <w:vAlign w:val="center"/>
          </w:tcPr>
          <w:p w14:paraId="2C5FB8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2.05</w:t>
            </w:r>
          </w:p>
        </w:tc>
        <w:tc>
          <w:tcPr>
            <w:tcW w:w="567" w:type="dxa"/>
            <w:tcBorders>
              <w:top w:val="nil"/>
              <w:left w:val="nil"/>
              <w:bottom w:val="nil"/>
              <w:right w:val="nil"/>
            </w:tcBorders>
            <w:shd w:val="clear" w:color="auto" w:fill="FFFFFF"/>
            <w:tcMar>
              <w:left w:w="67" w:type="dxa"/>
              <w:right w:w="67" w:type="dxa"/>
            </w:tcMar>
            <w:vAlign w:val="center"/>
          </w:tcPr>
          <w:p w14:paraId="6F2663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ECCF6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0.1521</w:t>
            </w:r>
          </w:p>
        </w:tc>
      </w:tr>
      <w:tr w:rsidR="00B77EA3" w:rsidRPr="0082484A" w14:paraId="0DD131F9"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8386C43"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79E363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B9270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0.0592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BED62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CF5E8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1.0610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0D94C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0.8605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5FA7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1.3083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FB6F4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08C4C2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F58D4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0.5260</w:t>
            </w:r>
          </w:p>
        </w:tc>
      </w:tr>
    </w:tbl>
    <w:p w14:paraId="2D76CCBD" w14:textId="77777777" w:rsidR="00B77EA3" w:rsidRPr="0082484A" w:rsidRDefault="00B77EA3" w:rsidP="00B77EA3">
      <w:pPr>
        <w:spacing w:before="0" w:line="240" w:lineRule="auto"/>
        <w:rPr>
          <w:bCs/>
          <w:sz w:val="22"/>
          <w:szCs w:val="22"/>
        </w:rPr>
      </w:pPr>
      <w:bookmarkStart w:id="83" w:name="_Ref502917786"/>
      <w:r w:rsidRPr="0082484A">
        <w:rPr>
          <w:bCs/>
          <w:sz w:val="22"/>
          <w:szCs w:val="22"/>
          <w:vertAlign w:val="superscript"/>
        </w:rPr>
        <w:t>a</w:t>
      </w:r>
      <w:r w:rsidRPr="0082484A">
        <w:rPr>
          <w:bCs/>
          <w:sz w:val="22"/>
          <w:szCs w:val="22"/>
        </w:rPr>
        <w:t xml:space="preserve"> The estimated number needed to treat for one patient with Type 2 diabetes to have a foot care review in the previous 12 months is 41</w:t>
      </w:r>
    </w:p>
    <w:p w14:paraId="419939BD" w14:textId="77777777" w:rsidR="00B77EA3" w:rsidRPr="0082484A" w:rsidRDefault="00B77EA3" w:rsidP="00B77EA3">
      <w:pPr>
        <w:spacing w:before="0" w:after="200"/>
        <w:rPr>
          <w:bCs/>
          <w:sz w:val="22"/>
          <w:szCs w:val="22"/>
        </w:rPr>
      </w:pPr>
      <w:r w:rsidRPr="0082484A">
        <w:rPr>
          <w:sz w:val="22"/>
          <w:szCs w:val="22"/>
        </w:rPr>
        <w:br w:type="page"/>
      </w:r>
    </w:p>
    <w:p w14:paraId="3D057CEA" w14:textId="4503AEEB" w:rsidR="00B77EA3" w:rsidRPr="0082484A" w:rsidRDefault="00B77EA3" w:rsidP="00B77EA3">
      <w:pPr>
        <w:spacing w:before="0" w:line="240" w:lineRule="auto"/>
        <w:rPr>
          <w:bCs/>
          <w:sz w:val="22"/>
          <w:szCs w:val="22"/>
        </w:rPr>
      </w:pPr>
      <w:bookmarkStart w:id="84" w:name="_Ref8647195"/>
      <w:bookmarkStart w:id="85" w:name="_Toc8728096"/>
      <w:bookmarkStart w:id="86" w:name="_Toc19526751"/>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22</w:t>
      </w:r>
      <w:r w:rsidRPr="0082484A">
        <w:rPr>
          <w:bCs/>
          <w:noProof/>
          <w:sz w:val="22"/>
          <w:szCs w:val="22"/>
        </w:rPr>
        <w:fldChar w:fldCharType="end"/>
      </w:r>
      <w:bookmarkEnd w:id="83"/>
      <w:bookmarkEnd w:id="84"/>
      <w:r w:rsidRPr="0082484A">
        <w:rPr>
          <w:bCs/>
          <w:sz w:val="22"/>
          <w:szCs w:val="22"/>
        </w:rPr>
        <w:t>: Secondary outcome for Trial 1: The proportion of patients with Type 2 diabetes having eye screening in the previous 12 months (WP4A)</w:t>
      </w:r>
      <w:r w:rsidRPr="0082484A">
        <w:rPr>
          <w:bCs/>
          <w:sz w:val="22"/>
          <w:szCs w:val="22"/>
          <w:vertAlign w:val="superscript"/>
        </w:rPr>
        <w:t xml:space="preserve"> a</w:t>
      </w:r>
      <w:bookmarkEnd w:id="85"/>
      <w:bookmarkEnd w:id="86"/>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69558054"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695EE28" w14:textId="77777777" w:rsidR="00B77EA3" w:rsidRPr="0082484A" w:rsidRDefault="00B77EA3" w:rsidP="00B77EA3">
            <w:pPr>
              <w:spacing w:beforeLines="10" w:before="24" w:afterLines="10" w:after="24" w:line="240" w:lineRule="auto"/>
              <w:rPr>
                <w:bCs/>
                <w:sz w:val="22"/>
                <w:szCs w:val="22"/>
              </w:rPr>
            </w:pPr>
            <w:bookmarkStart w:id="87" w:name="IDX168"/>
            <w:bookmarkEnd w:id="87"/>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0DE4382"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D096F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3B3E5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5D28E0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A086C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E5E618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5D0093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FDDA3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DA9775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ECF823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0290A6F"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1181F7B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420965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0.0686</w:t>
            </w:r>
          </w:p>
        </w:tc>
        <w:tc>
          <w:tcPr>
            <w:tcW w:w="1134" w:type="dxa"/>
            <w:tcBorders>
              <w:top w:val="nil"/>
              <w:left w:val="nil"/>
              <w:bottom w:val="nil"/>
              <w:right w:val="nil"/>
            </w:tcBorders>
            <w:shd w:val="clear" w:color="auto" w:fill="FFFFFF"/>
            <w:tcMar>
              <w:left w:w="67" w:type="dxa"/>
              <w:right w:w="67" w:type="dxa"/>
            </w:tcMar>
            <w:vAlign w:val="center"/>
          </w:tcPr>
          <w:p w14:paraId="7D7F0B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0.1669</w:t>
            </w:r>
          </w:p>
        </w:tc>
        <w:tc>
          <w:tcPr>
            <w:tcW w:w="1134" w:type="dxa"/>
            <w:tcBorders>
              <w:top w:val="nil"/>
              <w:left w:val="nil"/>
              <w:bottom w:val="nil"/>
              <w:right w:val="nil"/>
            </w:tcBorders>
            <w:shd w:val="clear" w:color="auto" w:fill="FFFFFF"/>
            <w:tcMar>
              <w:left w:w="67" w:type="dxa"/>
              <w:right w:w="67" w:type="dxa"/>
            </w:tcMar>
            <w:vAlign w:val="center"/>
          </w:tcPr>
          <w:p w14:paraId="0DF9EA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1.0710</w:t>
            </w:r>
          </w:p>
        </w:tc>
        <w:tc>
          <w:tcPr>
            <w:tcW w:w="1134" w:type="dxa"/>
            <w:tcBorders>
              <w:top w:val="nil"/>
              <w:left w:val="nil"/>
              <w:bottom w:val="nil"/>
              <w:right w:val="nil"/>
            </w:tcBorders>
            <w:shd w:val="clear" w:color="auto" w:fill="FFFFFF"/>
            <w:tcMar>
              <w:left w:w="67" w:type="dxa"/>
              <w:right w:w="67" w:type="dxa"/>
            </w:tcMar>
            <w:vAlign w:val="center"/>
          </w:tcPr>
          <w:p w14:paraId="47A240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0.7367</w:t>
            </w:r>
          </w:p>
        </w:tc>
        <w:tc>
          <w:tcPr>
            <w:tcW w:w="1134" w:type="dxa"/>
            <w:tcBorders>
              <w:top w:val="nil"/>
              <w:left w:val="nil"/>
              <w:bottom w:val="nil"/>
              <w:right w:val="nil"/>
            </w:tcBorders>
            <w:shd w:val="clear" w:color="auto" w:fill="FFFFFF"/>
            <w:tcMar>
              <w:left w:w="67" w:type="dxa"/>
              <w:right w:w="67" w:type="dxa"/>
            </w:tcMar>
            <w:vAlign w:val="center"/>
          </w:tcPr>
          <w:p w14:paraId="369B86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1.5571</w:t>
            </w:r>
          </w:p>
        </w:tc>
        <w:tc>
          <w:tcPr>
            <w:tcW w:w="1134" w:type="dxa"/>
            <w:tcBorders>
              <w:top w:val="nil"/>
              <w:left w:val="nil"/>
              <w:bottom w:val="nil"/>
              <w:right w:val="nil"/>
            </w:tcBorders>
            <w:shd w:val="clear" w:color="auto" w:fill="FFFFFF"/>
            <w:tcMar>
              <w:left w:w="67" w:type="dxa"/>
              <w:right w:w="67" w:type="dxa"/>
            </w:tcMar>
            <w:vAlign w:val="center"/>
          </w:tcPr>
          <w:p w14:paraId="078D75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w:t>
            </w:r>
          </w:p>
        </w:tc>
        <w:tc>
          <w:tcPr>
            <w:tcW w:w="567" w:type="dxa"/>
            <w:tcBorders>
              <w:top w:val="nil"/>
              <w:left w:val="nil"/>
              <w:bottom w:val="nil"/>
              <w:right w:val="nil"/>
            </w:tcBorders>
            <w:shd w:val="clear" w:color="auto" w:fill="FFFFFF"/>
            <w:tcMar>
              <w:left w:w="67" w:type="dxa"/>
              <w:right w:w="67" w:type="dxa"/>
            </w:tcMar>
            <w:vAlign w:val="center"/>
          </w:tcPr>
          <w:p w14:paraId="58CE67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6585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0.6810</w:t>
            </w:r>
          </w:p>
        </w:tc>
      </w:tr>
      <w:tr w:rsidR="00B77EA3" w:rsidRPr="0082484A" w14:paraId="2EF40BA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C2EC11"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5E7321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417959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-0.1442</w:t>
            </w:r>
          </w:p>
        </w:tc>
        <w:tc>
          <w:tcPr>
            <w:tcW w:w="1134" w:type="dxa"/>
            <w:tcBorders>
              <w:top w:val="nil"/>
              <w:left w:val="nil"/>
              <w:bottom w:val="nil"/>
              <w:right w:val="nil"/>
            </w:tcBorders>
            <w:shd w:val="clear" w:color="auto" w:fill="FFFFFF"/>
            <w:tcMar>
              <w:left w:w="67" w:type="dxa"/>
              <w:right w:w="67" w:type="dxa"/>
            </w:tcMar>
            <w:vAlign w:val="center"/>
          </w:tcPr>
          <w:p w14:paraId="67657F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0.0279</w:t>
            </w:r>
          </w:p>
        </w:tc>
        <w:tc>
          <w:tcPr>
            <w:tcW w:w="1134" w:type="dxa"/>
            <w:tcBorders>
              <w:top w:val="nil"/>
              <w:left w:val="nil"/>
              <w:bottom w:val="nil"/>
              <w:right w:val="nil"/>
            </w:tcBorders>
            <w:shd w:val="clear" w:color="auto" w:fill="FFFFFF"/>
            <w:tcMar>
              <w:left w:w="67" w:type="dxa"/>
              <w:right w:w="67" w:type="dxa"/>
            </w:tcMar>
            <w:vAlign w:val="center"/>
          </w:tcPr>
          <w:p w14:paraId="3BE3C3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0.8657</w:t>
            </w:r>
          </w:p>
        </w:tc>
        <w:tc>
          <w:tcPr>
            <w:tcW w:w="1134" w:type="dxa"/>
            <w:tcBorders>
              <w:top w:val="nil"/>
              <w:left w:val="nil"/>
              <w:bottom w:val="nil"/>
              <w:right w:val="nil"/>
            </w:tcBorders>
            <w:shd w:val="clear" w:color="auto" w:fill="FFFFFF"/>
            <w:tcMar>
              <w:left w:w="67" w:type="dxa"/>
              <w:right w:w="67" w:type="dxa"/>
            </w:tcMar>
            <w:vAlign w:val="center"/>
          </w:tcPr>
          <w:p w14:paraId="2BE1D0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0.8133</w:t>
            </w:r>
          </w:p>
        </w:tc>
        <w:tc>
          <w:tcPr>
            <w:tcW w:w="1134" w:type="dxa"/>
            <w:tcBorders>
              <w:top w:val="nil"/>
              <w:left w:val="nil"/>
              <w:bottom w:val="nil"/>
              <w:right w:val="nil"/>
            </w:tcBorders>
            <w:shd w:val="clear" w:color="auto" w:fill="FFFFFF"/>
            <w:tcMar>
              <w:left w:w="67" w:type="dxa"/>
              <w:right w:w="67" w:type="dxa"/>
            </w:tcMar>
            <w:vAlign w:val="center"/>
          </w:tcPr>
          <w:p w14:paraId="1100A6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0.9215</w:t>
            </w:r>
          </w:p>
        </w:tc>
        <w:tc>
          <w:tcPr>
            <w:tcW w:w="1134" w:type="dxa"/>
            <w:tcBorders>
              <w:top w:val="nil"/>
              <w:left w:val="nil"/>
              <w:bottom w:val="nil"/>
              <w:right w:val="nil"/>
            </w:tcBorders>
            <w:shd w:val="clear" w:color="auto" w:fill="FFFFFF"/>
            <w:tcMar>
              <w:left w:w="67" w:type="dxa"/>
              <w:right w:w="67" w:type="dxa"/>
            </w:tcMar>
            <w:vAlign w:val="center"/>
          </w:tcPr>
          <w:p w14:paraId="610E29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26.79</w:t>
            </w:r>
          </w:p>
        </w:tc>
        <w:tc>
          <w:tcPr>
            <w:tcW w:w="567" w:type="dxa"/>
            <w:tcBorders>
              <w:top w:val="nil"/>
              <w:left w:val="nil"/>
              <w:bottom w:val="nil"/>
              <w:right w:val="nil"/>
            </w:tcBorders>
            <w:shd w:val="clear" w:color="auto" w:fill="FFFFFF"/>
            <w:tcMar>
              <w:left w:w="67" w:type="dxa"/>
              <w:right w:w="67" w:type="dxa"/>
            </w:tcMar>
            <w:vAlign w:val="center"/>
          </w:tcPr>
          <w:p w14:paraId="7749BD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F6BE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2541D8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36EE385"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301B62D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5AAF5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0.0078</w:t>
            </w:r>
          </w:p>
        </w:tc>
        <w:tc>
          <w:tcPr>
            <w:tcW w:w="1134" w:type="dxa"/>
            <w:tcBorders>
              <w:top w:val="nil"/>
              <w:left w:val="nil"/>
              <w:bottom w:val="nil"/>
              <w:right w:val="nil"/>
            </w:tcBorders>
            <w:shd w:val="clear" w:color="auto" w:fill="FFFFFF"/>
            <w:tcMar>
              <w:left w:w="67" w:type="dxa"/>
              <w:right w:w="67" w:type="dxa"/>
            </w:tcMar>
            <w:vAlign w:val="center"/>
          </w:tcPr>
          <w:p w14:paraId="2A9E8F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1FE9D7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1.0078</w:t>
            </w:r>
          </w:p>
        </w:tc>
        <w:tc>
          <w:tcPr>
            <w:tcW w:w="1134" w:type="dxa"/>
            <w:tcBorders>
              <w:top w:val="nil"/>
              <w:left w:val="nil"/>
              <w:bottom w:val="nil"/>
              <w:right w:val="nil"/>
            </w:tcBorders>
            <w:shd w:val="clear" w:color="auto" w:fill="FFFFFF"/>
            <w:tcMar>
              <w:left w:w="67" w:type="dxa"/>
              <w:right w:w="67" w:type="dxa"/>
            </w:tcMar>
            <w:vAlign w:val="center"/>
          </w:tcPr>
          <w:p w14:paraId="690C69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1.0055</w:t>
            </w:r>
          </w:p>
        </w:tc>
        <w:tc>
          <w:tcPr>
            <w:tcW w:w="1134" w:type="dxa"/>
            <w:tcBorders>
              <w:top w:val="nil"/>
              <w:left w:val="nil"/>
              <w:bottom w:val="nil"/>
              <w:right w:val="nil"/>
            </w:tcBorders>
            <w:shd w:val="clear" w:color="auto" w:fill="FFFFFF"/>
            <w:tcMar>
              <w:left w:w="67" w:type="dxa"/>
              <w:right w:w="67" w:type="dxa"/>
            </w:tcMar>
            <w:vAlign w:val="center"/>
          </w:tcPr>
          <w:p w14:paraId="1C4B34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1.0101</w:t>
            </w:r>
          </w:p>
        </w:tc>
        <w:tc>
          <w:tcPr>
            <w:tcW w:w="1134" w:type="dxa"/>
            <w:tcBorders>
              <w:top w:val="nil"/>
              <w:left w:val="nil"/>
              <w:bottom w:val="nil"/>
              <w:right w:val="nil"/>
            </w:tcBorders>
            <w:shd w:val="clear" w:color="auto" w:fill="FFFFFF"/>
            <w:tcMar>
              <w:left w:w="67" w:type="dxa"/>
              <w:right w:w="67" w:type="dxa"/>
            </w:tcMar>
            <w:vAlign w:val="center"/>
          </w:tcPr>
          <w:p w14:paraId="0C29FC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57.84</w:t>
            </w:r>
          </w:p>
        </w:tc>
        <w:tc>
          <w:tcPr>
            <w:tcW w:w="567" w:type="dxa"/>
            <w:tcBorders>
              <w:top w:val="nil"/>
              <w:left w:val="nil"/>
              <w:bottom w:val="nil"/>
              <w:right w:val="nil"/>
            </w:tcBorders>
            <w:shd w:val="clear" w:color="auto" w:fill="FFFFFF"/>
            <w:tcMar>
              <w:left w:w="67" w:type="dxa"/>
              <w:right w:w="67" w:type="dxa"/>
            </w:tcMar>
            <w:vAlign w:val="center"/>
          </w:tcPr>
          <w:p w14:paraId="41CF3B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1A84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768661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FFCA92A"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AF29F27"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8D085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0.0039</w:t>
            </w:r>
          </w:p>
        </w:tc>
        <w:tc>
          <w:tcPr>
            <w:tcW w:w="1134" w:type="dxa"/>
            <w:tcBorders>
              <w:top w:val="nil"/>
              <w:left w:val="nil"/>
              <w:bottom w:val="nil"/>
              <w:right w:val="nil"/>
            </w:tcBorders>
            <w:shd w:val="clear" w:color="auto" w:fill="FFFFFF"/>
            <w:tcMar>
              <w:left w:w="67" w:type="dxa"/>
              <w:right w:w="67" w:type="dxa"/>
            </w:tcMar>
            <w:vAlign w:val="center"/>
          </w:tcPr>
          <w:p w14:paraId="529E02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12E3E5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1.0040</w:t>
            </w:r>
          </w:p>
        </w:tc>
        <w:tc>
          <w:tcPr>
            <w:tcW w:w="1134" w:type="dxa"/>
            <w:tcBorders>
              <w:top w:val="nil"/>
              <w:left w:val="nil"/>
              <w:bottom w:val="nil"/>
              <w:right w:val="nil"/>
            </w:tcBorders>
            <w:shd w:val="clear" w:color="auto" w:fill="FFFFFF"/>
            <w:tcMar>
              <w:left w:w="67" w:type="dxa"/>
              <w:right w:w="67" w:type="dxa"/>
            </w:tcMar>
            <w:vAlign w:val="center"/>
          </w:tcPr>
          <w:p w14:paraId="4BE401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0.9982</w:t>
            </w:r>
          </w:p>
        </w:tc>
        <w:tc>
          <w:tcPr>
            <w:tcW w:w="1134" w:type="dxa"/>
            <w:tcBorders>
              <w:top w:val="nil"/>
              <w:left w:val="nil"/>
              <w:bottom w:val="nil"/>
              <w:right w:val="nil"/>
            </w:tcBorders>
            <w:shd w:val="clear" w:color="auto" w:fill="FFFFFF"/>
            <w:tcMar>
              <w:left w:w="67" w:type="dxa"/>
              <w:right w:w="67" w:type="dxa"/>
            </w:tcMar>
            <w:vAlign w:val="center"/>
          </w:tcPr>
          <w:p w14:paraId="0510B8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1.0098</w:t>
            </w:r>
          </w:p>
        </w:tc>
        <w:tc>
          <w:tcPr>
            <w:tcW w:w="1134" w:type="dxa"/>
            <w:tcBorders>
              <w:top w:val="nil"/>
              <w:left w:val="nil"/>
              <w:bottom w:val="nil"/>
              <w:right w:val="nil"/>
            </w:tcBorders>
            <w:shd w:val="clear" w:color="auto" w:fill="FFFFFF"/>
            <w:tcMar>
              <w:left w:w="67" w:type="dxa"/>
              <w:right w:w="67" w:type="dxa"/>
            </w:tcMar>
            <w:vAlign w:val="center"/>
          </w:tcPr>
          <w:p w14:paraId="6D833F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2.34</w:t>
            </w:r>
          </w:p>
        </w:tc>
        <w:tc>
          <w:tcPr>
            <w:tcW w:w="567" w:type="dxa"/>
            <w:tcBorders>
              <w:top w:val="nil"/>
              <w:left w:val="nil"/>
              <w:bottom w:val="nil"/>
              <w:right w:val="nil"/>
            </w:tcBorders>
            <w:shd w:val="clear" w:color="auto" w:fill="FFFFFF"/>
            <w:tcMar>
              <w:left w:w="67" w:type="dxa"/>
              <w:right w:w="67" w:type="dxa"/>
            </w:tcMar>
            <w:vAlign w:val="center"/>
          </w:tcPr>
          <w:p w14:paraId="5F1F37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9DFF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0.1259</w:t>
            </w:r>
          </w:p>
        </w:tc>
      </w:tr>
      <w:tr w:rsidR="00B77EA3" w:rsidRPr="0082484A" w14:paraId="30C01B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B20C92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D0FC3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3687B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-0.5670</w:t>
            </w:r>
          </w:p>
        </w:tc>
        <w:tc>
          <w:tcPr>
            <w:tcW w:w="1134" w:type="dxa"/>
            <w:tcBorders>
              <w:top w:val="nil"/>
              <w:left w:val="nil"/>
              <w:bottom w:val="nil"/>
              <w:right w:val="nil"/>
            </w:tcBorders>
            <w:shd w:val="clear" w:color="auto" w:fill="FFFFFF"/>
            <w:tcMar>
              <w:left w:w="67" w:type="dxa"/>
              <w:right w:w="67" w:type="dxa"/>
            </w:tcMar>
            <w:vAlign w:val="center"/>
          </w:tcPr>
          <w:p w14:paraId="1A6286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0.4781</w:t>
            </w:r>
          </w:p>
        </w:tc>
        <w:tc>
          <w:tcPr>
            <w:tcW w:w="1134" w:type="dxa"/>
            <w:tcBorders>
              <w:top w:val="nil"/>
              <w:left w:val="nil"/>
              <w:bottom w:val="nil"/>
              <w:right w:val="nil"/>
            </w:tcBorders>
            <w:shd w:val="clear" w:color="auto" w:fill="FFFFFF"/>
            <w:tcMar>
              <w:left w:w="67" w:type="dxa"/>
              <w:right w:w="67" w:type="dxa"/>
            </w:tcMar>
            <w:vAlign w:val="center"/>
          </w:tcPr>
          <w:p w14:paraId="50BC55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0.5672</w:t>
            </w:r>
          </w:p>
        </w:tc>
        <w:tc>
          <w:tcPr>
            <w:tcW w:w="1134" w:type="dxa"/>
            <w:tcBorders>
              <w:top w:val="nil"/>
              <w:left w:val="nil"/>
              <w:bottom w:val="nil"/>
              <w:right w:val="nil"/>
            </w:tcBorders>
            <w:shd w:val="clear" w:color="auto" w:fill="FFFFFF"/>
            <w:tcMar>
              <w:left w:w="67" w:type="dxa"/>
              <w:right w:w="67" w:type="dxa"/>
            </w:tcMar>
            <w:vAlign w:val="center"/>
          </w:tcPr>
          <w:p w14:paraId="641B32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0.1942</w:t>
            </w:r>
          </w:p>
        </w:tc>
        <w:tc>
          <w:tcPr>
            <w:tcW w:w="1134" w:type="dxa"/>
            <w:tcBorders>
              <w:top w:val="nil"/>
              <w:left w:val="nil"/>
              <w:bottom w:val="nil"/>
              <w:right w:val="nil"/>
            </w:tcBorders>
            <w:shd w:val="clear" w:color="auto" w:fill="FFFFFF"/>
            <w:tcMar>
              <w:left w:w="67" w:type="dxa"/>
              <w:right w:w="67" w:type="dxa"/>
            </w:tcMar>
            <w:vAlign w:val="center"/>
          </w:tcPr>
          <w:p w14:paraId="026A4C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1.6565</w:t>
            </w:r>
          </w:p>
        </w:tc>
        <w:tc>
          <w:tcPr>
            <w:tcW w:w="1134" w:type="dxa"/>
            <w:tcBorders>
              <w:top w:val="nil"/>
              <w:left w:val="nil"/>
              <w:bottom w:val="nil"/>
              <w:right w:val="nil"/>
            </w:tcBorders>
            <w:shd w:val="clear" w:color="auto" w:fill="FFFFFF"/>
            <w:tcMar>
              <w:left w:w="67" w:type="dxa"/>
              <w:right w:w="67" w:type="dxa"/>
            </w:tcMar>
            <w:vAlign w:val="center"/>
          </w:tcPr>
          <w:p w14:paraId="42F646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3.15</w:t>
            </w:r>
          </w:p>
        </w:tc>
        <w:tc>
          <w:tcPr>
            <w:tcW w:w="567" w:type="dxa"/>
            <w:tcBorders>
              <w:top w:val="nil"/>
              <w:left w:val="nil"/>
              <w:bottom w:val="nil"/>
              <w:right w:val="nil"/>
            </w:tcBorders>
            <w:shd w:val="clear" w:color="auto" w:fill="FFFFFF"/>
            <w:tcMar>
              <w:left w:w="67" w:type="dxa"/>
              <w:right w:w="67" w:type="dxa"/>
            </w:tcMar>
            <w:vAlign w:val="center"/>
          </w:tcPr>
          <w:p w14:paraId="7CF6D5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60CD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r>
      <w:tr w:rsidR="00B77EA3" w:rsidRPr="0082484A" w14:paraId="7813ECE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F858A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66DC0D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B8B6D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0.3765</w:t>
            </w:r>
          </w:p>
        </w:tc>
        <w:tc>
          <w:tcPr>
            <w:tcW w:w="1134" w:type="dxa"/>
            <w:tcBorders>
              <w:top w:val="nil"/>
              <w:left w:val="nil"/>
              <w:bottom w:val="nil"/>
              <w:right w:val="nil"/>
            </w:tcBorders>
            <w:shd w:val="clear" w:color="auto" w:fill="FFFFFF"/>
            <w:tcMar>
              <w:left w:w="67" w:type="dxa"/>
              <w:right w:w="67" w:type="dxa"/>
            </w:tcMar>
            <w:vAlign w:val="center"/>
          </w:tcPr>
          <w:p w14:paraId="3EFECF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0.4090</w:t>
            </w:r>
          </w:p>
        </w:tc>
        <w:tc>
          <w:tcPr>
            <w:tcW w:w="1134" w:type="dxa"/>
            <w:tcBorders>
              <w:top w:val="nil"/>
              <w:left w:val="nil"/>
              <w:bottom w:val="nil"/>
              <w:right w:val="nil"/>
            </w:tcBorders>
            <w:shd w:val="clear" w:color="auto" w:fill="FFFFFF"/>
            <w:tcMar>
              <w:left w:w="67" w:type="dxa"/>
              <w:right w:w="67" w:type="dxa"/>
            </w:tcMar>
            <w:vAlign w:val="center"/>
          </w:tcPr>
          <w:p w14:paraId="506B06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1.4572</w:t>
            </w:r>
          </w:p>
        </w:tc>
        <w:tc>
          <w:tcPr>
            <w:tcW w:w="1134" w:type="dxa"/>
            <w:tcBorders>
              <w:top w:val="nil"/>
              <w:left w:val="nil"/>
              <w:bottom w:val="nil"/>
              <w:right w:val="nil"/>
            </w:tcBorders>
            <w:shd w:val="clear" w:color="auto" w:fill="FFFFFF"/>
            <w:tcMar>
              <w:left w:w="67" w:type="dxa"/>
              <w:right w:w="67" w:type="dxa"/>
            </w:tcMar>
            <w:vAlign w:val="center"/>
          </w:tcPr>
          <w:p w14:paraId="34D486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0.5827</w:t>
            </w:r>
          </w:p>
        </w:tc>
        <w:tc>
          <w:tcPr>
            <w:tcW w:w="1134" w:type="dxa"/>
            <w:tcBorders>
              <w:top w:val="nil"/>
              <w:left w:val="nil"/>
              <w:bottom w:val="nil"/>
              <w:right w:val="nil"/>
            </w:tcBorders>
            <w:shd w:val="clear" w:color="auto" w:fill="FFFFFF"/>
            <w:tcMar>
              <w:left w:w="67" w:type="dxa"/>
              <w:right w:w="67" w:type="dxa"/>
            </w:tcMar>
            <w:vAlign w:val="center"/>
          </w:tcPr>
          <w:p w14:paraId="582E46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3.6444</w:t>
            </w:r>
          </w:p>
        </w:tc>
        <w:tc>
          <w:tcPr>
            <w:tcW w:w="1134" w:type="dxa"/>
            <w:tcBorders>
              <w:top w:val="nil"/>
              <w:left w:val="nil"/>
              <w:bottom w:val="nil"/>
              <w:right w:val="nil"/>
            </w:tcBorders>
            <w:shd w:val="clear" w:color="auto" w:fill="FFFFFF"/>
            <w:tcMar>
              <w:left w:w="67" w:type="dxa"/>
              <w:right w:w="67" w:type="dxa"/>
            </w:tcMar>
            <w:vAlign w:val="center"/>
          </w:tcPr>
          <w:p w14:paraId="02639C2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699A5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853F61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92C39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F75188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3A405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7C23E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-0.1747</w:t>
            </w:r>
          </w:p>
        </w:tc>
        <w:tc>
          <w:tcPr>
            <w:tcW w:w="1134" w:type="dxa"/>
            <w:tcBorders>
              <w:top w:val="nil"/>
              <w:left w:val="nil"/>
              <w:bottom w:val="nil"/>
              <w:right w:val="nil"/>
            </w:tcBorders>
            <w:shd w:val="clear" w:color="auto" w:fill="FFFFFF"/>
            <w:tcMar>
              <w:left w:w="67" w:type="dxa"/>
              <w:right w:w="67" w:type="dxa"/>
            </w:tcMar>
            <w:vAlign w:val="center"/>
          </w:tcPr>
          <w:p w14:paraId="21E049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0.3033</w:t>
            </w:r>
          </w:p>
        </w:tc>
        <w:tc>
          <w:tcPr>
            <w:tcW w:w="1134" w:type="dxa"/>
            <w:tcBorders>
              <w:top w:val="nil"/>
              <w:left w:val="nil"/>
              <w:bottom w:val="nil"/>
              <w:right w:val="nil"/>
            </w:tcBorders>
            <w:shd w:val="clear" w:color="auto" w:fill="FFFFFF"/>
            <w:tcMar>
              <w:left w:w="67" w:type="dxa"/>
              <w:right w:w="67" w:type="dxa"/>
            </w:tcMar>
            <w:vAlign w:val="center"/>
          </w:tcPr>
          <w:p w14:paraId="346E0F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0.8397</w:t>
            </w:r>
          </w:p>
        </w:tc>
        <w:tc>
          <w:tcPr>
            <w:tcW w:w="1134" w:type="dxa"/>
            <w:tcBorders>
              <w:top w:val="nil"/>
              <w:left w:val="nil"/>
              <w:bottom w:val="nil"/>
              <w:right w:val="nil"/>
            </w:tcBorders>
            <w:shd w:val="clear" w:color="auto" w:fill="FFFFFF"/>
            <w:tcMar>
              <w:left w:w="67" w:type="dxa"/>
              <w:right w:w="67" w:type="dxa"/>
            </w:tcMar>
            <w:vAlign w:val="center"/>
          </w:tcPr>
          <w:p w14:paraId="7D5A40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0.4255</w:t>
            </w:r>
          </w:p>
        </w:tc>
        <w:tc>
          <w:tcPr>
            <w:tcW w:w="1134" w:type="dxa"/>
            <w:tcBorders>
              <w:top w:val="nil"/>
              <w:left w:val="nil"/>
              <w:bottom w:val="nil"/>
              <w:right w:val="nil"/>
            </w:tcBorders>
            <w:shd w:val="clear" w:color="auto" w:fill="FFFFFF"/>
            <w:tcMar>
              <w:left w:w="67" w:type="dxa"/>
              <w:right w:w="67" w:type="dxa"/>
            </w:tcMar>
            <w:vAlign w:val="center"/>
          </w:tcPr>
          <w:p w14:paraId="0A7B4D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1.6572</w:t>
            </w:r>
          </w:p>
        </w:tc>
        <w:tc>
          <w:tcPr>
            <w:tcW w:w="1134" w:type="dxa"/>
            <w:tcBorders>
              <w:top w:val="nil"/>
              <w:left w:val="nil"/>
              <w:bottom w:val="nil"/>
              <w:right w:val="nil"/>
            </w:tcBorders>
            <w:shd w:val="clear" w:color="auto" w:fill="FFFFFF"/>
            <w:tcMar>
              <w:left w:w="67" w:type="dxa"/>
              <w:right w:w="67" w:type="dxa"/>
            </w:tcMar>
            <w:vAlign w:val="center"/>
          </w:tcPr>
          <w:p w14:paraId="376288B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A2345F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3F259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C995D2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C6548C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4A4B4A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DB27E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-0.3308</w:t>
            </w:r>
          </w:p>
        </w:tc>
        <w:tc>
          <w:tcPr>
            <w:tcW w:w="1134" w:type="dxa"/>
            <w:tcBorders>
              <w:top w:val="nil"/>
              <w:left w:val="nil"/>
              <w:bottom w:val="nil"/>
              <w:right w:val="nil"/>
            </w:tcBorders>
            <w:shd w:val="clear" w:color="auto" w:fill="FFFFFF"/>
            <w:tcMar>
              <w:left w:w="67" w:type="dxa"/>
              <w:right w:w="67" w:type="dxa"/>
            </w:tcMar>
            <w:vAlign w:val="center"/>
          </w:tcPr>
          <w:p w14:paraId="23A217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0.4227</w:t>
            </w:r>
          </w:p>
        </w:tc>
        <w:tc>
          <w:tcPr>
            <w:tcW w:w="1134" w:type="dxa"/>
            <w:tcBorders>
              <w:top w:val="nil"/>
              <w:left w:val="nil"/>
              <w:bottom w:val="nil"/>
              <w:right w:val="nil"/>
            </w:tcBorders>
            <w:shd w:val="clear" w:color="auto" w:fill="FFFFFF"/>
            <w:tcMar>
              <w:left w:w="67" w:type="dxa"/>
              <w:right w:w="67" w:type="dxa"/>
            </w:tcMar>
            <w:vAlign w:val="center"/>
          </w:tcPr>
          <w:p w14:paraId="1C5CD6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0.7183</w:t>
            </w:r>
          </w:p>
        </w:tc>
        <w:tc>
          <w:tcPr>
            <w:tcW w:w="1134" w:type="dxa"/>
            <w:tcBorders>
              <w:top w:val="nil"/>
              <w:left w:val="nil"/>
              <w:bottom w:val="nil"/>
              <w:right w:val="nil"/>
            </w:tcBorders>
            <w:shd w:val="clear" w:color="auto" w:fill="FFFFFF"/>
            <w:tcMar>
              <w:left w:w="67" w:type="dxa"/>
              <w:right w:w="67" w:type="dxa"/>
            </w:tcMar>
            <w:vAlign w:val="center"/>
          </w:tcPr>
          <w:p w14:paraId="309429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0.2785</w:t>
            </w:r>
          </w:p>
        </w:tc>
        <w:tc>
          <w:tcPr>
            <w:tcW w:w="1134" w:type="dxa"/>
            <w:tcBorders>
              <w:top w:val="nil"/>
              <w:left w:val="nil"/>
              <w:bottom w:val="nil"/>
              <w:right w:val="nil"/>
            </w:tcBorders>
            <w:shd w:val="clear" w:color="auto" w:fill="FFFFFF"/>
            <w:tcMar>
              <w:left w:w="67" w:type="dxa"/>
              <w:right w:w="67" w:type="dxa"/>
            </w:tcMar>
            <w:vAlign w:val="center"/>
          </w:tcPr>
          <w:p w14:paraId="3F0D80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1.8527</w:t>
            </w:r>
          </w:p>
        </w:tc>
        <w:tc>
          <w:tcPr>
            <w:tcW w:w="1134" w:type="dxa"/>
            <w:tcBorders>
              <w:top w:val="nil"/>
              <w:left w:val="nil"/>
              <w:bottom w:val="nil"/>
              <w:right w:val="nil"/>
            </w:tcBorders>
            <w:shd w:val="clear" w:color="auto" w:fill="FFFFFF"/>
            <w:tcMar>
              <w:left w:w="67" w:type="dxa"/>
              <w:right w:w="67" w:type="dxa"/>
            </w:tcMar>
            <w:vAlign w:val="center"/>
          </w:tcPr>
          <w:p w14:paraId="04064EE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10E404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C3978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C971D3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9691B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61100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7B050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nil"/>
              <w:right w:val="nil"/>
            </w:tcBorders>
            <w:shd w:val="clear" w:color="auto" w:fill="FFFFFF"/>
            <w:tcMar>
              <w:left w:w="67" w:type="dxa"/>
              <w:right w:w="67" w:type="dxa"/>
            </w:tcMar>
            <w:vAlign w:val="center"/>
          </w:tcPr>
          <w:p w14:paraId="221DA5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0.4109</w:t>
            </w:r>
          </w:p>
        </w:tc>
        <w:tc>
          <w:tcPr>
            <w:tcW w:w="1134" w:type="dxa"/>
            <w:tcBorders>
              <w:top w:val="nil"/>
              <w:left w:val="nil"/>
              <w:bottom w:val="nil"/>
              <w:right w:val="nil"/>
            </w:tcBorders>
            <w:shd w:val="clear" w:color="auto" w:fill="FFFFFF"/>
            <w:tcMar>
              <w:left w:w="67" w:type="dxa"/>
              <w:right w:w="67" w:type="dxa"/>
            </w:tcMar>
            <w:vAlign w:val="center"/>
          </w:tcPr>
          <w:p w14:paraId="665E82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1.0043</w:t>
            </w:r>
          </w:p>
        </w:tc>
        <w:tc>
          <w:tcPr>
            <w:tcW w:w="1134" w:type="dxa"/>
            <w:tcBorders>
              <w:top w:val="nil"/>
              <w:left w:val="nil"/>
              <w:bottom w:val="nil"/>
              <w:right w:val="nil"/>
            </w:tcBorders>
            <w:shd w:val="clear" w:color="auto" w:fill="FFFFFF"/>
            <w:tcMar>
              <w:left w:w="67" w:type="dxa"/>
              <w:right w:w="67" w:type="dxa"/>
            </w:tcMar>
            <w:vAlign w:val="center"/>
          </w:tcPr>
          <w:p w14:paraId="52B425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0.3998</w:t>
            </w:r>
          </w:p>
        </w:tc>
        <w:tc>
          <w:tcPr>
            <w:tcW w:w="1134" w:type="dxa"/>
            <w:tcBorders>
              <w:top w:val="nil"/>
              <w:left w:val="nil"/>
              <w:bottom w:val="nil"/>
              <w:right w:val="nil"/>
            </w:tcBorders>
            <w:shd w:val="clear" w:color="auto" w:fill="FFFFFF"/>
            <w:tcMar>
              <w:left w:w="67" w:type="dxa"/>
              <w:right w:w="67" w:type="dxa"/>
            </w:tcMar>
            <w:vAlign w:val="center"/>
          </w:tcPr>
          <w:p w14:paraId="640BB7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2.5225</w:t>
            </w:r>
          </w:p>
        </w:tc>
        <w:tc>
          <w:tcPr>
            <w:tcW w:w="1134" w:type="dxa"/>
            <w:tcBorders>
              <w:top w:val="nil"/>
              <w:left w:val="nil"/>
              <w:bottom w:val="nil"/>
              <w:right w:val="nil"/>
            </w:tcBorders>
            <w:shd w:val="clear" w:color="auto" w:fill="FFFFFF"/>
            <w:tcMar>
              <w:left w:w="67" w:type="dxa"/>
              <w:right w:w="67" w:type="dxa"/>
            </w:tcMar>
            <w:vAlign w:val="center"/>
          </w:tcPr>
          <w:p w14:paraId="30852CB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1062F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B136F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0F05F2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C47B86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7A731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9DA5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-0.7248</w:t>
            </w:r>
          </w:p>
        </w:tc>
        <w:tc>
          <w:tcPr>
            <w:tcW w:w="1134" w:type="dxa"/>
            <w:tcBorders>
              <w:top w:val="nil"/>
              <w:left w:val="nil"/>
              <w:bottom w:val="nil"/>
              <w:right w:val="nil"/>
            </w:tcBorders>
            <w:shd w:val="clear" w:color="auto" w:fill="FFFFFF"/>
            <w:tcMar>
              <w:left w:w="67" w:type="dxa"/>
              <w:right w:w="67" w:type="dxa"/>
            </w:tcMar>
            <w:vAlign w:val="center"/>
          </w:tcPr>
          <w:p w14:paraId="24E2F4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0.4295</w:t>
            </w:r>
          </w:p>
        </w:tc>
        <w:tc>
          <w:tcPr>
            <w:tcW w:w="1134" w:type="dxa"/>
            <w:tcBorders>
              <w:top w:val="nil"/>
              <w:left w:val="nil"/>
              <w:bottom w:val="nil"/>
              <w:right w:val="nil"/>
            </w:tcBorders>
            <w:shd w:val="clear" w:color="auto" w:fill="FFFFFF"/>
            <w:tcMar>
              <w:left w:w="67" w:type="dxa"/>
              <w:right w:w="67" w:type="dxa"/>
            </w:tcMar>
            <w:vAlign w:val="center"/>
          </w:tcPr>
          <w:p w14:paraId="31BDF9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0.4844</w:t>
            </w:r>
          </w:p>
        </w:tc>
        <w:tc>
          <w:tcPr>
            <w:tcW w:w="1134" w:type="dxa"/>
            <w:tcBorders>
              <w:top w:val="nil"/>
              <w:left w:val="nil"/>
              <w:bottom w:val="nil"/>
              <w:right w:val="nil"/>
            </w:tcBorders>
            <w:shd w:val="clear" w:color="auto" w:fill="FFFFFF"/>
            <w:tcMar>
              <w:left w:w="67" w:type="dxa"/>
              <w:right w:w="67" w:type="dxa"/>
            </w:tcMar>
            <w:vAlign w:val="center"/>
          </w:tcPr>
          <w:p w14:paraId="6013C2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0.1850</w:t>
            </w:r>
          </w:p>
        </w:tc>
        <w:tc>
          <w:tcPr>
            <w:tcW w:w="1134" w:type="dxa"/>
            <w:tcBorders>
              <w:top w:val="nil"/>
              <w:left w:val="nil"/>
              <w:bottom w:val="nil"/>
              <w:right w:val="nil"/>
            </w:tcBorders>
            <w:shd w:val="clear" w:color="auto" w:fill="FFFFFF"/>
            <w:tcMar>
              <w:left w:w="67" w:type="dxa"/>
              <w:right w:w="67" w:type="dxa"/>
            </w:tcMar>
            <w:vAlign w:val="center"/>
          </w:tcPr>
          <w:p w14:paraId="711848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1.2687</w:t>
            </w:r>
          </w:p>
        </w:tc>
        <w:tc>
          <w:tcPr>
            <w:tcW w:w="1134" w:type="dxa"/>
            <w:tcBorders>
              <w:top w:val="nil"/>
              <w:left w:val="nil"/>
              <w:bottom w:val="nil"/>
              <w:right w:val="nil"/>
            </w:tcBorders>
            <w:shd w:val="clear" w:color="auto" w:fill="FFFFFF"/>
            <w:tcMar>
              <w:left w:w="67" w:type="dxa"/>
              <w:right w:w="67" w:type="dxa"/>
            </w:tcMar>
            <w:vAlign w:val="center"/>
          </w:tcPr>
          <w:p w14:paraId="4B9273A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C6C54B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2FBCCE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C7E50A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7F660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2794AD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3829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-1.1894</w:t>
            </w:r>
          </w:p>
        </w:tc>
        <w:tc>
          <w:tcPr>
            <w:tcW w:w="1134" w:type="dxa"/>
            <w:tcBorders>
              <w:top w:val="nil"/>
              <w:left w:val="nil"/>
              <w:bottom w:val="nil"/>
              <w:right w:val="nil"/>
            </w:tcBorders>
            <w:shd w:val="clear" w:color="auto" w:fill="FFFFFF"/>
            <w:tcMar>
              <w:left w:w="67" w:type="dxa"/>
              <w:right w:w="67" w:type="dxa"/>
            </w:tcMar>
            <w:vAlign w:val="center"/>
          </w:tcPr>
          <w:p w14:paraId="4FADB9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0.3588</w:t>
            </w:r>
          </w:p>
        </w:tc>
        <w:tc>
          <w:tcPr>
            <w:tcW w:w="1134" w:type="dxa"/>
            <w:tcBorders>
              <w:top w:val="nil"/>
              <w:left w:val="nil"/>
              <w:bottom w:val="nil"/>
              <w:right w:val="nil"/>
            </w:tcBorders>
            <w:shd w:val="clear" w:color="auto" w:fill="FFFFFF"/>
            <w:tcMar>
              <w:left w:w="67" w:type="dxa"/>
              <w:right w:w="67" w:type="dxa"/>
            </w:tcMar>
            <w:vAlign w:val="center"/>
          </w:tcPr>
          <w:p w14:paraId="56A896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0.3044</w:t>
            </w:r>
          </w:p>
        </w:tc>
        <w:tc>
          <w:tcPr>
            <w:tcW w:w="1134" w:type="dxa"/>
            <w:tcBorders>
              <w:top w:val="nil"/>
              <w:left w:val="nil"/>
              <w:bottom w:val="nil"/>
              <w:right w:val="nil"/>
            </w:tcBorders>
            <w:shd w:val="clear" w:color="auto" w:fill="FFFFFF"/>
            <w:tcMar>
              <w:left w:w="67" w:type="dxa"/>
              <w:right w:w="67" w:type="dxa"/>
            </w:tcMar>
            <w:vAlign w:val="center"/>
          </w:tcPr>
          <w:p w14:paraId="1CA86C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0.1362</w:t>
            </w:r>
          </w:p>
        </w:tc>
        <w:tc>
          <w:tcPr>
            <w:tcW w:w="1134" w:type="dxa"/>
            <w:tcBorders>
              <w:top w:val="nil"/>
              <w:left w:val="nil"/>
              <w:bottom w:val="nil"/>
              <w:right w:val="nil"/>
            </w:tcBorders>
            <w:shd w:val="clear" w:color="auto" w:fill="FFFFFF"/>
            <w:tcMar>
              <w:left w:w="67" w:type="dxa"/>
              <w:right w:w="67" w:type="dxa"/>
            </w:tcMar>
            <w:vAlign w:val="center"/>
          </w:tcPr>
          <w:p w14:paraId="045DBA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0.6803</w:t>
            </w:r>
          </w:p>
        </w:tc>
        <w:tc>
          <w:tcPr>
            <w:tcW w:w="1134" w:type="dxa"/>
            <w:tcBorders>
              <w:top w:val="nil"/>
              <w:left w:val="nil"/>
              <w:bottom w:val="nil"/>
              <w:right w:val="nil"/>
            </w:tcBorders>
            <w:shd w:val="clear" w:color="auto" w:fill="FFFFFF"/>
            <w:tcMar>
              <w:left w:w="67" w:type="dxa"/>
              <w:right w:w="67" w:type="dxa"/>
            </w:tcMar>
            <w:vAlign w:val="center"/>
          </w:tcPr>
          <w:p w14:paraId="1AC6E84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BC9DA7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9CEC59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BD8285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E9C02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67CB68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9738B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-0.6624</w:t>
            </w:r>
          </w:p>
        </w:tc>
        <w:tc>
          <w:tcPr>
            <w:tcW w:w="1134" w:type="dxa"/>
            <w:tcBorders>
              <w:top w:val="nil"/>
              <w:left w:val="nil"/>
              <w:bottom w:val="nil"/>
              <w:right w:val="nil"/>
            </w:tcBorders>
            <w:shd w:val="clear" w:color="auto" w:fill="FFFFFF"/>
            <w:tcMar>
              <w:left w:w="67" w:type="dxa"/>
              <w:right w:w="67" w:type="dxa"/>
            </w:tcMar>
            <w:vAlign w:val="center"/>
          </w:tcPr>
          <w:p w14:paraId="00CDA0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0.4034</w:t>
            </w:r>
          </w:p>
        </w:tc>
        <w:tc>
          <w:tcPr>
            <w:tcW w:w="1134" w:type="dxa"/>
            <w:tcBorders>
              <w:top w:val="nil"/>
              <w:left w:val="nil"/>
              <w:bottom w:val="nil"/>
              <w:right w:val="nil"/>
            </w:tcBorders>
            <w:shd w:val="clear" w:color="auto" w:fill="FFFFFF"/>
            <w:tcMar>
              <w:left w:w="67" w:type="dxa"/>
              <w:right w:w="67" w:type="dxa"/>
            </w:tcMar>
            <w:vAlign w:val="center"/>
          </w:tcPr>
          <w:p w14:paraId="6B802A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0.5156</w:t>
            </w:r>
          </w:p>
        </w:tc>
        <w:tc>
          <w:tcPr>
            <w:tcW w:w="1134" w:type="dxa"/>
            <w:tcBorders>
              <w:top w:val="nil"/>
              <w:left w:val="nil"/>
              <w:bottom w:val="nil"/>
              <w:right w:val="nil"/>
            </w:tcBorders>
            <w:shd w:val="clear" w:color="auto" w:fill="FFFFFF"/>
            <w:tcMar>
              <w:left w:w="67" w:type="dxa"/>
              <w:right w:w="67" w:type="dxa"/>
            </w:tcMar>
            <w:vAlign w:val="center"/>
          </w:tcPr>
          <w:p w14:paraId="2EE44B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0.2088</w:t>
            </w:r>
          </w:p>
        </w:tc>
        <w:tc>
          <w:tcPr>
            <w:tcW w:w="1134" w:type="dxa"/>
            <w:tcBorders>
              <w:top w:val="nil"/>
              <w:left w:val="nil"/>
              <w:bottom w:val="nil"/>
              <w:right w:val="nil"/>
            </w:tcBorders>
            <w:shd w:val="clear" w:color="auto" w:fill="FFFFFF"/>
            <w:tcMar>
              <w:left w:w="67" w:type="dxa"/>
              <w:right w:w="67" w:type="dxa"/>
            </w:tcMar>
            <w:vAlign w:val="center"/>
          </w:tcPr>
          <w:p w14:paraId="07221C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1.2734</w:t>
            </w:r>
          </w:p>
        </w:tc>
        <w:tc>
          <w:tcPr>
            <w:tcW w:w="1134" w:type="dxa"/>
            <w:tcBorders>
              <w:top w:val="nil"/>
              <w:left w:val="nil"/>
              <w:bottom w:val="nil"/>
              <w:right w:val="nil"/>
            </w:tcBorders>
            <w:shd w:val="clear" w:color="auto" w:fill="FFFFFF"/>
            <w:tcMar>
              <w:left w:w="67" w:type="dxa"/>
              <w:right w:w="67" w:type="dxa"/>
            </w:tcMar>
            <w:vAlign w:val="center"/>
          </w:tcPr>
          <w:p w14:paraId="42AE53F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4D7350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F19CCF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338752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9190C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6C6BC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76F75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49F4EE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0.3770</w:t>
            </w:r>
          </w:p>
        </w:tc>
        <w:tc>
          <w:tcPr>
            <w:tcW w:w="1134" w:type="dxa"/>
            <w:tcBorders>
              <w:top w:val="nil"/>
              <w:left w:val="nil"/>
              <w:bottom w:val="nil"/>
              <w:right w:val="nil"/>
            </w:tcBorders>
            <w:shd w:val="clear" w:color="auto" w:fill="FFFFFF"/>
            <w:tcMar>
              <w:left w:w="67" w:type="dxa"/>
              <w:right w:w="67" w:type="dxa"/>
            </w:tcMar>
            <w:vAlign w:val="center"/>
          </w:tcPr>
          <w:p w14:paraId="547491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1.0051</w:t>
            </w:r>
          </w:p>
        </w:tc>
        <w:tc>
          <w:tcPr>
            <w:tcW w:w="1134" w:type="dxa"/>
            <w:tcBorders>
              <w:top w:val="nil"/>
              <w:left w:val="nil"/>
              <w:bottom w:val="nil"/>
              <w:right w:val="nil"/>
            </w:tcBorders>
            <w:shd w:val="clear" w:color="auto" w:fill="FFFFFF"/>
            <w:tcMar>
              <w:left w:w="67" w:type="dxa"/>
              <w:right w:w="67" w:type="dxa"/>
            </w:tcMar>
            <w:vAlign w:val="center"/>
          </w:tcPr>
          <w:p w14:paraId="170C24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0.4317</w:t>
            </w:r>
          </w:p>
        </w:tc>
        <w:tc>
          <w:tcPr>
            <w:tcW w:w="1134" w:type="dxa"/>
            <w:tcBorders>
              <w:top w:val="nil"/>
              <w:left w:val="nil"/>
              <w:bottom w:val="nil"/>
              <w:right w:val="nil"/>
            </w:tcBorders>
            <w:shd w:val="clear" w:color="auto" w:fill="FFFFFF"/>
            <w:tcMar>
              <w:left w:w="67" w:type="dxa"/>
              <w:right w:w="67" w:type="dxa"/>
            </w:tcMar>
            <w:vAlign w:val="center"/>
          </w:tcPr>
          <w:p w14:paraId="47E00C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2.3401</w:t>
            </w:r>
          </w:p>
        </w:tc>
        <w:tc>
          <w:tcPr>
            <w:tcW w:w="1134" w:type="dxa"/>
            <w:tcBorders>
              <w:top w:val="nil"/>
              <w:left w:val="nil"/>
              <w:bottom w:val="nil"/>
              <w:right w:val="nil"/>
            </w:tcBorders>
            <w:shd w:val="clear" w:color="auto" w:fill="FFFFFF"/>
            <w:tcMar>
              <w:left w:w="67" w:type="dxa"/>
              <w:right w:w="67" w:type="dxa"/>
            </w:tcMar>
            <w:vAlign w:val="center"/>
          </w:tcPr>
          <w:p w14:paraId="79469CB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4F789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52815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C46D7A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F2C90E"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68181C4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00132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48E9CB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0.0207</w:t>
            </w:r>
          </w:p>
        </w:tc>
        <w:tc>
          <w:tcPr>
            <w:tcW w:w="1134" w:type="dxa"/>
            <w:tcBorders>
              <w:top w:val="nil"/>
              <w:left w:val="nil"/>
              <w:bottom w:val="nil"/>
              <w:right w:val="nil"/>
            </w:tcBorders>
            <w:shd w:val="clear" w:color="auto" w:fill="FFFFFF"/>
            <w:tcMar>
              <w:left w:w="67" w:type="dxa"/>
              <w:right w:w="67" w:type="dxa"/>
            </w:tcMar>
            <w:vAlign w:val="center"/>
          </w:tcPr>
          <w:p w14:paraId="4C412D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1.0035</w:t>
            </w:r>
          </w:p>
        </w:tc>
        <w:tc>
          <w:tcPr>
            <w:tcW w:w="1134" w:type="dxa"/>
            <w:tcBorders>
              <w:top w:val="nil"/>
              <w:left w:val="nil"/>
              <w:bottom w:val="nil"/>
              <w:right w:val="nil"/>
            </w:tcBorders>
            <w:shd w:val="clear" w:color="auto" w:fill="FFFFFF"/>
            <w:tcMar>
              <w:left w:w="67" w:type="dxa"/>
              <w:right w:w="67" w:type="dxa"/>
            </w:tcMar>
            <w:vAlign w:val="center"/>
          </w:tcPr>
          <w:p w14:paraId="7B7E26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0.9580</w:t>
            </w:r>
          </w:p>
        </w:tc>
        <w:tc>
          <w:tcPr>
            <w:tcW w:w="1134" w:type="dxa"/>
            <w:tcBorders>
              <w:top w:val="nil"/>
              <w:left w:val="nil"/>
              <w:bottom w:val="nil"/>
              <w:right w:val="nil"/>
            </w:tcBorders>
            <w:shd w:val="clear" w:color="auto" w:fill="FFFFFF"/>
            <w:tcMar>
              <w:left w:w="67" w:type="dxa"/>
              <w:right w:w="67" w:type="dxa"/>
            </w:tcMar>
            <w:vAlign w:val="center"/>
          </w:tcPr>
          <w:p w14:paraId="318511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1.0512</w:t>
            </w:r>
          </w:p>
        </w:tc>
        <w:tc>
          <w:tcPr>
            <w:tcW w:w="1134" w:type="dxa"/>
            <w:tcBorders>
              <w:top w:val="nil"/>
              <w:left w:val="nil"/>
              <w:bottom w:val="nil"/>
              <w:right w:val="nil"/>
            </w:tcBorders>
            <w:shd w:val="clear" w:color="auto" w:fill="FFFFFF"/>
            <w:tcMar>
              <w:left w:w="67" w:type="dxa"/>
              <w:right w:w="67" w:type="dxa"/>
            </w:tcMar>
            <w:vAlign w:val="center"/>
          </w:tcPr>
          <w:p w14:paraId="58EE5F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4BC238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EDA7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0.8657</w:t>
            </w:r>
          </w:p>
        </w:tc>
      </w:tr>
      <w:tr w:rsidR="00B77EA3" w:rsidRPr="0082484A" w14:paraId="0B4FE29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4CC6E9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51BBB54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2558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w:t>
            </w:r>
          </w:p>
        </w:tc>
        <w:tc>
          <w:tcPr>
            <w:tcW w:w="1134" w:type="dxa"/>
            <w:tcBorders>
              <w:top w:val="nil"/>
              <w:left w:val="nil"/>
              <w:bottom w:val="nil"/>
              <w:right w:val="nil"/>
            </w:tcBorders>
            <w:shd w:val="clear" w:color="auto" w:fill="FFFFFF"/>
            <w:tcMar>
              <w:left w:w="67" w:type="dxa"/>
              <w:right w:w="67" w:type="dxa"/>
            </w:tcMar>
            <w:vAlign w:val="center"/>
          </w:tcPr>
          <w:p w14:paraId="18ADEC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0.0127</w:t>
            </w:r>
          </w:p>
        </w:tc>
        <w:tc>
          <w:tcPr>
            <w:tcW w:w="1134" w:type="dxa"/>
            <w:tcBorders>
              <w:top w:val="nil"/>
              <w:left w:val="nil"/>
              <w:bottom w:val="nil"/>
              <w:right w:val="nil"/>
            </w:tcBorders>
            <w:shd w:val="clear" w:color="auto" w:fill="FFFFFF"/>
            <w:tcMar>
              <w:left w:w="67" w:type="dxa"/>
              <w:right w:w="67" w:type="dxa"/>
            </w:tcMar>
            <w:vAlign w:val="center"/>
          </w:tcPr>
          <w:p w14:paraId="635A28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0.9977</w:t>
            </w:r>
          </w:p>
        </w:tc>
        <w:tc>
          <w:tcPr>
            <w:tcW w:w="1134" w:type="dxa"/>
            <w:tcBorders>
              <w:top w:val="nil"/>
              <w:left w:val="nil"/>
              <w:bottom w:val="nil"/>
              <w:right w:val="nil"/>
            </w:tcBorders>
            <w:shd w:val="clear" w:color="auto" w:fill="FFFFFF"/>
            <w:tcMar>
              <w:left w:w="67" w:type="dxa"/>
              <w:right w:w="67" w:type="dxa"/>
            </w:tcMar>
            <w:vAlign w:val="center"/>
          </w:tcPr>
          <w:p w14:paraId="14D4B4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0.9697</w:t>
            </w:r>
          </w:p>
        </w:tc>
        <w:tc>
          <w:tcPr>
            <w:tcW w:w="1134" w:type="dxa"/>
            <w:tcBorders>
              <w:top w:val="nil"/>
              <w:left w:val="nil"/>
              <w:bottom w:val="nil"/>
              <w:right w:val="nil"/>
            </w:tcBorders>
            <w:shd w:val="clear" w:color="auto" w:fill="FFFFFF"/>
            <w:tcMar>
              <w:left w:w="67" w:type="dxa"/>
              <w:right w:w="67" w:type="dxa"/>
            </w:tcMar>
            <w:vAlign w:val="center"/>
          </w:tcPr>
          <w:p w14:paraId="3F2325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1.0266</w:t>
            </w:r>
          </w:p>
        </w:tc>
        <w:tc>
          <w:tcPr>
            <w:tcW w:w="1134" w:type="dxa"/>
            <w:tcBorders>
              <w:top w:val="nil"/>
              <w:left w:val="nil"/>
              <w:bottom w:val="nil"/>
              <w:right w:val="nil"/>
            </w:tcBorders>
            <w:shd w:val="clear" w:color="auto" w:fill="FFFFFF"/>
            <w:tcMar>
              <w:left w:w="67" w:type="dxa"/>
              <w:right w:w="67" w:type="dxa"/>
            </w:tcMar>
            <w:vAlign w:val="center"/>
          </w:tcPr>
          <w:p w14:paraId="425676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0A1E6A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EE2D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0.8586</w:t>
            </w:r>
          </w:p>
        </w:tc>
      </w:tr>
      <w:tr w:rsidR="00B77EA3" w:rsidRPr="0082484A" w14:paraId="3F0FC37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2B49A78"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3596986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D6090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0.0145</w:t>
            </w:r>
          </w:p>
        </w:tc>
        <w:tc>
          <w:tcPr>
            <w:tcW w:w="1134" w:type="dxa"/>
            <w:tcBorders>
              <w:top w:val="nil"/>
              <w:left w:val="nil"/>
              <w:bottom w:val="nil"/>
              <w:right w:val="nil"/>
            </w:tcBorders>
            <w:shd w:val="clear" w:color="auto" w:fill="FFFFFF"/>
            <w:tcMar>
              <w:left w:w="67" w:type="dxa"/>
              <w:right w:w="67" w:type="dxa"/>
            </w:tcMar>
            <w:vAlign w:val="center"/>
          </w:tcPr>
          <w:p w14:paraId="2C8952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w:t>
            </w:r>
          </w:p>
        </w:tc>
        <w:tc>
          <w:tcPr>
            <w:tcW w:w="1134" w:type="dxa"/>
            <w:tcBorders>
              <w:top w:val="nil"/>
              <w:left w:val="nil"/>
              <w:bottom w:val="nil"/>
              <w:right w:val="nil"/>
            </w:tcBorders>
            <w:shd w:val="clear" w:color="auto" w:fill="FFFFFF"/>
            <w:tcMar>
              <w:left w:w="67" w:type="dxa"/>
              <w:right w:w="67" w:type="dxa"/>
            </w:tcMar>
            <w:vAlign w:val="center"/>
          </w:tcPr>
          <w:p w14:paraId="2B3619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1.0146</w:t>
            </w:r>
          </w:p>
        </w:tc>
        <w:tc>
          <w:tcPr>
            <w:tcW w:w="1134" w:type="dxa"/>
            <w:tcBorders>
              <w:top w:val="nil"/>
              <w:left w:val="nil"/>
              <w:bottom w:val="nil"/>
              <w:right w:val="nil"/>
            </w:tcBorders>
            <w:shd w:val="clear" w:color="auto" w:fill="FFFFFF"/>
            <w:tcMar>
              <w:left w:w="67" w:type="dxa"/>
              <w:right w:w="67" w:type="dxa"/>
            </w:tcMar>
            <w:vAlign w:val="center"/>
          </w:tcPr>
          <w:p w14:paraId="557D55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1.0072</w:t>
            </w:r>
          </w:p>
        </w:tc>
        <w:tc>
          <w:tcPr>
            <w:tcW w:w="1134" w:type="dxa"/>
            <w:tcBorders>
              <w:top w:val="nil"/>
              <w:left w:val="nil"/>
              <w:bottom w:val="nil"/>
              <w:right w:val="nil"/>
            </w:tcBorders>
            <w:shd w:val="clear" w:color="auto" w:fill="FFFFFF"/>
            <w:tcMar>
              <w:left w:w="67" w:type="dxa"/>
              <w:right w:w="67" w:type="dxa"/>
            </w:tcMar>
            <w:vAlign w:val="center"/>
          </w:tcPr>
          <w:p w14:paraId="444463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1.0220</w:t>
            </w:r>
          </w:p>
        </w:tc>
        <w:tc>
          <w:tcPr>
            <w:tcW w:w="1134" w:type="dxa"/>
            <w:tcBorders>
              <w:top w:val="nil"/>
              <w:left w:val="nil"/>
              <w:bottom w:val="nil"/>
              <w:right w:val="nil"/>
            </w:tcBorders>
            <w:shd w:val="clear" w:color="auto" w:fill="FFFFFF"/>
            <w:tcMar>
              <w:left w:w="67" w:type="dxa"/>
              <w:right w:w="67" w:type="dxa"/>
            </w:tcMar>
            <w:vAlign w:val="center"/>
          </w:tcPr>
          <w:p w14:paraId="0EA6A1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19.96</w:t>
            </w:r>
          </w:p>
        </w:tc>
        <w:tc>
          <w:tcPr>
            <w:tcW w:w="567" w:type="dxa"/>
            <w:tcBorders>
              <w:top w:val="nil"/>
              <w:left w:val="nil"/>
              <w:bottom w:val="nil"/>
              <w:right w:val="nil"/>
            </w:tcBorders>
            <w:shd w:val="clear" w:color="auto" w:fill="FFFFFF"/>
            <w:tcMar>
              <w:left w:w="67" w:type="dxa"/>
              <w:right w:w="67" w:type="dxa"/>
            </w:tcMar>
            <w:vAlign w:val="center"/>
          </w:tcPr>
          <w:p w14:paraId="29866E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3D63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7F99C61B"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ACAC96E"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309E5DF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686F6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2B390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0.1014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B152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6A840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0.8117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FC18A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1.2791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EFBDC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F4BAB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050DDB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0.8530</w:t>
            </w:r>
          </w:p>
        </w:tc>
      </w:tr>
    </w:tbl>
    <w:p w14:paraId="4951FD15"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an eye screening in the previous 12 months is 82</w:t>
      </w:r>
    </w:p>
    <w:p w14:paraId="6966F175" w14:textId="77777777" w:rsidR="00B77EA3" w:rsidRPr="0082484A" w:rsidRDefault="00B77EA3" w:rsidP="00B77EA3">
      <w:pPr>
        <w:spacing w:before="0" w:after="160" w:line="259" w:lineRule="auto"/>
        <w:rPr>
          <w:sz w:val="22"/>
          <w:szCs w:val="22"/>
        </w:rPr>
      </w:pPr>
      <w:r w:rsidRPr="0082484A">
        <w:rPr>
          <w:sz w:val="22"/>
          <w:szCs w:val="22"/>
        </w:rPr>
        <w:br w:type="page"/>
      </w:r>
    </w:p>
    <w:p w14:paraId="2D4A05BF" w14:textId="3393F006" w:rsidR="00B77EA3" w:rsidRPr="0082484A" w:rsidRDefault="00B77EA3" w:rsidP="00B77EA3">
      <w:pPr>
        <w:spacing w:before="0" w:line="240" w:lineRule="auto"/>
        <w:rPr>
          <w:bCs/>
          <w:sz w:val="22"/>
          <w:szCs w:val="22"/>
        </w:rPr>
      </w:pPr>
      <w:bookmarkStart w:id="88" w:name="_Ref502917788"/>
      <w:bookmarkStart w:id="89" w:name="_Toc8728097"/>
      <w:bookmarkStart w:id="90" w:name="_Toc19526752"/>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23</w:t>
      </w:r>
      <w:r w:rsidRPr="0082484A">
        <w:rPr>
          <w:bCs/>
          <w:noProof/>
          <w:sz w:val="22"/>
          <w:szCs w:val="22"/>
        </w:rPr>
        <w:fldChar w:fldCharType="end"/>
      </w:r>
      <w:bookmarkEnd w:id="88"/>
      <w:r w:rsidRPr="0082484A">
        <w:rPr>
          <w:bCs/>
          <w:sz w:val="22"/>
          <w:szCs w:val="22"/>
        </w:rPr>
        <w:t>: Secondary outcome for Trial 1: The proportion of patients with Type 2 diabetes having their Body Mass Index (BMI) recorded in the previous 12 months (WP4A)</w:t>
      </w:r>
      <w:r w:rsidRPr="0082484A">
        <w:rPr>
          <w:bCs/>
          <w:sz w:val="22"/>
          <w:szCs w:val="22"/>
          <w:vertAlign w:val="superscript"/>
        </w:rPr>
        <w:t xml:space="preserve"> a</w:t>
      </w:r>
      <w:bookmarkEnd w:id="89"/>
      <w:bookmarkEnd w:id="90"/>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23576FEB"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BCB4DFA" w14:textId="77777777" w:rsidR="00B77EA3" w:rsidRPr="0082484A" w:rsidRDefault="00B77EA3" w:rsidP="00B77EA3">
            <w:pPr>
              <w:spacing w:beforeLines="10" w:before="24" w:afterLines="10" w:after="24" w:line="240" w:lineRule="auto"/>
              <w:rPr>
                <w:bCs/>
                <w:sz w:val="22"/>
                <w:szCs w:val="22"/>
              </w:rPr>
            </w:pPr>
            <w:bookmarkStart w:id="91" w:name="IDX185"/>
            <w:bookmarkEnd w:id="91"/>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17B1E47"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B4554F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D8A8D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BD34E8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477561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12ECF8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BDB5A3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2094F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200CA2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5903F47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C6D3DB2"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5E4BFC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239D7D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0.2395</w:t>
            </w:r>
          </w:p>
        </w:tc>
        <w:tc>
          <w:tcPr>
            <w:tcW w:w="1134" w:type="dxa"/>
            <w:tcBorders>
              <w:top w:val="nil"/>
              <w:left w:val="nil"/>
              <w:bottom w:val="nil"/>
              <w:right w:val="nil"/>
            </w:tcBorders>
            <w:shd w:val="clear" w:color="auto" w:fill="FFFFFF"/>
            <w:tcMar>
              <w:left w:w="67" w:type="dxa"/>
              <w:right w:w="67" w:type="dxa"/>
            </w:tcMar>
            <w:vAlign w:val="center"/>
          </w:tcPr>
          <w:p w14:paraId="6BE358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0.1893</w:t>
            </w:r>
          </w:p>
        </w:tc>
        <w:tc>
          <w:tcPr>
            <w:tcW w:w="1134" w:type="dxa"/>
            <w:tcBorders>
              <w:top w:val="nil"/>
              <w:left w:val="nil"/>
              <w:bottom w:val="nil"/>
              <w:right w:val="nil"/>
            </w:tcBorders>
            <w:shd w:val="clear" w:color="auto" w:fill="FFFFFF"/>
            <w:tcMar>
              <w:left w:w="67" w:type="dxa"/>
              <w:right w:w="67" w:type="dxa"/>
            </w:tcMar>
            <w:vAlign w:val="center"/>
          </w:tcPr>
          <w:p w14:paraId="0BC46D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1.2707</w:t>
            </w:r>
          </w:p>
        </w:tc>
        <w:tc>
          <w:tcPr>
            <w:tcW w:w="1134" w:type="dxa"/>
            <w:tcBorders>
              <w:top w:val="nil"/>
              <w:left w:val="nil"/>
              <w:bottom w:val="nil"/>
              <w:right w:val="nil"/>
            </w:tcBorders>
            <w:shd w:val="clear" w:color="auto" w:fill="FFFFFF"/>
            <w:tcMar>
              <w:left w:w="67" w:type="dxa"/>
              <w:right w:w="67" w:type="dxa"/>
            </w:tcMar>
            <w:vAlign w:val="center"/>
          </w:tcPr>
          <w:p w14:paraId="099B0D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0.8312</w:t>
            </w:r>
          </w:p>
        </w:tc>
        <w:tc>
          <w:tcPr>
            <w:tcW w:w="1134" w:type="dxa"/>
            <w:tcBorders>
              <w:top w:val="nil"/>
              <w:left w:val="nil"/>
              <w:bottom w:val="nil"/>
              <w:right w:val="nil"/>
            </w:tcBorders>
            <w:shd w:val="clear" w:color="auto" w:fill="FFFFFF"/>
            <w:tcMar>
              <w:left w:w="67" w:type="dxa"/>
              <w:right w:w="67" w:type="dxa"/>
            </w:tcMar>
            <w:vAlign w:val="center"/>
          </w:tcPr>
          <w:p w14:paraId="1C54C2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1.9424</w:t>
            </w:r>
          </w:p>
        </w:tc>
        <w:tc>
          <w:tcPr>
            <w:tcW w:w="1134" w:type="dxa"/>
            <w:tcBorders>
              <w:top w:val="nil"/>
              <w:left w:val="nil"/>
              <w:bottom w:val="nil"/>
              <w:right w:val="nil"/>
            </w:tcBorders>
            <w:shd w:val="clear" w:color="auto" w:fill="FFFFFF"/>
            <w:tcMar>
              <w:left w:w="67" w:type="dxa"/>
              <w:right w:w="67" w:type="dxa"/>
            </w:tcMar>
            <w:vAlign w:val="center"/>
          </w:tcPr>
          <w:p w14:paraId="7AA347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1.60</w:t>
            </w:r>
          </w:p>
        </w:tc>
        <w:tc>
          <w:tcPr>
            <w:tcW w:w="567" w:type="dxa"/>
            <w:tcBorders>
              <w:top w:val="nil"/>
              <w:left w:val="nil"/>
              <w:bottom w:val="nil"/>
              <w:right w:val="nil"/>
            </w:tcBorders>
            <w:shd w:val="clear" w:color="auto" w:fill="FFFFFF"/>
            <w:tcMar>
              <w:left w:w="67" w:type="dxa"/>
              <w:right w:w="67" w:type="dxa"/>
            </w:tcMar>
            <w:vAlign w:val="center"/>
          </w:tcPr>
          <w:p w14:paraId="64F146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72A9E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0.2058</w:t>
            </w:r>
          </w:p>
        </w:tc>
      </w:tr>
      <w:tr w:rsidR="00B77EA3" w:rsidRPr="0082484A" w14:paraId="00052CE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7C6C005"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EC12F2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43B7D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-0.0180</w:t>
            </w:r>
          </w:p>
        </w:tc>
        <w:tc>
          <w:tcPr>
            <w:tcW w:w="1134" w:type="dxa"/>
            <w:tcBorders>
              <w:top w:val="nil"/>
              <w:left w:val="nil"/>
              <w:bottom w:val="nil"/>
              <w:right w:val="nil"/>
            </w:tcBorders>
            <w:shd w:val="clear" w:color="auto" w:fill="FFFFFF"/>
            <w:tcMar>
              <w:left w:w="67" w:type="dxa"/>
              <w:right w:w="67" w:type="dxa"/>
            </w:tcMar>
            <w:vAlign w:val="center"/>
          </w:tcPr>
          <w:p w14:paraId="793871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0.0326</w:t>
            </w:r>
          </w:p>
        </w:tc>
        <w:tc>
          <w:tcPr>
            <w:tcW w:w="1134" w:type="dxa"/>
            <w:tcBorders>
              <w:top w:val="nil"/>
              <w:left w:val="nil"/>
              <w:bottom w:val="nil"/>
              <w:right w:val="nil"/>
            </w:tcBorders>
            <w:shd w:val="clear" w:color="auto" w:fill="FFFFFF"/>
            <w:tcMar>
              <w:left w:w="67" w:type="dxa"/>
              <w:right w:w="67" w:type="dxa"/>
            </w:tcMar>
            <w:vAlign w:val="center"/>
          </w:tcPr>
          <w:p w14:paraId="057478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0.9822</w:t>
            </w:r>
          </w:p>
        </w:tc>
        <w:tc>
          <w:tcPr>
            <w:tcW w:w="1134" w:type="dxa"/>
            <w:tcBorders>
              <w:top w:val="nil"/>
              <w:left w:val="nil"/>
              <w:bottom w:val="nil"/>
              <w:right w:val="nil"/>
            </w:tcBorders>
            <w:shd w:val="clear" w:color="auto" w:fill="FFFFFF"/>
            <w:tcMar>
              <w:left w:w="67" w:type="dxa"/>
              <w:right w:w="67" w:type="dxa"/>
            </w:tcMar>
            <w:vAlign w:val="center"/>
          </w:tcPr>
          <w:p w14:paraId="604A80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0.9130</w:t>
            </w:r>
          </w:p>
        </w:tc>
        <w:tc>
          <w:tcPr>
            <w:tcW w:w="1134" w:type="dxa"/>
            <w:tcBorders>
              <w:top w:val="nil"/>
              <w:left w:val="nil"/>
              <w:bottom w:val="nil"/>
              <w:right w:val="nil"/>
            </w:tcBorders>
            <w:shd w:val="clear" w:color="auto" w:fill="FFFFFF"/>
            <w:tcMar>
              <w:left w:w="67" w:type="dxa"/>
              <w:right w:w="67" w:type="dxa"/>
            </w:tcMar>
            <w:vAlign w:val="center"/>
          </w:tcPr>
          <w:p w14:paraId="253735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1.0566</w:t>
            </w:r>
          </w:p>
        </w:tc>
        <w:tc>
          <w:tcPr>
            <w:tcW w:w="1134" w:type="dxa"/>
            <w:tcBorders>
              <w:top w:val="nil"/>
              <w:left w:val="nil"/>
              <w:bottom w:val="nil"/>
              <w:right w:val="nil"/>
            </w:tcBorders>
            <w:shd w:val="clear" w:color="auto" w:fill="FFFFFF"/>
            <w:tcMar>
              <w:left w:w="67" w:type="dxa"/>
              <w:right w:w="67" w:type="dxa"/>
            </w:tcMar>
            <w:vAlign w:val="center"/>
          </w:tcPr>
          <w:p w14:paraId="520D5D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w:t>
            </w:r>
          </w:p>
        </w:tc>
        <w:tc>
          <w:tcPr>
            <w:tcW w:w="567" w:type="dxa"/>
            <w:tcBorders>
              <w:top w:val="nil"/>
              <w:left w:val="nil"/>
              <w:bottom w:val="nil"/>
              <w:right w:val="nil"/>
            </w:tcBorders>
            <w:shd w:val="clear" w:color="auto" w:fill="FFFFFF"/>
            <w:tcMar>
              <w:left w:w="67" w:type="dxa"/>
              <w:right w:w="67" w:type="dxa"/>
            </w:tcMar>
            <w:vAlign w:val="center"/>
          </w:tcPr>
          <w:p w14:paraId="65BE44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475E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0.5814</w:t>
            </w:r>
          </w:p>
        </w:tc>
      </w:tr>
      <w:tr w:rsidR="00B77EA3" w:rsidRPr="0082484A" w14:paraId="0847444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97CC5E"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17880C1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943A8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139CF1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06E8F5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1.0006</w:t>
            </w:r>
          </w:p>
        </w:tc>
        <w:tc>
          <w:tcPr>
            <w:tcW w:w="1134" w:type="dxa"/>
            <w:tcBorders>
              <w:top w:val="nil"/>
              <w:left w:val="nil"/>
              <w:bottom w:val="nil"/>
              <w:right w:val="nil"/>
            </w:tcBorders>
            <w:shd w:val="clear" w:color="auto" w:fill="FFFFFF"/>
            <w:tcMar>
              <w:left w:w="67" w:type="dxa"/>
              <w:right w:w="67" w:type="dxa"/>
            </w:tcMar>
            <w:vAlign w:val="center"/>
          </w:tcPr>
          <w:p w14:paraId="321FB0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0.9979</w:t>
            </w:r>
          </w:p>
        </w:tc>
        <w:tc>
          <w:tcPr>
            <w:tcW w:w="1134" w:type="dxa"/>
            <w:tcBorders>
              <w:top w:val="nil"/>
              <w:left w:val="nil"/>
              <w:bottom w:val="nil"/>
              <w:right w:val="nil"/>
            </w:tcBorders>
            <w:shd w:val="clear" w:color="auto" w:fill="FFFFFF"/>
            <w:tcMar>
              <w:left w:w="67" w:type="dxa"/>
              <w:right w:w="67" w:type="dxa"/>
            </w:tcMar>
            <w:vAlign w:val="center"/>
          </w:tcPr>
          <w:p w14:paraId="04B4C0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1.0033</w:t>
            </w:r>
          </w:p>
        </w:tc>
        <w:tc>
          <w:tcPr>
            <w:tcW w:w="1134" w:type="dxa"/>
            <w:tcBorders>
              <w:top w:val="nil"/>
              <w:left w:val="nil"/>
              <w:bottom w:val="nil"/>
              <w:right w:val="nil"/>
            </w:tcBorders>
            <w:shd w:val="clear" w:color="auto" w:fill="FFFFFF"/>
            <w:tcMar>
              <w:left w:w="67" w:type="dxa"/>
              <w:right w:w="67" w:type="dxa"/>
            </w:tcMar>
            <w:vAlign w:val="center"/>
          </w:tcPr>
          <w:p w14:paraId="2545DD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w:t>
            </w:r>
          </w:p>
        </w:tc>
        <w:tc>
          <w:tcPr>
            <w:tcW w:w="567" w:type="dxa"/>
            <w:tcBorders>
              <w:top w:val="nil"/>
              <w:left w:val="nil"/>
              <w:bottom w:val="nil"/>
              <w:right w:val="nil"/>
            </w:tcBorders>
            <w:shd w:val="clear" w:color="auto" w:fill="FFFFFF"/>
            <w:tcMar>
              <w:left w:w="67" w:type="dxa"/>
              <w:right w:w="67" w:type="dxa"/>
            </w:tcMar>
            <w:vAlign w:val="center"/>
          </w:tcPr>
          <w:p w14:paraId="045AC5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95DA3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0.6194</w:t>
            </w:r>
          </w:p>
        </w:tc>
      </w:tr>
      <w:tr w:rsidR="00B77EA3" w:rsidRPr="0082484A" w14:paraId="662BB4B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1137990"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532B695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37636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w:t>
            </w:r>
          </w:p>
        </w:tc>
        <w:tc>
          <w:tcPr>
            <w:tcW w:w="1134" w:type="dxa"/>
            <w:tcBorders>
              <w:top w:val="nil"/>
              <w:left w:val="nil"/>
              <w:bottom w:val="nil"/>
              <w:right w:val="nil"/>
            </w:tcBorders>
            <w:shd w:val="clear" w:color="auto" w:fill="FFFFFF"/>
            <w:tcMar>
              <w:left w:w="67" w:type="dxa"/>
              <w:right w:w="67" w:type="dxa"/>
            </w:tcMar>
            <w:vAlign w:val="center"/>
          </w:tcPr>
          <w:p w14:paraId="290686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7A5FA4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1.0023</w:t>
            </w:r>
          </w:p>
        </w:tc>
        <w:tc>
          <w:tcPr>
            <w:tcW w:w="1134" w:type="dxa"/>
            <w:tcBorders>
              <w:top w:val="nil"/>
              <w:left w:val="nil"/>
              <w:bottom w:val="nil"/>
              <w:right w:val="nil"/>
            </w:tcBorders>
            <w:shd w:val="clear" w:color="auto" w:fill="FFFFFF"/>
            <w:tcMar>
              <w:left w:w="67" w:type="dxa"/>
              <w:right w:w="67" w:type="dxa"/>
            </w:tcMar>
            <w:vAlign w:val="center"/>
          </w:tcPr>
          <w:p w14:paraId="422AC6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0.9958</w:t>
            </w:r>
          </w:p>
        </w:tc>
        <w:tc>
          <w:tcPr>
            <w:tcW w:w="1134" w:type="dxa"/>
            <w:tcBorders>
              <w:top w:val="nil"/>
              <w:left w:val="nil"/>
              <w:bottom w:val="nil"/>
              <w:right w:val="nil"/>
            </w:tcBorders>
            <w:shd w:val="clear" w:color="auto" w:fill="FFFFFF"/>
            <w:tcMar>
              <w:left w:w="67" w:type="dxa"/>
              <w:right w:w="67" w:type="dxa"/>
            </w:tcMar>
            <w:vAlign w:val="center"/>
          </w:tcPr>
          <w:p w14:paraId="7E0115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1.0088</w:t>
            </w:r>
          </w:p>
        </w:tc>
        <w:tc>
          <w:tcPr>
            <w:tcW w:w="1134" w:type="dxa"/>
            <w:tcBorders>
              <w:top w:val="nil"/>
              <w:left w:val="nil"/>
              <w:bottom w:val="nil"/>
              <w:right w:val="nil"/>
            </w:tcBorders>
            <w:shd w:val="clear" w:color="auto" w:fill="FFFFFF"/>
            <w:tcMar>
              <w:left w:w="67" w:type="dxa"/>
              <w:right w:w="67" w:type="dxa"/>
            </w:tcMar>
            <w:vAlign w:val="center"/>
          </w:tcPr>
          <w:p w14:paraId="0AA273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w:t>
            </w:r>
          </w:p>
        </w:tc>
        <w:tc>
          <w:tcPr>
            <w:tcW w:w="567" w:type="dxa"/>
            <w:tcBorders>
              <w:top w:val="nil"/>
              <w:left w:val="nil"/>
              <w:bottom w:val="nil"/>
              <w:right w:val="nil"/>
            </w:tcBorders>
            <w:shd w:val="clear" w:color="auto" w:fill="FFFFFF"/>
            <w:tcMar>
              <w:left w:w="67" w:type="dxa"/>
              <w:right w:w="67" w:type="dxa"/>
            </w:tcMar>
            <w:vAlign w:val="center"/>
          </w:tcPr>
          <w:p w14:paraId="153A3D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48E9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0.4353</w:t>
            </w:r>
          </w:p>
        </w:tc>
      </w:tr>
      <w:tr w:rsidR="00B77EA3" w:rsidRPr="0082484A" w14:paraId="0C3E908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5BFFCA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14BC93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7402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0.0192</w:t>
            </w:r>
          </w:p>
        </w:tc>
        <w:tc>
          <w:tcPr>
            <w:tcW w:w="1134" w:type="dxa"/>
            <w:tcBorders>
              <w:top w:val="nil"/>
              <w:left w:val="nil"/>
              <w:bottom w:val="nil"/>
              <w:right w:val="nil"/>
            </w:tcBorders>
            <w:shd w:val="clear" w:color="auto" w:fill="FFFFFF"/>
            <w:tcMar>
              <w:left w:w="67" w:type="dxa"/>
              <w:right w:w="67" w:type="dxa"/>
            </w:tcMar>
            <w:vAlign w:val="center"/>
          </w:tcPr>
          <w:p w14:paraId="449869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0.5391</w:t>
            </w:r>
          </w:p>
        </w:tc>
        <w:tc>
          <w:tcPr>
            <w:tcW w:w="1134" w:type="dxa"/>
            <w:tcBorders>
              <w:top w:val="nil"/>
              <w:left w:val="nil"/>
              <w:bottom w:val="nil"/>
              <w:right w:val="nil"/>
            </w:tcBorders>
            <w:shd w:val="clear" w:color="auto" w:fill="FFFFFF"/>
            <w:tcMar>
              <w:left w:w="67" w:type="dxa"/>
              <w:right w:w="67" w:type="dxa"/>
            </w:tcMar>
            <w:vAlign w:val="center"/>
          </w:tcPr>
          <w:p w14:paraId="260840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1.0194</w:t>
            </w:r>
          </w:p>
        </w:tc>
        <w:tc>
          <w:tcPr>
            <w:tcW w:w="1134" w:type="dxa"/>
            <w:tcBorders>
              <w:top w:val="nil"/>
              <w:left w:val="nil"/>
              <w:bottom w:val="nil"/>
              <w:right w:val="nil"/>
            </w:tcBorders>
            <w:shd w:val="clear" w:color="auto" w:fill="FFFFFF"/>
            <w:tcMar>
              <w:left w:w="67" w:type="dxa"/>
              <w:right w:w="67" w:type="dxa"/>
            </w:tcMar>
            <w:vAlign w:val="center"/>
          </w:tcPr>
          <w:p w14:paraId="259DC9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0.3044</w:t>
            </w:r>
          </w:p>
        </w:tc>
        <w:tc>
          <w:tcPr>
            <w:tcW w:w="1134" w:type="dxa"/>
            <w:tcBorders>
              <w:top w:val="nil"/>
              <w:left w:val="nil"/>
              <w:bottom w:val="nil"/>
              <w:right w:val="nil"/>
            </w:tcBorders>
            <w:shd w:val="clear" w:color="auto" w:fill="FFFFFF"/>
            <w:tcMar>
              <w:left w:w="67" w:type="dxa"/>
              <w:right w:w="67" w:type="dxa"/>
            </w:tcMar>
            <w:vAlign w:val="center"/>
          </w:tcPr>
          <w:p w14:paraId="314938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3.4134</w:t>
            </w:r>
          </w:p>
        </w:tc>
        <w:tc>
          <w:tcPr>
            <w:tcW w:w="1134" w:type="dxa"/>
            <w:tcBorders>
              <w:top w:val="nil"/>
              <w:left w:val="nil"/>
              <w:bottom w:val="nil"/>
              <w:right w:val="nil"/>
            </w:tcBorders>
            <w:shd w:val="clear" w:color="auto" w:fill="FFFFFF"/>
            <w:tcMar>
              <w:left w:w="67" w:type="dxa"/>
              <w:right w:w="67" w:type="dxa"/>
            </w:tcMar>
            <w:vAlign w:val="center"/>
          </w:tcPr>
          <w:p w14:paraId="60F650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4.38</w:t>
            </w:r>
          </w:p>
        </w:tc>
        <w:tc>
          <w:tcPr>
            <w:tcW w:w="567" w:type="dxa"/>
            <w:tcBorders>
              <w:top w:val="nil"/>
              <w:left w:val="nil"/>
              <w:bottom w:val="nil"/>
              <w:right w:val="nil"/>
            </w:tcBorders>
            <w:shd w:val="clear" w:color="auto" w:fill="FFFFFF"/>
            <w:tcMar>
              <w:left w:w="67" w:type="dxa"/>
              <w:right w:w="67" w:type="dxa"/>
            </w:tcMar>
            <w:vAlign w:val="center"/>
          </w:tcPr>
          <w:p w14:paraId="648601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3EF3E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C6C969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73BF39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1FDED6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58996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1.4410</w:t>
            </w:r>
          </w:p>
        </w:tc>
        <w:tc>
          <w:tcPr>
            <w:tcW w:w="1134" w:type="dxa"/>
            <w:tcBorders>
              <w:top w:val="nil"/>
              <w:left w:val="nil"/>
              <w:bottom w:val="nil"/>
              <w:right w:val="nil"/>
            </w:tcBorders>
            <w:shd w:val="clear" w:color="auto" w:fill="FFFFFF"/>
            <w:tcMar>
              <w:left w:w="67" w:type="dxa"/>
              <w:right w:w="67" w:type="dxa"/>
            </w:tcMar>
            <w:vAlign w:val="center"/>
          </w:tcPr>
          <w:p w14:paraId="3A4D96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0.4717</w:t>
            </w:r>
          </w:p>
        </w:tc>
        <w:tc>
          <w:tcPr>
            <w:tcW w:w="1134" w:type="dxa"/>
            <w:tcBorders>
              <w:top w:val="nil"/>
              <w:left w:val="nil"/>
              <w:bottom w:val="nil"/>
              <w:right w:val="nil"/>
            </w:tcBorders>
            <w:shd w:val="clear" w:color="auto" w:fill="FFFFFF"/>
            <w:tcMar>
              <w:left w:w="67" w:type="dxa"/>
              <w:right w:w="67" w:type="dxa"/>
            </w:tcMar>
            <w:vAlign w:val="center"/>
          </w:tcPr>
          <w:p w14:paraId="4D8B3F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4.2249</w:t>
            </w:r>
          </w:p>
        </w:tc>
        <w:tc>
          <w:tcPr>
            <w:tcW w:w="1134" w:type="dxa"/>
            <w:tcBorders>
              <w:top w:val="nil"/>
              <w:left w:val="nil"/>
              <w:bottom w:val="nil"/>
              <w:right w:val="nil"/>
            </w:tcBorders>
            <w:shd w:val="clear" w:color="auto" w:fill="FFFFFF"/>
            <w:tcMar>
              <w:left w:w="67" w:type="dxa"/>
              <w:right w:w="67" w:type="dxa"/>
            </w:tcMar>
            <w:vAlign w:val="center"/>
          </w:tcPr>
          <w:p w14:paraId="720512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1.4677</w:t>
            </w:r>
          </w:p>
        </w:tc>
        <w:tc>
          <w:tcPr>
            <w:tcW w:w="1134" w:type="dxa"/>
            <w:tcBorders>
              <w:top w:val="nil"/>
              <w:left w:val="nil"/>
              <w:bottom w:val="nil"/>
              <w:right w:val="nil"/>
            </w:tcBorders>
            <w:shd w:val="clear" w:color="auto" w:fill="FFFFFF"/>
            <w:tcMar>
              <w:left w:w="67" w:type="dxa"/>
              <w:right w:w="67" w:type="dxa"/>
            </w:tcMar>
            <w:vAlign w:val="center"/>
          </w:tcPr>
          <w:p w14:paraId="47B1D2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12.1620</w:t>
            </w:r>
          </w:p>
        </w:tc>
        <w:tc>
          <w:tcPr>
            <w:tcW w:w="1134" w:type="dxa"/>
            <w:tcBorders>
              <w:top w:val="nil"/>
              <w:left w:val="nil"/>
              <w:bottom w:val="nil"/>
              <w:right w:val="nil"/>
            </w:tcBorders>
            <w:shd w:val="clear" w:color="auto" w:fill="FFFFFF"/>
            <w:tcMar>
              <w:left w:w="67" w:type="dxa"/>
              <w:right w:w="67" w:type="dxa"/>
            </w:tcMar>
            <w:vAlign w:val="center"/>
          </w:tcPr>
          <w:p w14:paraId="0BE34CB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A03A2A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884097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0B9891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CD9EFB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FCDA5D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F6097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0.5858</w:t>
            </w:r>
          </w:p>
        </w:tc>
        <w:tc>
          <w:tcPr>
            <w:tcW w:w="1134" w:type="dxa"/>
            <w:tcBorders>
              <w:top w:val="nil"/>
              <w:left w:val="nil"/>
              <w:bottom w:val="nil"/>
              <w:right w:val="nil"/>
            </w:tcBorders>
            <w:shd w:val="clear" w:color="auto" w:fill="FFFFFF"/>
            <w:tcMar>
              <w:left w:w="67" w:type="dxa"/>
              <w:right w:w="67" w:type="dxa"/>
            </w:tcMar>
            <w:vAlign w:val="center"/>
          </w:tcPr>
          <w:p w14:paraId="37AA8E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0.3426</w:t>
            </w:r>
          </w:p>
        </w:tc>
        <w:tc>
          <w:tcPr>
            <w:tcW w:w="1134" w:type="dxa"/>
            <w:tcBorders>
              <w:top w:val="nil"/>
              <w:left w:val="nil"/>
              <w:bottom w:val="nil"/>
              <w:right w:val="nil"/>
            </w:tcBorders>
            <w:shd w:val="clear" w:color="auto" w:fill="FFFFFF"/>
            <w:tcMar>
              <w:left w:w="67" w:type="dxa"/>
              <w:right w:w="67" w:type="dxa"/>
            </w:tcMar>
            <w:vAlign w:val="center"/>
          </w:tcPr>
          <w:p w14:paraId="253301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1.7964</w:t>
            </w:r>
          </w:p>
        </w:tc>
        <w:tc>
          <w:tcPr>
            <w:tcW w:w="1134" w:type="dxa"/>
            <w:tcBorders>
              <w:top w:val="nil"/>
              <w:left w:val="nil"/>
              <w:bottom w:val="nil"/>
              <w:right w:val="nil"/>
            </w:tcBorders>
            <w:shd w:val="clear" w:color="auto" w:fill="FFFFFF"/>
            <w:tcMar>
              <w:left w:w="67" w:type="dxa"/>
              <w:right w:w="67" w:type="dxa"/>
            </w:tcMar>
            <w:vAlign w:val="center"/>
          </w:tcPr>
          <w:p w14:paraId="30D68D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0.8335</w:t>
            </w:r>
          </w:p>
        </w:tc>
        <w:tc>
          <w:tcPr>
            <w:tcW w:w="1134" w:type="dxa"/>
            <w:tcBorders>
              <w:top w:val="nil"/>
              <w:left w:val="nil"/>
              <w:bottom w:val="nil"/>
              <w:right w:val="nil"/>
            </w:tcBorders>
            <w:shd w:val="clear" w:color="auto" w:fill="FFFFFF"/>
            <w:tcMar>
              <w:left w:w="67" w:type="dxa"/>
              <w:right w:w="67" w:type="dxa"/>
            </w:tcMar>
            <w:vAlign w:val="center"/>
          </w:tcPr>
          <w:p w14:paraId="31ECDF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3.8713</w:t>
            </w:r>
          </w:p>
        </w:tc>
        <w:tc>
          <w:tcPr>
            <w:tcW w:w="1134" w:type="dxa"/>
            <w:tcBorders>
              <w:top w:val="nil"/>
              <w:left w:val="nil"/>
              <w:bottom w:val="nil"/>
              <w:right w:val="nil"/>
            </w:tcBorders>
            <w:shd w:val="clear" w:color="auto" w:fill="FFFFFF"/>
            <w:tcMar>
              <w:left w:w="67" w:type="dxa"/>
              <w:right w:w="67" w:type="dxa"/>
            </w:tcMar>
            <w:vAlign w:val="center"/>
          </w:tcPr>
          <w:p w14:paraId="6737733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4CA4A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549A8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8525ED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8CDBD1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7DB942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DCFD8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0.4408</w:t>
            </w:r>
          </w:p>
        </w:tc>
        <w:tc>
          <w:tcPr>
            <w:tcW w:w="1134" w:type="dxa"/>
            <w:tcBorders>
              <w:top w:val="nil"/>
              <w:left w:val="nil"/>
              <w:bottom w:val="nil"/>
              <w:right w:val="nil"/>
            </w:tcBorders>
            <w:shd w:val="clear" w:color="auto" w:fill="FFFFFF"/>
            <w:tcMar>
              <w:left w:w="67" w:type="dxa"/>
              <w:right w:w="67" w:type="dxa"/>
            </w:tcMar>
            <w:vAlign w:val="center"/>
          </w:tcPr>
          <w:p w14:paraId="09AA52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0.4777</w:t>
            </w:r>
          </w:p>
        </w:tc>
        <w:tc>
          <w:tcPr>
            <w:tcW w:w="1134" w:type="dxa"/>
            <w:tcBorders>
              <w:top w:val="nil"/>
              <w:left w:val="nil"/>
              <w:bottom w:val="nil"/>
              <w:right w:val="nil"/>
            </w:tcBorders>
            <w:shd w:val="clear" w:color="auto" w:fill="FFFFFF"/>
            <w:tcMar>
              <w:left w:w="67" w:type="dxa"/>
              <w:right w:w="67" w:type="dxa"/>
            </w:tcMar>
            <w:vAlign w:val="center"/>
          </w:tcPr>
          <w:p w14:paraId="66345E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1.5540</w:t>
            </w:r>
          </w:p>
        </w:tc>
        <w:tc>
          <w:tcPr>
            <w:tcW w:w="1134" w:type="dxa"/>
            <w:tcBorders>
              <w:top w:val="nil"/>
              <w:left w:val="nil"/>
              <w:bottom w:val="nil"/>
              <w:right w:val="nil"/>
            </w:tcBorders>
            <w:shd w:val="clear" w:color="auto" w:fill="FFFFFF"/>
            <w:tcMar>
              <w:left w:w="67" w:type="dxa"/>
              <w:right w:w="67" w:type="dxa"/>
            </w:tcMar>
            <w:vAlign w:val="center"/>
          </w:tcPr>
          <w:p w14:paraId="022D23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0.5326</w:t>
            </w:r>
          </w:p>
        </w:tc>
        <w:tc>
          <w:tcPr>
            <w:tcW w:w="1134" w:type="dxa"/>
            <w:tcBorders>
              <w:top w:val="nil"/>
              <w:left w:val="nil"/>
              <w:bottom w:val="nil"/>
              <w:right w:val="nil"/>
            </w:tcBorders>
            <w:shd w:val="clear" w:color="auto" w:fill="FFFFFF"/>
            <w:tcMar>
              <w:left w:w="67" w:type="dxa"/>
              <w:right w:w="67" w:type="dxa"/>
            </w:tcMar>
            <w:vAlign w:val="center"/>
          </w:tcPr>
          <w:p w14:paraId="18BE38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4.5338</w:t>
            </w:r>
          </w:p>
        </w:tc>
        <w:tc>
          <w:tcPr>
            <w:tcW w:w="1134" w:type="dxa"/>
            <w:tcBorders>
              <w:top w:val="nil"/>
              <w:left w:val="nil"/>
              <w:bottom w:val="nil"/>
              <w:right w:val="nil"/>
            </w:tcBorders>
            <w:shd w:val="clear" w:color="auto" w:fill="FFFFFF"/>
            <w:tcMar>
              <w:left w:w="67" w:type="dxa"/>
              <w:right w:w="67" w:type="dxa"/>
            </w:tcMar>
            <w:vAlign w:val="center"/>
          </w:tcPr>
          <w:p w14:paraId="5488921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65A101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282CF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765231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B0E41A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CF9060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867E4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-0.7076</w:t>
            </w:r>
          </w:p>
        </w:tc>
        <w:tc>
          <w:tcPr>
            <w:tcW w:w="1134" w:type="dxa"/>
            <w:tcBorders>
              <w:top w:val="nil"/>
              <w:left w:val="nil"/>
              <w:bottom w:val="nil"/>
              <w:right w:val="nil"/>
            </w:tcBorders>
            <w:shd w:val="clear" w:color="auto" w:fill="FFFFFF"/>
            <w:tcMar>
              <w:left w:w="67" w:type="dxa"/>
              <w:right w:w="67" w:type="dxa"/>
            </w:tcMar>
            <w:vAlign w:val="center"/>
          </w:tcPr>
          <w:p w14:paraId="64A952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0.4635</w:t>
            </w:r>
          </w:p>
        </w:tc>
        <w:tc>
          <w:tcPr>
            <w:tcW w:w="1134" w:type="dxa"/>
            <w:tcBorders>
              <w:top w:val="nil"/>
              <w:left w:val="nil"/>
              <w:bottom w:val="nil"/>
              <w:right w:val="nil"/>
            </w:tcBorders>
            <w:shd w:val="clear" w:color="auto" w:fill="FFFFFF"/>
            <w:tcMar>
              <w:left w:w="67" w:type="dxa"/>
              <w:right w:w="67" w:type="dxa"/>
            </w:tcMar>
            <w:vAlign w:val="center"/>
          </w:tcPr>
          <w:p w14:paraId="4EC88B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0.4928</w:t>
            </w:r>
          </w:p>
        </w:tc>
        <w:tc>
          <w:tcPr>
            <w:tcW w:w="1134" w:type="dxa"/>
            <w:tcBorders>
              <w:top w:val="nil"/>
              <w:left w:val="nil"/>
              <w:bottom w:val="nil"/>
              <w:right w:val="nil"/>
            </w:tcBorders>
            <w:shd w:val="clear" w:color="auto" w:fill="FFFFFF"/>
            <w:tcMar>
              <w:left w:w="67" w:type="dxa"/>
              <w:right w:w="67" w:type="dxa"/>
            </w:tcMar>
            <w:vAlign w:val="center"/>
          </w:tcPr>
          <w:p w14:paraId="7EA53A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0.1744</w:t>
            </w:r>
          </w:p>
        </w:tc>
        <w:tc>
          <w:tcPr>
            <w:tcW w:w="1134" w:type="dxa"/>
            <w:tcBorders>
              <w:top w:val="nil"/>
              <w:left w:val="nil"/>
              <w:bottom w:val="nil"/>
              <w:right w:val="nil"/>
            </w:tcBorders>
            <w:shd w:val="clear" w:color="auto" w:fill="FFFFFF"/>
            <w:tcMar>
              <w:left w:w="67" w:type="dxa"/>
              <w:right w:w="67" w:type="dxa"/>
            </w:tcMar>
            <w:vAlign w:val="center"/>
          </w:tcPr>
          <w:p w14:paraId="23B9C2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1.3928</w:t>
            </w:r>
          </w:p>
        </w:tc>
        <w:tc>
          <w:tcPr>
            <w:tcW w:w="1134" w:type="dxa"/>
            <w:tcBorders>
              <w:top w:val="nil"/>
              <w:left w:val="nil"/>
              <w:bottom w:val="nil"/>
              <w:right w:val="nil"/>
            </w:tcBorders>
            <w:shd w:val="clear" w:color="auto" w:fill="FFFFFF"/>
            <w:tcMar>
              <w:left w:w="67" w:type="dxa"/>
              <w:right w:w="67" w:type="dxa"/>
            </w:tcMar>
            <w:vAlign w:val="center"/>
          </w:tcPr>
          <w:p w14:paraId="286AB3A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07B129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850D8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5E6930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DFF75B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C545B0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B3407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-0.4207</w:t>
            </w:r>
          </w:p>
        </w:tc>
        <w:tc>
          <w:tcPr>
            <w:tcW w:w="1134" w:type="dxa"/>
            <w:tcBorders>
              <w:top w:val="nil"/>
              <w:left w:val="nil"/>
              <w:bottom w:val="nil"/>
              <w:right w:val="nil"/>
            </w:tcBorders>
            <w:shd w:val="clear" w:color="auto" w:fill="FFFFFF"/>
            <w:tcMar>
              <w:left w:w="67" w:type="dxa"/>
              <w:right w:w="67" w:type="dxa"/>
            </w:tcMar>
            <w:vAlign w:val="center"/>
          </w:tcPr>
          <w:p w14:paraId="0612DC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0.4841</w:t>
            </w:r>
          </w:p>
        </w:tc>
        <w:tc>
          <w:tcPr>
            <w:tcW w:w="1134" w:type="dxa"/>
            <w:tcBorders>
              <w:top w:val="nil"/>
              <w:left w:val="nil"/>
              <w:bottom w:val="nil"/>
              <w:right w:val="nil"/>
            </w:tcBorders>
            <w:shd w:val="clear" w:color="auto" w:fill="FFFFFF"/>
            <w:tcMar>
              <w:left w:w="67" w:type="dxa"/>
              <w:right w:w="67" w:type="dxa"/>
            </w:tcMar>
            <w:vAlign w:val="center"/>
          </w:tcPr>
          <w:p w14:paraId="1CABAF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0.6566</w:t>
            </w:r>
          </w:p>
        </w:tc>
        <w:tc>
          <w:tcPr>
            <w:tcW w:w="1134" w:type="dxa"/>
            <w:tcBorders>
              <w:top w:val="nil"/>
              <w:left w:val="nil"/>
              <w:bottom w:val="nil"/>
              <w:right w:val="nil"/>
            </w:tcBorders>
            <w:shd w:val="clear" w:color="auto" w:fill="FFFFFF"/>
            <w:tcMar>
              <w:left w:w="67" w:type="dxa"/>
              <w:right w:w="67" w:type="dxa"/>
            </w:tcMar>
            <w:vAlign w:val="center"/>
          </w:tcPr>
          <w:p w14:paraId="018632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0.2218</w:t>
            </w:r>
          </w:p>
        </w:tc>
        <w:tc>
          <w:tcPr>
            <w:tcW w:w="1134" w:type="dxa"/>
            <w:tcBorders>
              <w:top w:val="nil"/>
              <w:left w:val="nil"/>
              <w:bottom w:val="nil"/>
              <w:right w:val="nil"/>
            </w:tcBorders>
            <w:shd w:val="clear" w:color="auto" w:fill="FFFFFF"/>
            <w:tcMar>
              <w:left w:w="67" w:type="dxa"/>
              <w:right w:w="67" w:type="dxa"/>
            </w:tcMar>
            <w:vAlign w:val="center"/>
          </w:tcPr>
          <w:p w14:paraId="145CD4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1.9431</w:t>
            </w:r>
          </w:p>
        </w:tc>
        <w:tc>
          <w:tcPr>
            <w:tcW w:w="1134" w:type="dxa"/>
            <w:tcBorders>
              <w:top w:val="nil"/>
              <w:left w:val="nil"/>
              <w:bottom w:val="nil"/>
              <w:right w:val="nil"/>
            </w:tcBorders>
            <w:shd w:val="clear" w:color="auto" w:fill="FFFFFF"/>
            <w:tcMar>
              <w:left w:w="67" w:type="dxa"/>
              <w:right w:w="67" w:type="dxa"/>
            </w:tcMar>
            <w:vAlign w:val="center"/>
          </w:tcPr>
          <w:p w14:paraId="48518FB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C02401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D60CEB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292F88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A4347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B7D6B6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8F4F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0.1154</w:t>
            </w:r>
          </w:p>
        </w:tc>
        <w:tc>
          <w:tcPr>
            <w:tcW w:w="1134" w:type="dxa"/>
            <w:tcBorders>
              <w:top w:val="nil"/>
              <w:left w:val="nil"/>
              <w:bottom w:val="nil"/>
              <w:right w:val="nil"/>
            </w:tcBorders>
            <w:shd w:val="clear" w:color="auto" w:fill="FFFFFF"/>
            <w:tcMar>
              <w:left w:w="67" w:type="dxa"/>
              <w:right w:w="67" w:type="dxa"/>
            </w:tcMar>
            <w:vAlign w:val="center"/>
          </w:tcPr>
          <w:p w14:paraId="65F43F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0.4038</w:t>
            </w:r>
          </w:p>
        </w:tc>
        <w:tc>
          <w:tcPr>
            <w:tcW w:w="1134" w:type="dxa"/>
            <w:tcBorders>
              <w:top w:val="nil"/>
              <w:left w:val="nil"/>
              <w:bottom w:val="nil"/>
              <w:right w:val="nil"/>
            </w:tcBorders>
            <w:shd w:val="clear" w:color="auto" w:fill="FFFFFF"/>
            <w:tcMar>
              <w:left w:w="67" w:type="dxa"/>
              <w:right w:w="67" w:type="dxa"/>
            </w:tcMar>
            <w:vAlign w:val="center"/>
          </w:tcPr>
          <w:p w14:paraId="663843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1.1224</w:t>
            </w:r>
          </w:p>
        </w:tc>
        <w:tc>
          <w:tcPr>
            <w:tcW w:w="1134" w:type="dxa"/>
            <w:tcBorders>
              <w:top w:val="nil"/>
              <w:left w:val="nil"/>
              <w:bottom w:val="nil"/>
              <w:right w:val="nil"/>
            </w:tcBorders>
            <w:shd w:val="clear" w:color="auto" w:fill="FFFFFF"/>
            <w:tcMar>
              <w:left w:w="67" w:type="dxa"/>
              <w:right w:w="67" w:type="dxa"/>
            </w:tcMar>
            <w:vAlign w:val="center"/>
          </w:tcPr>
          <w:p w14:paraId="178134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0.4539</w:t>
            </w:r>
          </w:p>
        </w:tc>
        <w:tc>
          <w:tcPr>
            <w:tcW w:w="1134" w:type="dxa"/>
            <w:tcBorders>
              <w:top w:val="nil"/>
              <w:left w:val="nil"/>
              <w:bottom w:val="nil"/>
              <w:right w:val="nil"/>
            </w:tcBorders>
            <w:shd w:val="clear" w:color="auto" w:fill="FFFFFF"/>
            <w:tcMar>
              <w:left w:w="67" w:type="dxa"/>
              <w:right w:w="67" w:type="dxa"/>
            </w:tcMar>
            <w:vAlign w:val="center"/>
          </w:tcPr>
          <w:p w14:paraId="52CBC1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2.7750</w:t>
            </w:r>
          </w:p>
        </w:tc>
        <w:tc>
          <w:tcPr>
            <w:tcW w:w="1134" w:type="dxa"/>
            <w:tcBorders>
              <w:top w:val="nil"/>
              <w:left w:val="nil"/>
              <w:bottom w:val="nil"/>
              <w:right w:val="nil"/>
            </w:tcBorders>
            <w:shd w:val="clear" w:color="auto" w:fill="FFFFFF"/>
            <w:tcMar>
              <w:left w:w="67" w:type="dxa"/>
              <w:right w:w="67" w:type="dxa"/>
            </w:tcMar>
            <w:vAlign w:val="center"/>
          </w:tcPr>
          <w:p w14:paraId="6DDA791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64F7D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85F19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5484C6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B54A9A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9FE6E3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D75D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-0.5733</w:t>
            </w:r>
          </w:p>
        </w:tc>
        <w:tc>
          <w:tcPr>
            <w:tcW w:w="1134" w:type="dxa"/>
            <w:tcBorders>
              <w:top w:val="nil"/>
              <w:left w:val="nil"/>
              <w:bottom w:val="nil"/>
              <w:right w:val="nil"/>
            </w:tcBorders>
            <w:shd w:val="clear" w:color="auto" w:fill="FFFFFF"/>
            <w:tcMar>
              <w:left w:w="67" w:type="dxa"/>
              <w:right w:w="67" w:type="dxa"/>
            </w:tcMar>
            <w:vAlign w:val="center"/>
          </w:tcPr>
          <w:p w14:paraId="613518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0.4549</w:t>
            </w:r>
          </w:p>
        </w:tc>
        <w:tc>
          <w:tcPr>
            <w:tcW w:w="1134" w:type="dxa"/>
            <w:tcBorders>
              <w:top w:val="nil"/>
              <w:left w:val="nil"/>
              <w:bottom w:val="nil"/>
              <w:right w:val="nil"/>
            </w:tcBorders>
            <w:shd w:val="clear" w:color="auto" w:fill="FFFFFF"/>
            <w:tcMar>
              <w:left w:w="67" w:type="dxa"/>
              <w:right w:w="67" w:type="dxa"/>
            </w:tcMar>
            <w:vAlign w:val="center"/>
          </w:tcPr>
          <w:p w14:paraId="4D0BCA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0.5637</w:t>
            </w:r>
          </w:p>
        </w:tc>
        <w:tc>
          <w:tcPr>
            <w:tcW w:w="1134" w:type="dxa"/>
            <w:tcBorders>
              <w:top w:val="nil"/>
              <w:left w:val="nil"/>
              <w:bottom w:val="nil"/>
              <w:right w:val="nil"/>
            </w:tcBorders>
            <w:shd w:val="clear" w:color="auto" w:fill="FFFFFF"/>
            <w:tcMar>
              <w:left w:w="67" w:type="dxa"/>
              <w:right w:w="67" w:type="dxa"/>
            </w:tcMar>
            <w:vAlign w:val="center"/>
          </w:tcPr>
          <w:p w14:paraId="5854E4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0.2033</w:t>
            </w:r>
          </w:p>
        </w:tc>
        <w:tc>
          <w:tcPr>
            <w:tcW w:w="1134" w:type="dxa"/>
            <w:tcBorders>
              <w:top w:val="nil"/>
              <w:left w:val="nil"/>
              <w:bottom w:val="nil"/>
              <w:right w:val="nil"/>
            </w:tcBorders>
            <w:shd w:val="clear" w:color="auto" w:fill="FFFFFF"/>
            <w:tcMar>
              <w:left w:w="67" w:type="dxa"/>
              <w:right w:w="67" w:type="dxa"/>
            </w:tcMar>
            <w:vAlign w:val="center"/>
          </w:tcPr>
          <w:p w14:paraId="4BCF88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1.5626</w:t>
            </w:r>
          </w:p>
        </w:tc>
        <w:tc>
          <w:tcPr>
            <w:tcW w:w="1134" w:type="dxa"/>
            <w:tcBorders>
              <w:top w:val="nil"/>
              <w:left w:val="nil"/>
              <w:bottom w:val="nil"/>
              <w:right w:val="nil"/>
            </w:tcBorders>
            <w:shd w:val="clear" w:color="auto" w:fill="FFFFFF"/>
            <w:tcMar>
              <w:left w:w="67" w:type="dxa"/>
              <w:right w:w="67" w:type="dxa"/>
            </w:tcMar>
            <w:vAlign w:val="center"/>
          </w:tcPr>
          <w:p w14:paraId="73A41ED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A40D59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4E921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FF50CE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1A824D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A9B58D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4AC74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0.1722</w:t>
            </w:r>
          </w:p>
        </w:tc>
        <w:tc>
          <w:tcPr>
            <w:tcW w:w="1134" w:type="dxa"/>
            <w:tcBorders>
              <w:top w:val="nil"/>
              <w:left w:val="nil"/>
              <w:bottom w:val="nil"/>
              <w:right w:val="nil"/>
            </w:tcBorders>
            <w:shd w:val="clear" w:color="auto" w:fill="FFFFFF"/>
            <w:tcMar>
              <w:left w:w="67" w:type="dxa"/>
              <w:right w:w="67" w:type="dxa"/>
            </w:tcMar>
            <w:vAlign w:val="center"/>
          </w:tcPr>
          <w:p w14:paraId="370F21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0.4245</w:t>
            </w:r>
          </w:p>
        </w:tc>
        <w:tc>
          <w:tcPr>
            <w:tcW w:w="1134" w:type="dxa"/>
            <w:tcBorders>
              <w:top w:val="nil"/>
              <w:left w:val="nil"/>
              <w:bottom w:val="nil"/>
              <w:right w:val="nil"/>
            </w:tcBorders>
            <w:shd w:val="clear" w:color="auto" w:fill="FFFFFF"/>
            <w:tcMar>
              <w:left w:w="67" w:type="dxa"/>
              <w:right w:w="67" w:type="dxa"/>
            </w:tcMar>
            <w:vAlign w:val="center"/>
          </w:tcPr>
          <w:p w14:paraId="5A94B1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1.1879</w:t>
            </w:r>
          </w:p>
        </w:tc>
        <w:tc>
          <w:tcPr>
            <w:tcW w:w="1134" w:type="dxa"/>
            <w:tcBorders>
              <w:top w:val="nil"/>
              <w:left w:val="nil"/>
              <w:bottom w:val="nil"/>
              <w:right w:val="nil"/>
            </w:tcBorders>
            <w:shd w:val="clear" w:color="auto" w:fill="FFFFFF"/>
            <w:tcMar>
              <w:left w:w="67" w:type="dxa"/>
              <w:right w:w="67" w:type="dxa"/>
            </w:tcMar>
            <w:vAlign w:val="center"/>
          </w:tcPr>
          <w:p w14:paraId="1573DE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0.4587</w:t>
            </w:r>
          </w:p>
        </w:tc>
        <w:tc>
          <w:tcPr>
            <w:tcW w:w="1134" w:type="dxa"/>
            <w:tcBorders>
              <w:top w:val="nil"/>
              <w:left w:val="nil"/>
              <w:bottom w:val="nil"/>
              <w:right w:val="nil"/>
            </w:tcBorders>
            <w:shd w:val="clear" w:color="auto" w:fill="FFFFFF"/>
            <w:tcMar>
              <w:left w:w="67" w:type="dxa"/>
              <w:right w:w="67" w:type="dxa"/>
            </w:tcMar>
            <w:vAlign w:val="center"/>
          </w:tcPr>
          <w:p w14:paraId="193A26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3.0764</w:t>
            </w:r>
          </w:p>
        </w:tc>
        <w:tc>
          <w:tcPr>
            <w:tcW w:w="1134" w:type="dxa"/>
            <w:tcBorders>
              <w:top w:val="nil"/>
              <w:left w:val="nil"/>
              <w:bottom w:val="nil"/>
              <w:right w:val="nil"/>
            </w:tcBorders>
            <w:shd w:val="clear" w:color="auto" w:fill="FFFFFF"/>
            <w:tcMar>
              <w:left w:w="67" w:type="dxa"/>
              <w:right w:w="67" w:type="dxa"/>
            </w:tcMar>
            <w:vAlign w:val="center"/>
          </w:tcPr>
          <w:p w14:paraId="66D8187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B2E7D7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8F427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DC87FD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6FD76BA"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4C091D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AA8B2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-0.0308</w:t>
            </w:r>
          </w:p>
        </w:tc>
        <w:tc>
          <w:tcPr>
            <w:tcW w:w="1134" w:type="dxa"/>
            <w:tcBorders>
              <w:top w:val="nil"/>
              <w:left w:val="nil"/>
              <w:bottom w:val="nil"/>
              <w:right w:val="nil"/>
            </w:tcBorders>
            <w:shd w:val="clear" w:color="auto" w:fill="FFFFFF"/>
            <w:tcMar>
              <w:left w:w="67" w:type="dxa"/>
              <w:right w:w="67" w:type="dxa"/>
            </w:tcMar>
            <w:vAlign w:val="center"/>
          </w:tcPr>
          <w:p w14:paraId="14D057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0.0231</w:t>
            </w:r>
          </w:p>
        </w:tc>
        <w:tc>
          <w:tcPr>
            <w:tcW w:w="1134" w:type="dxa"/>
            <w:tcBorders>
              <w:top w:val="nil"/>
              <w:left w:val="nil"/>
              <w:bottom w:val="nil"/>
              <w:right w:val="nil"/>
            </w:tcBorders>
            <w:shd w:val="clear" w:color="auto" w:fill="FFFFFF"/>
            <w:tcMar>
              <w:left w:w="67" w:type="dxa"/>
              <w:right w:w="67" w:type="dxa"/>
            </w:tcMar>
            <w:vAlign w:val="center"/>
          </w:tcPr>
          <w:p w14:paraId="17B609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0.9697</w:t>
            </w:r>
          </w:p>
        </w:tc>
        <w:tc>
          <w:tcPr>
            <w:tcW w:w="1134" w:type="dxa"/>
            <w:tcBorders>
              <w:top w:val="nil"/>
              <w:left w:val="nil"/>
              <w:bottom w:val="nil"/>
              <w:right w:val="nil"/>
            </w:tcBorders>
            <w:shd w:val="clear" w:color="auto" w:fill="FFFFFF"/>
            <w:tcMar>
              <w:left w:w="67" w:type="dxa"/>
              <w:right w:w="67" w:type="dxa"/>
            </w:tcMar>
            <w:vAlign w:val="center"/>
          </w:tcPr>
          <w:p w14:paraId="3D9CE9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0.9207</w:t>
            </w:r>
          </w:p>
        </w:tc>
        <w:tc>
          <w:tcPr>
            <w:tcW w:w="1134" w:type="dxa"/>
            <w:tcBorders>
              <w:top w:val="nil"/>
              <w:left w:val="nil"/>
              <w:bottom w:val="nil"/>
              <w:right w:val="nil"/>
            </w:tcBorders>
            <w:shd w:val="clear" w:color="auto" w:fill="FFFFFF"/>
            <w:tcMar>
              <w:left w:w="67" w:type="dxa"/>
              <w:right w:w="67" w:type="dxa"/>
            </w:tcMar>
            <w:vAlign w:val="center"/>
          </w:tcPr>
          <w:p w14:paraId="47A7E6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1.0212</w:t>
            </w:r>
          </w:p>
        </w:tc>
        <w:tc>
          <w:tcPr>
            <w:tcW w:w="1134" w:type="dxa"/>
            <w:tcBorders>
              <w:top w:val="nil"/>
              <w:left w:val="nil"/>
              <w:bottom w:val="nil"/>
              <w:right w:val="nil"/>
            </w:tcBorders>
            <w:shd w:val="clear" w:color="auto" w:fill="FFFFFF"/>
            <w:tcMar>
              <w:left w:w="67" w:type="dxa"/>
              <w:right w:w="67" w:type="dxa"/>
            </w:tcMar>
            <w:vAlign w:val="center"/>
          </w:tcPr>
          <w:p w14:paraId="0F3496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1.77</w:t>
            </w:r>
          </w:p>
        </w:tc>
        <w:tc>
          <w:tcPr>
            <w:tcW w:w="567" w:type="dxa"/>
            <w:tcBorders>
              <w:top w:val="nil"/>
              <w:left w:val="nil"/>
              <w:bottom w:val="nil"/>
              <w:right w:val="nil"/>
            </w:tcBorders>
            <w:shd w:val="clear" w:color="auto" w:fill="FFFFFF"/>
            <w:tcMar>
              <w:left w:w="67" w:type="dxa"/>
              <w:right w:w="67" w:type="dxa"/>
            </w:tcMar>
            <w:vAlign w:val="center"/>
          </w:tcPr>
          <w:p w14:paraId="6F6E03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9128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0.1828</w:t>
            </w:r>
          </w:p>
        </w:tc>
      </w:tr>
      <w:tr w:rsidR="00B77EA3" w:rsidRPr="0082484A" w14:paraId="01AD5AE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FDD355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145358F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C87DA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0.0364</w:t>
            </w:r>
          </w:p>
        </w:tc>
        <w:tc>
          <w:tcPr>
            <w:tcW w:w="1134" w:type="dxa"/>
            <w:tcBorders>
              <w:top w:val="nil"/>
              <w:left w:val="nil"/>
              <w:bottom w:val="nil"/>
              <w:right w:val="nil"/>
            </w:tcBorders>
            <w:shd w:val="clear" w:color="auto" w:fill="FFFFFF"/>
            <w:tcMar>
              <w:left w:w="67" w:type="dxa"/>
              <w:right w:w="67" w:type="dxa"/>
            </w:tcMar>
            <w:vAlign w:val="center"/>
          </w:tcPr>
          <w:p w14:paraId="62D2C5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0.0144</w:t>
            </w:r>
          </w:p>
        </w:tc>
        <w:tc>
          <w:tcPr>
            <w:tcW w:w="1134" w:type="dxa"/>
            <w:tcBorders>
              <w:top w:val="nil"/>
              <w:left w:val="nil"/>
              <w:bottom w:val="nil"/>
              <w:right w:val="nil"/>
            </w:tcBorders>
            <w:shd w:val="clear" w:color="auto" w:fill="FFFFFF"/>
            <w:tcMar>
              <w:left w:w="67" w:type="dxa"/>
              <w:right w:w="67" w:type="dxa"/>
            </w:tcMar>
            <w:vAlign w:val="center"/>
          </w:tcPr>
          <w:p w14:paraId="4AE485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1.0371</w:t>
            </w:r>
          </w:p>
        </w:tc>
        <w:tc>
          <w:tcPr>
            <w:tcW w:w="1134" w:type="dxa"/>
            <w:tcBorders>
              <w:top w:val="nil"/>
              <w:left w:val="nil"/>
              <w:bottom w:val="nil"/>
              <w:right w:val="nil"/>
            </w:tcBorders>
            <w:shd w:val="clear" w:color="auto" w:fill="FFFFFF"/>
            <w:tcMar>
              <w:left w:w="67" w:type="dxa"/>
              <w:right w:w="67" w:type="dxa"/>
            </w:tcMar>
            <w:vAlign w:val="center"/>
          </w:tcPr>
          <w:p w14:paraId="3BCF4F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1.0041</w:t>
            </w:r>
          </w:p>
        </w:tc>
        <w:tc>
          <w:tcPr>
            <w:tcW w:w="1134" w:type="dxa"/>
            <w:tcBorders>
              <w:top w:val="nil"/>
              <w:left w:val="nil"/>
              <w:bottom w:val="nil"/>
              <w:right w:val="nil"/>
            </w:tcBorders>
            <w:shd w:val="clear" w:color="auto" w:fill="FFFFFF"/>
            <w:tcMar>
              <w:left w:w="67" w:type="dxa"/>
              <w:right w:w="67" w:type="dxa"/>
            </w:tcMar>
            <w:vAlign w:val="center"/>
          </w:tcPr>
          <w:p w14:paraId="1B346C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1.0711</w:t>
            </w:r>
          </w:p>
        </w:tc>
        <w:tc>
          <w:tcPr>
            <w:tcW w:w="1134" w:type="dxa"/>
            <w:tcBorders>
              <w:top w:val="nil"/>
              <w:left w:val="nil"/>
              <w:bottom w:val="nil"/>
              <w:right w:val="nil"/>
            </w:tcBorders>
            <w:shd w:val="clear" w:color="auto" w:fill="FFFFFF"/>
            <w:tcMar>
              <w:left w:w="67" w:type="dxa"/>
              <w:right w:w="67" w:type="dxa"/>
            </w:tcMar>
            <w:vAlign w:val="center"/>
          </w:tcPr>
          <w:p w14:paraId="4520D6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6.38</w:t>
            </w:r>
          </w:p>
        </w:tc>
        <w:tc>
          <w:tcPr>
            <w:tcW w:w="567" w:type="dxa"/>
            <w:tcBorders>
              <w:top w:val="nil"/>
              <w:left w:val="nil"/>
              <w:bottom w:val="nil"/>
              <w:right w:val="nil"/>
            </w:tcBorders>
            <w:shd w:val="clear" w:color="auto" w:fill="FFFFFF"/>
            <w:tcMar>
              <w:left w:w="67" w:type="dxa"/>
              <w:right w:w="67" w:type="dxa"/>
            </w:tcMar>
            <w:vAlign w:val="center"/>
          </w:tcPr>
          <w:p w14:paraId="17DC7D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D18A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0.0116</w:t>
            </w:r>
          </w:p>
        </w:tc>
      </w:tr>
      <w:tr w:rsidR="00B77EA3" w:rsidRPr="0082484A" w14:paraId="5AEA06B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285F363"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17D718A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1D8CD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nil"/>
              <w:right w:val="nil"/>
            </w:tcBorders>
            <w:shd w:val="clear" w:color="auto" w:fill="FFFFFF"/>
            <w:tcMar>
              <w:left w:w="67" w:type="dxa"/>
              <w:right w:w="67" w:type="dxa"/>
            </w:tcMar>
            <w:vAlign w:val="center"/>
          </w:tcPr>
          <w:p w14:paraId="654323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5BC4A9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1.0000</w:t>
            </w:r>
          </w:p>
        </w:tc>
        <w:tc>
          <w:tcPr>
            <w:tcW w:w="1134" w:type="dxa"/>
            <w:tcBorders>
              <w:top w:val="nil"/>
              <w:left w:val="nil"/>
              <w:bottom w:val="nil"/>
              <w:right w:val="nil"/>
            </w:tcBorders>
            <w:shd w:val="clear" w:color="auto" w:fill="FFFFFF"/>
            <w:tcMar>
              <w:left w:w="67" w:type="dxa"/>
              <w:right w:w="67" w:type="dxa"/>
            </w:tcMar>
            <w:vAlign w:val="center"/>
          </w:tcPr>
          <w:p w14:paraId="22AE7F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0.9919</w:t>
            </w:r>
          </w:p>
        </w:tc>
        <w:tc>
          <w:tcPr>
            <w:tcW w:w="1134" w:type="dxa"/>
            <w:tcBorders>
              <w:top w:val="nil"/>
              <w:left w:val="nil"/>
              <w:bottom w:val="nil"/>
              <w:right w:val="nil"/>
            </w:tcBorders>
            <w:shd w:val="clear" w:color="auto" w:fill="FFFFFF"/>
            <w:tcMar>
              <w:left w:w="67" w:type="dxa"/>
              <w:right w:w="67" w:type="dxa"/>
            </w:tcMar>
            <w:vAlign w:val="center"/>
          </w:tcPr>
          <w:p w14:paraId="1B6ADF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1.0082</w:t>
            </w:r>
          </w:p>
        </w:tc>
        <w:tc>
          <w:tcPr>
            <w:tcW w:w="1134" w:type="dxa"/>
            <w:tcBorders>
              <w:top w:val="nil"/>
              <w:left w:val="nil"/>
              <w:bottom w:val="nil"/>
              <w:right w:val="nil"/>
            </w:tcBorders>
            <w:shd w:val="clear" w:color="auto" w:fill="FFFFFF"/>
            <w:tcMar>
              <w:left w:w="67" w:type="dxa"/>
              <w:right w:w="67" w:type="dxa"/>
            </w:tcMar>
            <w:vAlign w:val="center"/>
          </w:tcPr>
          <w:p w14:paraId="6E084D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4F8969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AA8C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0.9981</w:t>
            </w:r>
          </w:p>
        </w:tc>
      </w:tr>
      <w:tr w:rsidR="00B77EA3" w:rsidRPr="0082484A" w14:paraId="1A3EF3FE"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F11A3C7"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42C4F3B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8C5A4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14266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B5F78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88E58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7D5D5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1.2835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17322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902E5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F2785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0.9350</w:t>
            </w:r>
          </w:p>
        </w:tc>
      </w:tr>
    </w:tbl>
    <w:p w14:paraId="7C232412"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their Body Mass Index (BMI) recorded in the previous 12 months is 33</w:t>
      </w:r>
    </w:p>
    <w:p w14:paraId="6B2BCDB5" w14:textId="77777777" w:rsidR="00B77EA3" w:rsidRPr="0082484A" w:rsidRDefault="00B77EA3" w:rsidP="00B77EA3">
      <w:pPr>
        <w:spacing w:before="0" w:after="160" w:line="259" w:lineRule="auto"/>
        <w:rPr>
          <w:sz w:val="22"/>
          <w:szCs w:val="22"/>
        </w:rPr>
      </w:pPr>
      <w:r w:rsidRPr="0082484A">
        <w:rPr>
          <w:sz w:val="22"/>
          <w:szCs w:val="22"/>
        </w:rPr>
        <w:br w:type="page"/>
      </w:r>
    </w:p>
    <w:p w14:paraId="0A7F8CAC" w14:textId="0CFB5D1E" w:rsidR="00B77EA3" w:rsidRPr="0082484A" w:rsidRDefault="00B77EA3" w:rsidP="00B77EA3">
      <w:pPr>
        <w:spacing w:before="0" w:line="240" w:lineRule="auto"/>
        <w:rPr>
          <w:bCs/>
          <w:sz w:val="22"/>
          <w:szCs w:val="22"/>
        </w:rPr>
      </w:pPr>
      <w:bookmarkStart w:id="92" w:name="_Ref502917790"/>
      <w:bookmarkStart w:id="93" w:name="_Toc8728098"/>
      <w:bookmarkStart w:id="94" w:name="_Toc19526753"/>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24</w:t>
      </w:r>
      <w:r w:rsidRPr="0082484A">
        <w:rPr>
          <w:bCs/>
          <w:noProof/>
          <w:sz w:val="22"/>
          <w:szCs w:val="22"/>
        </w:rPr>
        <w:fldChar w:fldCharType="end"/>
      </w:r>
      <w:bookmarkEnd w:id="92"/>
      <w:r w:rsidRPr="0082484A">
        <w:rPr>
          <w:bCs/>
          <w:sz w:val="22"/>
          <w:szCs w:val="22"/>
        </w:rPr>
        <w:t>: Secondary outcome for Trial 1: The proportion of patients with Type 2 diabetes having their smoking status recorded in the previous 12 months (WP4A)</w:t>
      </w:r>
      <w:r w:rsidRPr="0082484A">
        <w:rPr>
          <w:bCs/>
          <w:sz w:val="22"/>
          <w:szCs w:val="22"/>
          <w:vertAlign w:val="superscript"/>
        </w:rPr>
        <w:t xml:space="preserve"> a</w:t>
      </w:r>
      <w:bookmarkEnd w:id="93"/>
      <w:bookmarkEnd w:id="94"/>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438CFCE3"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A4455F5" w14:textId="77777777" w:rsidR="00B77EA3" w:rsidRPr="0082484A" w:rsidRDefault="00B77EA3" w:rsidP="00B77EA3">
            <w:pPr>
              <w:spacing w:beforeLines="10" w:before="24" w:afterLines="10" w:after="24" w:line="240" w:lineRule="auto"/>
              <w:rPr>
                <w:bCs/>
                <w:sz w:val="22"/>
                <w:szCs w:val="22"/>
              </w:rPr>
            </w:pPr>
            <w:bookmarkStart w:id="95" w:name="IDX202"/>
            <w:bookmarkEnd w:id="95"/>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AA2900B"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97CA9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E6D196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A74768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F431C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3254D4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12249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126FA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65199F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5E6DB84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2CE6DFA"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145DDDA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00DDE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0.3364</w:t>
            </w:r>
          </w:p>
        </w:tc>
        <w:tc>
          <w:tcPr>
            <w:tcW w:w="1134" w:type="dxa"/>
            <w:tcBorders>
              <w:top w:val="nil"/>
              <w:left w:val="nil"/>
              <w:bottom w:val="nil"/>
              <w:right w:val="nil"/>
            </w:tcBorders>
            <w:shd w:val="clear" w:color="auto" w:fill="FFFFFF"/>
            <w:tcMar>
              <w:left w:w="67" w:type="dxa"/>
              <w:right w:w="67" w:type="dxa"/>
            </w:tcMar>
            <w:vAlign w:val="center"/>
          </w:tcPr>
          <w:p w14:paraId="5F2799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0.1778</w:t>
            </w:r>
          </w:p>
        </w:tc>
        <w:tc>
          <w:tcPr>
            <w:tcW w:w="1134" w:type="dxa"/>
            <w:tcBorders>
              <w:top w:val="nil"/>
              <w:left w:val="nil"/>
              <w:bottom w:val="nil"/>
              <w:right w:val="nil"/>
            </w:tcBorders>
            <w:shd w:val="clear" w:color="auto" w:fill="FFFFFF"/>
            <w:tcMar>
              <w:left w:w="67" w:type="dxa"/>
              <w:right w:w="67" w:type="dxa"/>
            </w:tcMar>
            <w:vAlign w:val="center"/>
          </w:tcPr>
          <w:p w14:paraId="0D27B3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1.3999</w:t>
            </w:r>
          </w:p>
        </w:tc>
        <w:tc>
          <w:tcPr>
            <w:tcW w:w="1134" w:type="dxa"/>
            <w:tcBorders>
              <w:top w:val="nil"/>
              <w:left w:val="nil"/>
              <w:bottom w:val="nil"/>
              <w:right w:val="nil"/>
            </w:tcBorders>
            <w:shd w:val="clear" w:color="auto" w:fill="FFFFFF"/>
            <w:tcMar>
              <w:left w:w="67" w:type="dxa"/>
              <w:right w:w="67" w:type="dxa"/>
            </w:tcMar>
            <w:vAlign w:val="center"/>
          </w:tcPr>
          <w:p w14:paraId="471F55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0.9396</w:t>
            </w:r>
          </w:p>
        </w:tc>
        <w:tc>
          <w:tcPr>
            <w:tcW w:w="1134" w:type="dxa"/>
            <w:tcBorders>
              <w:top w:val="nil"/>
              <w:left w:val="nil"/>
              <w:bottom w:val="nil"/>
              <w:right w:val="nil"/>
            </w:tcBorders>
            <w:shd w:val="clear" w:color="auto" w:fill="FFFFFF"/>
            <w:tcMar>
              <w:left w:w="67" w:type="dxa"/>
              <w:right w:w="67" w:type="dxa"/>
            </w:tcMar>
            <w:vAlign w:val="center"/>
          </w:tcPr>
          <w:p w14:paraId="181FFB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2.0855</w:t>
            </w:r>
          </w:p>
        </w:tc>
        <w:tc>
          <w:tcPr>
            <w:tcW w:w="1134" w:type="dxa"/>
            <w:tcBorders>
              <w:top w:val="nil"/>
              <w:left w:val="nil"/>
              <w:bottom w:val="nil"/>
              <w:right w:val="nil"/>
            </w:tcBorders>
            <w:shd w:val="clear" w:color="auto" w:fill="FFFFFF"/>
            <w:tcMar>
              <w:left w:w="67" w:type="dxa"/>
              <w:right w:w="67" w:type="dxa"/>
            </w:tcMar>
            <w:vAlign w:val="center"/>
          </w:tcPr>
          <w:p w14:paraId="1DF961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3.58</w:t>
            </w:r>
          </w:p>
        </w:tc>
        <w:tc>
          <w:tcPr>
            <w:tcW w:w="567" w:type="dxa"/>
            <w:tcBorders>
              <w:top w:val="nil"/>
              <w:left w:val="nil"/>
              <w:bottom w:val="nil"/>
              <w:right w:val="nil"/>
            </w:tcBorders>
            <w:shd w:val="clear" w:color="auto" w:fill="FFFFFF"/>
            <w:tcMar>
              <w:left w:w="67" w:type="dxa"/>
              <w:right w:w="67" w:type="dxa"/>
            </w:tcMar>
            <w:vAlign w:val="center"/>
          </w:tcPr>
          <w:p w14:paraId="031442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58F2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0.0586</w:t>
            </w:r>
          </w:p>
        </w:tc>
      </w:tr>
      <w:tr w:rsidR="00B77EA3" w:rsidRPr="0082484A" w14:paraId="16E3FE6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243AF19"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9A11F1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653344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-0.2380</w:t>
            </w:r>
          </w:p>
        </w:tc>
        <w:tc>
          <w:tcPr>
            <w:tcW w:w="1134" w:type="dxa"/>
            <w:tcBorders>
              <w:top w:val="nil"/>
              <w:left w:val="nil"/>
              <w:bottom w:val="nil"/>
              <w:right w:val="nil"/>
            </w:tcBorders>
            <w:shd w:val="clear" w:color="auto" w:fill="FFFFFF"/>
            <w:tcMar>
              <w:left w:w="67" w:type="dxa"/>
              <w:right w:w="67" w:type="dxa"/>
            </w:tcMar>
            <w:vAlign w:val="center"/>
          </w:tcPr>
          <w:p w14:paraId="7AD889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0.0323</w:t>
            </w:r>
          </w:p>
        </w:tc>
        <w:tc>
          <w:tcPr>
            <w:tcW w:w="1134" w:type="dxa"/>
            <w:tcBorders>
              <w:top w:val="nil"/>
              <w:left w:val="nil"/>
              <w:bottom w:val="nil"/>
              <w:right w:val="nil"/>
            </w:tcBorders>
            <w:shd w:val="clear" w:color="auto" w:fill="FFFFFF"/>
            <w:tcMar>
              <w:left w:w="67" w:type="dxa"/>
              <w:right w:w="67" w:type="dxa"/>
            </w:tcMar>
            <w:vAlign w:val="center"/>
          </w:tcPr>
          <w:p w14:paraId="602DE4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0.7882</w:t>
            </w:r>
          </w:p>
        </w:tc>
        <w:tc>
          <w:tcPr>
            <w:tcW w:w="1134" w:type="dxa"/>
            <w:tcBorders>
              <w:top w:val="nil"/>
              <w:left w:val="nil"/>
              <w:bottom w:val="nil"/>
              <w:right w:val="nil"/>
            </w:tcBorders>
            <w:shd w:val="clear" w:color="auto" w:fill="FFFFFF"/>
            <w:tcMar>
              <w:left w:w="67" w:type="dxa"/>
              <w:right w:w="67" w:type="dxa"/>
            </w:tcMar>
            <w:vAlign w:val="center"/>
          </w:tcPr>
          <w:p w14:paraId="5BA542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0.7332</w:t>
            </w:r>
          </w:p>
        </w:tc>
        <w:tc>
          <w:tcPr>
            <w:tcW w:w="1134" w:type="dxa"/>
            <w:tcBorders>
              <w:top w:val="nil"/>
              <w:left w:val="nil"/>
              <w:bottom w:val="nil"/>
              <w:right w:val="nil"/>
            </w:tcBorders>
            <w:shd w:val="clear" w:color="auto" w:fill="FFFFFF"/>
            <w:tcMar>
              <w:left w:w="67" w:type="dxa"/>
              <w:right w:w="67" w:type="dxa"/>
            </w:tcMar>
            <w:vAlign w:val="center"/>
          </w:tcPr>
          <w:p w14:paraId="6DEF1D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0.8474</w:t>
            </w:r>
          </w:p>
        </w:tc>
        <w:tc>
          <w:tcPr>
            <w:tcW w:w="1134" w:type="dxa"/>
            <w:tcBorders>
              <w:top w:val="nil"/>
              <w:left w:val="nil"/>
              <w:bottom w:val="nil"/>
              <w:right w:val="nil"/>
            </w:tcBorders>
            <w:shd w:val="clear" w:color="auto" w:fill="FFFFFF"/>
            <w:tcMar>
              <w:left w:w="67" w:type="dxa"/>
              <w:right w:w="67" w:type="dxa"/>
            </w:tcMar>
            <w:vAlign w:val="center"/>
          </w:tcPr>
          <w:p w14:paraId="094621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54.31</w:t>
            </w:r>
          </w:p>
        </w:tc>
        <w:tc>
          <w:tcPr>
            <w:tcW w:w="567" w:type="dxa"/>
            <w:tcBorders>
              <w:top w:val="nil"/>
              <w:left w:val="nil"/>
              <w:bottom w:val="nil"/>
              <w:right w:val="nil"/>
            </w:tcBorders>
            <w:shd w:val="clear" w:color="auto" w:fill="FFFFFF"/>
            <w:tcMar>
              <w:left w:w="67" w:type="dxa"/>
              <w:right w:w="67" w:type="dxa"/>
            </w:tcMar>
            <w:vAlign w:val="center"/>
          </w:tcPr>
          <w:p w14:paraId="628A6A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18BB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BBE4F8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3A3EF04"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315436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1C661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12A8FB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77B312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1.0016</w:t>
            </w:r>
          </w:p>
        </w:tc>
        <w:tc>
          <w:tcPr>
            <w:tcW w:w="1134" w:type="dxa"/>
            <w:tcBorders>
              <w:top w:val="nil"/>
              <w:left w:val="nil"/>
              <w:bottom w:val="nil"/>
              <w:right w:val="nil"/>
            </w:tcBorders>
            <w:shd w:val="clear" w:color="auto" w:fill="FFFFFF"/>
            <w:tcMar>
              <w:left w:w="67" w:type="dxa"/>
              <w:right w:w="67" w:type="dxa"/>
            </w:tcMar>
            <w:vAlign w:val="center"/>
          </w:tcPr>
          <w:p w14:paraId="2BCC87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0.9990</w:t>
            </w:r>
          </w:p>
        </w:tc>
        <w:tc>
          <w:tcPr>
            <w:tcW w:w="1134" w:type="dxa"/>
            <w:tcBorders>
              <w:top w:val="nil"/>
              <w:left w:val="nil"/>
              <w:bottom w:val="nil"/>
              <w:right w:val="nil"/>
            </w:tcBorders>
            <w:shd w:val="clear" w:color="auto" w:fill="FFFFFF"/>
            <w:tcMar>
              <w:left w:w="67" w:type="dxa"/>
              <w:right w:w="67" w:type="dxa"/>
            </w:tcMar>
            <w:vAlign w:val="center"/>
          </w:tcPr>
          <w:p w14:paraId="6083E7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1.0043</w:t>
            </w:r>
          </w:p>
        </w:tc>
        <w:tc>
          <w:tcPr>
            <w:tcW w:w="1134" w:type="dxa"/>
            <w:tcBorders>
              <w:top w:val="nil"/>
              <w:left w:val="nil"/>
              <w:bottom w:val="nil"/>
              <w:right w:val="nil"/>
            </w:tcBorders>
            <w:shd w:val="clear" w:color="auto" w:fill="FFFFFF"/>
            <w:tcMar>
              <w:left w:w="67" w:type="dxa"/>
              <w:right w:w="67" w:type="dxa"/>
            </w:tcMar>
            <w:vAlign w:val="center"/>
          </w:tcPr>
          <w:p w14:paraId="3F589D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1.84</w:t>
            </w:r>
          </w:p>
        </w:tc>
        <w:tc>
          <w:tcPr>
            <w:tcW w:w="567" w:type="dxa"/>
            <w:tcBorders>
              <w:top w:val="nil"/>
              <w:left w:val="nil"/>
              <w:bottom w:val="nil"/>
              <w:right w:val="nil"/>
            </w:tcBorders>
            <w:shd w:val="clear" w:color="auto" w:fill="FFFFFF"/>
            <w:tcMar>
              <w:left w:w="67" w:type="dxa"/>
              <w:right w:w="67" w:type="dxa"/>
            </w:tcMar>
            <w:vAlign w:val="center"/>
          </w:tcPr>
          <w:p w14:paraId="45A56E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95CB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0.1747</w:t>
            </w:r>
          </w:p>
        </w:tc>
      </w:tr>
      <w:tr w:rsidR="00B77EA3" w:rsidRPr="0082484A" w14:paraId="20A1C9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EFE63BB"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044EDDB"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F6593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26E5A2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529914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1.0038</w:t>
            </w:r>
          </w:p>
        </w:tc>
        <w:tc>
          <w:tcPr>
            <w:tcW w:w="1134" w:type="dxa"/>
            <w:tcBorders>
              <w:top w:val="nil"/>
              <w:left w:val="nil"/>
              <w:bottom w:val="nil"/>
              <w:right w:val="nil"/>
            </w:tcBorders>
            <w:shd w:val="clear" w:color="auto" w:fill="FFFFFF"/>
            <w:tcMar>
              <w:left w:w="67" w:type="dxa"/>
              <w:right w:w="67" w:type="dxa"/>
            </w:tcMar>
            <w:vAlign w:val="center"/>
          </w:tcPr>
          <w:p w14:paraId="55A8A5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0.9976</w:t>
            </w:r>
          </w:p>
        </w:tc>
        <w:tc>
          <w:tcPr>
            <w:tcW w:w="1134" w:type="dxa"/>
            <w:tcBorders>
              <w:top w:val="nil"/>
              <w:left w:val="nil"/>
              <w:bottom w:val="nil"/>
              <w:right w:val="nil"/>
            </w:tcBorders>
            <w:shd w:val="clear" w:color="auto" w:fill="FFFFFF"/>
            <w:tcMar>
              <w:left w:w="67" w:type="dxa"/>
              <w:right w:w="67" w:type="dxa"/>
            </w:tcMar>
            <w:vAlign w:val="center"/>
          </w:tcPr>
          <w:p w14:paraId="41DCF3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1.0100</w:t>
            </w:r>
          </w:p>
        </w:tc>
        <w:tc>
          <w:tcPr>
            <w:tcW w:w="1134" w:type="dxa"/>
            <w:tcBorders>
              <w:top w:val="nil"/>
              <w:left w:val="nil"/>
              <w:bottom w:val="nil"/>
              <w:right w:val="nil"/>
            </w:tcBorders>
            <w:shd w:val="clear" w:color="auto" w:fill="FFFFFF"/>
            <w:tcMar>
              <w:left w:w="67" w:type="dxa"/>
              <w:right w:w="67" w:type="dxa"/>
            </w:tcMar>
            <w:vAlign w:val="center"/>
          </w:tcPr>
          <w:p w14:paraId="54847A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1.90</w:t>
            </w:r>
          </w:p>
        </w:tc>
        <w:tc>
          <w:tcPr>
            <w:tcW w:w="567" w:type="dxa"/>
            <w:tcBorders>
              <w:top w:val="nil"/>
              <w:left w:val="nil"/>
              <w:bottom w:val="nil"/>
              <w:right w:val="nil"/>
            </w:tcBorders>
            <w:shd w:val="clear" w:color="auto" w:fill="FFFFFF"/>
            <w:tcMar>
              <w:left w:w="67" w:type="dxa"/>
              <w:right w:w="67" w:type="dxa"/>
            </w:tcMar>
            <w:vAlign w:val="center"/>
          </w:tcPr>
          <w:p w14:paraId="796F38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E93B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0.1679</w:t>
            </w:r>
          </w:p>
        </w:tc>
      </w:tr>
      <w:tr w:rsidR="00B77EA3" w:rsidRPr="0082484A" w14:paraId="48E8332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B1E7A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910B7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16AED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-1.2184</w:t>
            </w:r>
          </w:p>
        </w:tc>
        <w:tc>
          <w:tcPr>
            <w:tcW w:w="1134" w:type="dxa"/>
            <w:tcBorders>
              <w:top w:val="nil"/>
              <w:left w:val="nil"/>
              <w:bottom w:val="nil"/>
              <w:right w:val="nil"/>
            </w:tcBorders>
            <w:shd w:val="clear" w:color="auto" w:fill="FFFFFF"/>
            <w:tcMar>
              <w:left w:w="67" w:type="dxa"/>
              <w:right w:w="67" w:type="dxa"/>
            </w:tcMar>
            <w:vAlign w:val="center"/>
          </w:tcPr>
          <w:p w14:paraId="0E33D0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0.5041</w:t>
            </w:r>
          </w:p>
        </w:tc>
        <w:tc>
          <w:tcPr>
            <w:tcW w:w="1134" w:type="dxa"/>
            <w:tcBorders>
              <w:top w:val="nil"/>
              <w:left w:val="nil"/>
              <w:bottom w:val="nil"/>
              <w:right w:val="nil"/>
            </w:tcBorders>
            <w:shd w:val="clear" w:color="auto" w:fill="FFFFFF"/>
            <w:tcMar>
              <w:left w:w="67" w:type="dxa"/>
              <w:right w:w="67" w:type="dxa"/>
            </w:tcMar>
            <w:vAlign w:val="center"/>
          </w:tcPr>
          <w:p w14:paraId="74D119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0.2957</w:t>
            </w:r>
          </w:p>
        </w:tc>
        <w:tc>
          <w:tcPr>
            <w:tcW w:w="1134" w:type="dxa"/>
            <w:tcBorders>
              <w:top w:val="nil"/>
              <w:left w:val="nil"/>
              <w:bottom w:val="nil"/>
              <w:right w:val="nil"/>
            </w:tcBorders>
            <w:shd w:val="clear" w:color="auto" w:fill="FFFFFF"/>
            <w:tcMar>
              <w:left w:w="67" w:type="dxa"/>
              <w:right w:w="67" w:type="dxa"/>
            </w:tcMar>
            <w:vAlign w:val="center"/>
          </w:tcPr>
          <w:p w14:paraId="14DBA7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0.0955</w:t>
            </w:r>
          </w:p>
        </w:tc>
        <w:tc>
          <w:tcPr>
            <w:tcW w:w="1134" w:type="dxa"/>
            <w:tcBorders>
              <w:top w:val="nil"/>
              <w:left w:val="nil"/>
              <w:bottom w:val="nil"/>
              <w:right w:val="nil"/>
            </w:tcBorders>
            <w:shd w:val="clear" w:color="auto" w:fill="FFFFFF"/>
            <w:tcMar>
              <w:left w:w="67" w:type="dxa"/>
              <w:right w:w="67" w:type="dxa"/>
            </w:tcMar>
            <w:vAlign w:val="center"/>
          </w:tcPr>
          <w:p w14:paraId="49B032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0.9153</w:t>
            </w:r>
          </w:p>
        </w:tc>
        <w:tc>
          <w:tcPr>
            <w:tcW w:w="1134" w:type="dxa"/>
            <w:tcBorders>
              <w:top w:val="nil"/>
              <w:left w:val="nil"/>
              <w:bottom w:val="nil"/>
              <w:right w:val="nil"/>
            </w:tcBorders>
            <w:shd w:val="clear" w:color="auto" w:fill="FFFFFF"/>
            <w:tcMar>
              <w:left w:w="67" w:type="dxa"/>
              <w:right w:w="67" w:type="dxa"/>
            </w:tcMar>
            <w:vAlign w:val="center"/>
          </w:tcPr>
          <w:p w14:paraId="0789E2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3.78</w:t>
            </w:r>
          </w:p>
        </w:tc>
        <w:tc>
          <w:tcPr>
            <w:tcW w:w="567" w:type="dxa"/>
            <w:tcBorders>
              <w:top w:val="nil"/>
              <w:left w:val="nil"/>
              <w:bottom w:val="nil"/>
              <w:right w:val="nil"/>
            </w:tcBorders>
            <w:shd w:val="clear" w:color="auto" w:fill="FFFFFF"/>
            <w:tcMar>
              <w:left w:w="67" w:type="dxa"/>
              <w:right w:w="67" w:type="dxa"/>
            </w:tcMar>
            <w:vAlign w:val="center"/>
          </w:tcPr>
          <w:p w14:paraId="4FB497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178F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78C6F1F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FE63D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048E35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45FE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1.1790</w:t>
            </w:r>
          </w:p>
        </w:tc>
        <w:tc>
          <w:tcPr>
            <w:tcW w:w="1134" w:type="dxa"/>
            <w:tcBorders>
              <w:top w:val="nil"/>
              <w:left w:val="nil"/>
              <w:bottom w:val="nil"/>
              <w:right w:val="nil"/>
            </w:tcBorders>
            <w:shd w:val="clear" w:color="auto" w:fill="FFFFFF"/>
            <w:tcMar>
              <w:left w:w="67" w:type="dxa"/>
              <w:right w:w="67" w:type="dxa"/>
            </w:tcMar>
            <w:vAlign w:val="center"/>
          </w:tcPr>
          <w:p w14:paraId="734197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0.4430</w:t>
            </w:r>
          </w:p>
        </w:tc>
        <w:tc>
          <w:tcPr>
            <w:tcW w:w="1134" w:type="dxa"/>
            <w:tcBorders>
              <w:top w:val="nil"/>
              <w:left w:val="nil"/>
              <w:bottom w:val="nil"/>
              <w:right w:val="nil"/>
            </w:tcBorders>
            <w:shd w:val="clear" w:color="auto" w:fill="FFFFFF"/>
            <w:tcMar>
              <w:left w:w="67" w:type="dxa"/>
              <w:right w:w="67" w:type="dxa"/>
            </w:tcMar>
            <w:vAlign w:val="center"/>
          </w:tcPr>
          <w:p w14:paraId="366832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3.2512</w:t>
            </w:r>
          </w:p>
        </w:tc>
        <w:tc>
          <w:tcPr>
            <w:tcW w:w="1134" w:type="dxa"/>
            <w:tcBorders>
              <w:top w:val="nil"/>
              <w:left w:val="nil"/>
              <w:bottom w:val="nil"/>
              <w:right w:val="nil"/>
            </w:tcBorders>
            <w:shd w:val="clear" w:color="auto" w:fill="FFFFFF"/>
            <w:tcMar>
              <w:left w:w="67" w:type="dxa"/>
              <w:right w:w="67" w:type="dxa"/>
            </w:tcMar>
            <w:vAlign w:val="center"/>
          </w:tcPr>
          <w:p w14:paraId="5667A7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1.2044</w:t>
            </w:r>
          </w:p>
        </w:tc>
        <w:tc>
          <w:tcPr>
            <w:tcW w:w="1134" w:type="dxa"/>
            <w:tcBorders>
              <w:top w:val="nil"/>
              <w:left w:val="nil"/>
              <w:bottom w:val="nil"/>
              <w:right w:val="nil"/>
            </w:tcBorders>
            <w:shd w:val="clear" w:color="auto" w:fill="FFFFFF"/>
            <w:tcMar>
              <w:left w:w="67" w:type="dxa"/>
              <w:right w:w="67" w:type="dxa"/>
            </w:tcMar>
            <w:vAlign w:val="center"/>
          </w:tcPr>
          <w:p w14:paraId="618581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8.7760</w:t>
            </w:r>
          </w:p>
        </w:tc>
        <w:tc>
          <w:tcPr>
            <w:tcW w:w="1134" w:type="dxa"/>
            <w:tcBorders>
              <w:top w:val="nil"/>
              <w:left w:val="nil"/>
              <w:bottom w:val="nil"/>
              <w:right w:val="nil"/>
            </w:tcBorders>
            <w:shd w:val="clear" w:color="auto" w:fill="FFFFFF"/>
            <w:tcMar>
              <w:left w:w="67" w:type="dxa"/>
              <w:right w:w="67" w:type="dxa"/>
            </w:tcMar>
            <w:vAlign w:val="center"/>
          </w:tcPr>
          <w:p w14:paraId="59CF8E1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A8C204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CBEA4D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089FA3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33EA35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50C58F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BE67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0.2729</w:t>
            </w:r>
          </w:p>
        </w:tc>
        <w:tc>
          <w:tcPr>
            <w:tcW w:w="1134" w:type="dxa"/>
            <w:tcBorders>
              <w:top w:val="nil"/>
              <w:left w:val="nil"/>
              <w:bottom w:val="nil"/>
              <w:right w:val="nil"/>
            </w:tcBorders>
            <w:shd w:val="clear" w:color="auto" w:fill="FFFFFF"/>
            <w:tcMar>
              <w:left w:w="67" w:type="dxa"/>
              <w:right w:w="67" w:type="dxa"/>
            </w:tcMar>
            <w:vAlign w:val="center"/>
          </w:tcPr>
          <w:p w14:paraId="44828F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0.3234</w:t>
            </w:r>
          </w:p>
        </w:tc>
        <w:tc>
          <w:tcPr>
            <w:tcW w:w="1134" w:type="dxa"/>
            <w:tcBorders>
              <w:top w:val="nil"/>
              <w:left w:val="nil"/>
              <w:bottom w:val="nil"/>
              <w:right w:val="nil"/>
            </w:tcBorders>
            <w:shd w:val="clear" w:color="auto" w:fill="FFFFFF"/>
            <w:tcMar>
              <w:left w:w="67" w:type="dxa"/>
              <w:right w:w="67" w:type="dxa"/>
            </w:tcMar>
            <w:vAlign w:val="center"/>
          </w:tcPr>
          <w:p w14:paraId="5FCF5C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1.3137</w:t>
            </w:r>
          </w:p>
        </w:tc>
        <w:tc>
          <w:tcPr>
            <w:tcW w:w="1134" w:type="dxa"/>
            <w:tcBorders>
              <w:top w:val="nil"/>
              <w:left w:val="nil"/>
              <w:bottom w:val="nil"/>
              <w:right w:val="nil"/>
            </w:tcBorders>
            <w:shd w:val="clear" w:color="auto" w:fill="FFFFFF"/>
            <w:tcMar>
              <w:left w:w="67" w:type="dxa"/>
              <w:right w:w="67" w:type="dxa"/>
            </w:tcMar>
            <w:vAlign w:val="center"/>
          </w:tcPr>
          <w:p w14:paraId="311F8D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0.6363</w:t>
            </w:r>
          </w:p>
        </w:tc>
        <w:tc>
          <w:tcPr>
            <w:tcW w:w="1134" w:type="dxa"/>
            <w:tcBorders>
              <w:top w:val="nil"/>
              <w:left w:val="nil"/>
              <w:bottom w:val="nil"/>
              <w:right w:val="nil"/>
            </w:tcBorders>
            <w:shd w:val="clear" w:color="auto" w:fill="FFFFFF"/>
            <w:tcMar>
              <w:left w:w="67" w:type="dxa"/>
              <w:right w:w="67" w:type="dxa"/>
            </w:tcMar>
            <w:vAlign w:val="center"/>
          </w:tcPr>
          <w:p w14:paraId="228286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2.7124</w:t>
            </w:r>
          </w:p>
        </w:tc>
        <w:tc>
          <w:tcPr>
            <w:tcW w:w="1134" w:type="dxa"/>
            <w:tcBorders>
              <w:top w:val="nil"/>
              <w:left w:val="nil"/>
              <w:bottom w:val="nil"/>
              <w:right w:val="nil"/>
            </w:tcBorders>
            <w:shd w:val="clear" w:color="auto" w:fill="FFFFFF"/>
            <w:tcMar>
              <w:left w:w="67" w:type="dxa"/>
              <w:right w:w="67" w:type="dxa"/>
            </w:tcMar>
            <w:vAlign w:val="center"/>
          </w:tcPr>
          <w:p w14:paraId="046974D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CB4AB9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274B8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F0441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5137A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ED188B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777B0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-0.1450</w:t>
            </w:r>
          </w:p>
        </w:tc>
        <w:tc>
          <w:tcPr>
            <w:tcW w:w="1134" w:type="dxa"/>
            <w:tcBorders>
              <w:top w:val="nil"/>
              <w:left w:val="nil"/>
              <w:bottom w:val="nil"/>
              <w:right w:val="nil"/>
            </w:tcBorders>
            <w:shd w:val="clear" w:color="auto" w:fill="FFFFFF"/>
            <w:tcMar>
              <w:left w:w="67" w:type="dxa"/>
              <w:right w:w="67" w:type="dxa"/>
            </w:tcMar>
            <w:vAlign w:val="center"/>
          </w:tcPr>
          <w:p w14:paraId="35CD13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0.4477</w:t>
            </w:r>
          </w:p>
        </w:tc>
        <w:tc>
          <w:tcPr>
            <w:tcW w:w="1134" w:type="dxa"/>
            <w:tcBorders>
              <w:top w:val="nil"/>
              <w:left w:val="nil"/>
              <w:bottom w:val="nil"/>
              <w:right w:val="nil"/>
            </w:tcBorders>
            <w:shd w:val="clear" w:color="auto" w:fill="FFFFFF"/>
            <w:tcMar>
              <w:left w:w="67" w:type="dxa"/>
              <w:right w:w="67" w:type="dxa"/>
            </w:tcMar>
            <w:vAlign w:val="center"/>
          </w:tcPr>
          <w:p w14:paraId="175FD3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0.8651</w:t>
            </w:r>
          </w:p>
        </w:tc>
        <w:tc>
          <w:tcPr>
            <w:tcW w:w="1134" w:type="dxa"/>
            <w:tcBorders>
              <w:top w:val="nil"/>
              <w:left w:val="nil"/>
              <w:bottom w:val="nil"/>
              <w:right w:val="nil"/>
            </w:tcBorders>
            <w:shd w:val="clear" w:color="auto" w:fill="FFFFFF"/>
            <w:tcMar>
              <w:left w:w="67" w:type="dxa"/>
              <w:right w:w="67" w:type="dxa"/>
            </w:tcMar>
            <w:vAlign w:val="center"/>
          </w:tcPr>
          <w:p w14:paraId="524E2F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0.3171</w:t>
            </w:r>
          </w:p>
        </w:tc>
        <w:tc>
          <w:tcPr>
            <w:tcW w:w="1134" w:type="dxa"/>
            <w:tcBorders>
              <w:top w:val="nil"/>
              <w:left w:val="nil"/>
              <w:bottom w:val="nil"/>
              <w:right w:val="nil"/>
            </w:tcBorders>
            <w:shd w:val="clear" w:color="auto" w:fill="FFFFFF"/>
            <w:tcMar>
              <w:left w:w="67" w:type="dxa"/>
              <w:right w:w="67" w:type="dxa"/>
            </w:tcMar>
            <w:vAlign w:val="center"/>
          </w:tcPr>
          <w:p w14:paraId="1C73BB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2.3599</w:t>
            </w:r>
          </w:p>
        </w:tc>
        <w:tc>
          <w:tcPr>
            <w:tcW w:w="1134" w:type="dxa"/>
            <w:tcBorders>
              <w:top w:val="nil"/>
              <w:left w:val="nil"/>
              <w:bottom w:val="nil"/>
              <w:right w:val="nil"/>
            </w:tcBorders>
            <w:shd w:val="clear" w:color="auto" w:fill="FFFFFF"/>
            <w:tcMar>
              <w:left w:w="67" w:type="dxa"/>
              <w:right w:w="67" w:type="dxa"/>
            </w:tcMar>
            <w:vAlign w:val="center"/>
          </w:tcPr>
          <w:p w14:paraId="1EE9BFF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75C37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8D78AB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843802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F715BD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ADCD1D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46A3E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-0.0973</w:t>
            </w:r>
          </w:p>
        </w:tc>
        <w:tc>
          <w:tcPr>
            <w:tcW w:w="1134" w:type="dxa"/>
            <w:tcBorders>
              <w:top w:val="nil"/>
              <w:left w:val="nil"/>
              <w:bottom w:val="nil"/>
              <w:right w:val="nil"/>
            </w:tcBorders>
            <w:shd w:val="clear" w:color="auto" w:fill="FFFFFF"/>
            <w:tcMar>
              <w:left w:w="67" w:type="dxa"/>
              <w:right w:w="67" w:type="dxa"/>
            </w:tcMar>
            <w:vAlign w:val="center"/>
          </w:tcPr>
          <w:p w14:paraId="6AE228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0.4386</w:t>
            </w:r>
          </w:p>
        </w:tc>
        <w:tc>
          <w:tcPr>
            <w:tcW w:w="1134" w:type="dxa"/>
            <w:tcBorders>
              <w:top w:val="nil"/>
              <w:left w:val="nil"/>
              <w:bottom w:val="nil"/>
              <w:right w:val="nil"/>
            </w:tcBorders>
            <w:shd w:val="clear" w:color="auto" w:fill="FFFFFF"/>
            <w:tcMar>
              <w:left w:w="67" w:type="dxa"/>
              <w:right w:w="67" w:type="dxa"/>
            </w:tcMar>
            <w:vAlign w:val="center"/>
          </w:tcPr>
          <w:p w14:paraId="013063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0.9073</w:t>
            </w:r>
          </w:p>
        </w:tc>
        <w:tc>
          <w:tcPr>
            <w:tcW w:w="1134" w:type="dxa"/>
            <w:tcBorders>
              <w:top w:val="nil"/>
              <w:left w:val="nil"/>
              <w:bottom w:val="nil"/>
              <w:right w:val="nil"/>
            </w:tcBorders>
            <w:shd w:val="clear" w:color="auto" w:fill="FFFFFF"/>
            <w:tcMar>
              <w:left w:w="67" w:type="dxa"/>
              <w:right w:w="67" w:type="dxa"/>
            </w:tcMar>
            <w:vAlign w:val="center"/>
          </w:tcPr>
          <w:p w14:paraId="3877E6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0.3394</w:t>
            </w:r>
          </w:p>
        </w:tc>
        <w:tc>
          <w:tcPr>
            <w:tcW w:w="1134" w:type="dxa"/>
            <w:tcBorders>
              <w:top w:val="nil"/>
              <w:left w:val="nil"/>
              <w:bottom w:val="nil"/>
              <w:right w:val="nil"/>
            </w:tcBorders>
            <w:shd w:val="clear" w:color="auto" w:fill="FFFFFF"/>
            <w:tcMar>
              <w:left w:w="67" w:type="dxa"/>
              <w:right w:w="67" w:type="dxa"/>
            </w:tcMar>
            <w:vAlign w:val="center"/>
          </w:tcPr>
          <w:p w14:paraId="6AE017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2.4253</w:t>
            </w:r>
          </w:p>
        </w:tc>
        <w:tc>
          <w:tcPr>
            <w:tcW w:w="1134" w:type="dxa"/>
            <w:tcBorders>
              <w:top w:val="nil"/>
              <w:left w:val="nil"/>
              <w:bottom w:val="nil"/>
              <w:right w:val="nil"/>
            </w:tcBorders>
            <w:shd w:val="clear" w:color="auto" w:fill="FFFFFF"/>
            <w:tcMar>
              <w:left w:w="67" w:type="dxa"/>
              <w:right w:w="67" w:type="dxa"/>
            </w:tcMar>
            <w:vAlign w:val="center"/>
          </w:tcPr>
          <w:p w14:paraId="31E5364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160B04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57E6F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BCC5FC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97E80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AE280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A4308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-0.5164</w:t>
            </w:r>
          </w:p>
        </w:tc>
        <w:tc>
          <w:tcPr>
            <w:tcW w:w="1134" w:type="dxa"/>
            <w:tcBorders>
              <w:top w:val="nil"/>
              <w:left w:val="nil"/>
              <w:bottom w:val="nil"/>
              <w:right w:val="nil"/>
            </w:tcBorders>
            <w:shd w:val="clear" w:color="auto" w:fill="FFFFFF"/>
            <w:tcMar>
              <w:left w:w="67" w:type="dxa"/>
              <w:right w:w="67" w:type="dxa"/>
            </w:tcMar>
            <w:vAlign w:val="center"/>
          </w:tcPr>
          <w:p w14:paraId="78A48D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0.4558</w:t>
            </w:r>
          </w:p>
        </w:tc>
        <w:tc>
          <w:tcPr>
            <w:tcW w:w="1134" w:type="dxa"/>
            <w:tcBorders>
              <w:top w:val="nil"/>
              <w:left w:val="nil"/>
              <w:bottom w:val="nil"/>
              <w:right w:val="nil"/>
            </w:tcBorders>
            <w:shd w:val="clear" w:color="auto" w:fill="FFFFFF"/>
            <w:tcMar>
              <w:left w:w="67" w:type="dxa"/>
              <w:right w:w="67" w:type="dxa"/>
            </w:tcMar>
            <w:vAlign w:val="center"/>
          </w:tcPr>
          <w:p w14:paraId="5BDB56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0.5967</w:t>
            </w:r>
          </w:p>
        </w:tc>
        <w:tc>
          <w:tcPr>
            <w:tcW w:w="1134" w:type="dxa"/>
            <w:tcBorders>
              <w:top w:val="nil"/>
              <w:left w:val="nil"/>
              <w:bottom w:val="nil"/>
              <w:right w:val="nil"/>
            </w:tcBorders>
            <w:shd w:val="clear" w:color="auto" w:fill="FFFFFF"/>
            <w:tcMar>
              <w:left w:w="67" w:type="dxa"/>
              <w:right w:w="67" w:type="dxa"/>
            </w:tcMar>
            <w:vAlign w:val="center"/>
          </w:tcPr>
          <w:p w14:paraId="08A377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0.2148</w:t>
            </w:r>
          </w:p>
        </w:tc>
        <w:tc>
          <w:tcPr>
            <w:tcW w:w="1134" w:type="dxa"/>
            <w:tcBorders>
              <w:top w:val="nil"/>
              <w:left w:val="nil"/>
              <w:bottom w:val="nil"/>
              <w:right w:val="nil"/>
            </w:tcBorders>
            <w:shd w:val="clear" w:color="auto" w:fill="FFFFFF"/>
            <w:tcMar>
              <w:left w:w="67" w:type="dxa"/>
              <w:right w:w="67" w:type="dxa"/>
            </w:tcMar>
            <w:vAlign w:val="center"/>
          </w:tcPr>
          <w:p w14:paraId="023C9C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1.6574</w:t>
            </w:r>
          </w:p>
        </w:tc>
        <w:tc>
          <w:tcPr>
            <w:tcW w:w="1134" w:type="dxa"/>
            <w:tcBorders>
              <w:top w:val="nil"/>
              <w:left w:val="nil"/>
              <w:bottom w:val="nil"/>
              <w:right w:val="nil"/>
            </w:tcBorders>
            <w:shd w:val="clear" w:color="auto" w:fill="FFFFFF"/>
            <w:tcMar>
              <w:left w:w="67" w:type="dxa"/>
              <w:right w:w="67" w:type="dxa"/>
            </w:tcMar>
            <w:vAlign w:val="center"/>
          </w:tcPr>
          <w:p w14:paraId="6A3F9B4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5359A9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79480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4EFCA2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84049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B16C9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29F1B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-0.1319</w:t>
            </w:r>
          </w:p>
        </w:tc>
        <w:tc>
          <w:tcPr>
            <w:tcW w:w="1134" w:type="dxa"/>
            <w:tcBorders>
              <w:top w:val="nil"/>
              <w:left w:val="nil"/>
              <w:bottom w:val="nil"/>
              <w:right w:val="nil"/>
            </w:tcBorders>
            <w:shd w:val="clear" w:color="auto" w:fill="FFFFFF"/>
            <w:tcMar>
              <w:left w:w="67" w:type="dxa"/>
              <w:right w:w="67" w:type="dxa"/>
            </w:tcMar>
            <w:vAlign w:val="center"/>
          </w:tcPr>
          <w:p w14:paraId="1CDE49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0.3809</w:t>
            </w:r>
          </w:p>
        </w:tc>
        <w:tc>
          <w:tcPr>
            <w:tcW w:w="1134" w:type="dxa"/>
            <w:tcBorders>
              <w:top w:val="nil"/>
              <w:left w:val="nil"/>
              <w:bottom w:val="nil"/>
              <w:right w:val="nil"/>
            </w:tcBorders>
            <w:shd w:val="clear" w:color="auto" w:fill="FFFFFF"/>
            <w:tcMar>
              <w:left w:w="67" w:type="dxa"/>
              <w:right w:w="67" w:type="dxa"/>
            </w:tcMar>
            <w:vAlign w:val="center"/>
          </w:tcPr>
          <w:p w14:paraId="16A709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0.8765</w:t>
            </w:r>
          </w:p>
        </w:tc>
        <w:tc>
          <w:tcPr>
            <w:tcW w:w="1134" w:type="dxa"/>
            <w:tcBorders>
              <w:top w:val="nil"/>
              <w:left w:val="nil"/>
              <w:bottom w:val="nil"/>
              <w:right w:val="nil"/>
            </w:tcBorders>
            <w:shd w:val="clear" w:color="auto" w:fill="FFFFFF"/>
            <w:tcMar>
              <w:left w:w="67" w:type="dxa"/>
              <w:right w:w="67" w:type="dxa"/>
            </w:tcMar>
            <w:vAlign w:val="center"/>
          </w:tcPr>
          <w:p w14:paraId="2122FB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0.3732</w:t>
            </w:r>
          </w:p>
        </w:tc>
        <w:tc>
          <w:tcPr>
            <w:tcW w:w="1134" w:type="dxa"/>
            <w:tcBorders>
              <w:top w:val="nil"/>
              <w:left w:val="nil"/>
              <w:bottom w:val="nil"/>
              <w:right w:val="nil"/>
            </w:tcBorders>
            <w:shd w:val="clear" w:color="auto" w:fill="FFFFFF"/>
            <w:tcMar>
              <w:left w:w="67" w:type="dxa"/>
              <w:right w:w="67" w:type="dxa"/>
            </w:tcMar>
            <w:vAlign w:val="center"/>
          </w:tcPr>
          <w:p w14:paraId="561F5B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2.0585</w:t>
            </w:r>
          </w:p>
        </w:tc>
        <w:tc>
          <w:tcPr>
            <w:tcW w:w="1134" w:type="dxa"/>
            <w:tcBorders>
              <w:top w:val="nil"/>
              <w:left w:val="nil"/>
              <w:bottom w:val="nil"/>
              <w:right w:val="nil"/>
            </w:tcBorders>
            <w:shd w:val="clear" w:color="auto" w:fill="FFFFFF"/>
            <w:tcMar>
              <w:left w:w="67" w:type="dxa"/>
              <w:right w:w="67" w:type="dxa"/>
            </w:tcMar>
            <w:vAlign w:val="center"/>
          </w:tcPr>
          <w:p w14:paraId="0BF3A9D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DC804A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669F0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349C0B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E2A0DC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5EA70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3B03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-0.3701</w:t>
            </w:r>
          </w:p>
        </w:tc>
        <w:tc>
          <w:tcPr>
            <w:tcW w:w="1134" w:type="dxa"/>
            <w:tcBorders>
              <w:top w:val="nil"/>
              <w:left w:val="nil"/>
              <w:bottom w:val="nil"/>
              <w:right w:val="nil"/>
            </w:tcBorders>
            <w:shd w:val="clear" w:color="auto" w:fill="FFFFFF"/>
            <w:tcMar>
              <w:left w:w="67" w:type="dxa"/>
              <w:right w:w="67" w:type="dxa"/>
            </w:tcMar>
            <w:vAlign w:val="center"/>
          </w:tcPr>
          <w:p w14:paraId="72F969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0.4290</w:t>
            </w:r>
          </w:p>
        </w:tc>
        <w:tc>
          <w:tcPr>
            <w:tcW w:w="1134" w:type="dxa"/>
            <w:tcBorders>
              <w:top w:val="nil"/>
              <w:left w:val="nil"/>
              <w:bottom w:val="nil"/>
              <w:right w:val="nil"/>
            </w:tcBorders>
            <w:shd w:val="clear" w:color="auto" w:fill="FFFFFF"/>
            <w:tcMar>
              <w:left w:w="67" w:type="dxa"/>
              <w:right w:w="67" w:type="dxa"/>
            </w:tcMar>
            <w:vAlign w:val="center"/>
          </w:tcPr>
          <w:p w14:paraId="6558C6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0.6907</w:t>
            </w:r>
          </w:p>
        </w:tc>
        <w:tc>
          <w:tcPr>
            <w:tcW w:w="1134" w:type="dxa"/>
            <w:tcBorders>
              <w:top w:val="nil"/>
              <w:left w:val="nil"/>
              <w:bottom w:val="nil"/>
              <w:right w:val="nil"/>
            </w:tcBorders>
            <w:shd w:val="clear" w:color="auto" w:fill="FFFFFF"/>
            <w:tcMar>
              <w:left w:w="67" w:type="dxa"/>
              <w:right w:w="67" w:type="dxa"/>
            </w:tcMar>
            <w:vAlign w:val="center"/>
          </w:tcPr>
          <w:p w14:paraId="19C8E5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0.2640</w:t>
            </w:r>
          </w:p>
        </w:tc>
        <w:tc>
          <w:tcPr>
            <w:tcW w:w="1134" w:type="dxa"/>
            <w:tcBorders>
              <w:top w:val="nil"/>
              <w:left w:val="nil"/>
              <w:bottom w:val="nil"/>
              <w:right w:val="nil"/>
            </w:tcBorders>
            <w:shd w:val="clear" w:color="auto" w:fill="FFFFFF"/>
            <w:tcMar>
              <w:left w:w="67" w:type="dxa"/>
              <w:right w:w="67" w:type="dxa"/>
            </w:tcMar>
            <w:vAlign w:val="center"/>
          </w:tcPr>
          <w:p w14:paraId="4B0CF5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1.8067</w:t>
            </w:r>
          </w:p>
        </w:tc>
        <w:tc>
          <w:tcPr>
            <w:tcW w:w="1134" w:type="dxa"/>
            <w:tcBorders>
              <w:top w:val="nil"/>
              <w:left w:val="nil"/>
              <w:bottom w:val="nil"/>
              <w:right w:val="nil"/>
            </w:tcBorders>
            <w:shd w:val="clear" w:color="auto" w:fill="FFFFFF"/>
            <w:tcMar>
              <w:left w:w="67" w:type="dxa"/>
              <w:right w:w="67" w:type="dxa"/>
            </w:tcMar>
            <w:vAlign w:val="center"/>
          </w:tcPr>
          <w:p w14:paraId="4B379B6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F523CB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F071C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378F86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F7271F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48AD50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D1B49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-0.5597</w:t>
            </w:r>
          </w:p>
        </w:tc>
        <w:tc>
          <w:tcPr>
            <w:tcW w:w="1134" w:type="dxa"/>
            <w:tcBorders>
              <w:top w:val="nil"/>
              <w:left w:val="nil"/>
              <w:bottom w:val="nil"/>
              <w:right w:val="nil"/>
            </w:tcBorders>
            <w:shd w:val="clear" w:color="auto" w:fill="FFFFFF"/>
            <w:tcMar>
              <w:left w:w="67" w:type="dxa"/>
              <w:right w:w="67" w:type="dxa"/>
            </w:tcMar>
            <w:vAlign w:val="center"/>
          </w:tcPr>
          <w:p w14:paraId="3AED28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0.3988</w:t>
            </w:r>
          </w:p>
        </w:tc>
        <w:tc>
          <w:tcPr>
            <w:tcW w:w="1134" w:type="dxa"/>
            <w:tcBorders>
              <w:top w:val="nil"/>
              <w:left w:val="nil"/>
              <w:bottom w:val="nil"/>
              <w:right w:val="nil"/>
            </w:tcBorders>
            <w:shd w:val="clear" w:color="auto" w:fill="FFFFFF"/>
            <w:tcMar>
              <w:left w:w="67" w:type="dxa"/>
              <w:right w:w="67" w:type="dxa"/>
            </w:tcMar>
            <w:vAlign w:val="center"/>
          </w:tcPr>
          <w:p w14:paraId="372499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0.5714</w:t>
            </w:r>
          </w:p>
        </w:tc>
        <w:tc>
          <w:tcPr>
            <w:tcW w:w="1134" w:type="dxa"/>
            <w:tcBorders>
              <w:top w:val="nil"/>
              <w:left w:val="nil"/>
              <w:bottom w:val="nil"/>
              <w:right w:val="nil"/>
            </w:tcBorders>
            <w:shd w:val="clear" w:color="auto" w:fill="FFFFFF"/>
            <w:tcMar>
              <w:left w:w="67" w:type="dxa"/>
              <w:right w:w="67" w:type="dxa"/>
            </w:tcMar>
            <w:vAlign w:val="center"/>
          </w:tcPr>
          <w:p w14:paraId="121687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0.2337</w:t>
            </w:r>
          </w:p>
        </w:tc>
        <w:tc>
          <w:tcPr>
            <w:tcW w:w="1134" w:type="dxa"/>
            <w:tcBorders>
              <w:top w:val="nil"/>
              <w:left w:val="nil"/>
              <w:bottom w:val="nil"/>
              <w:right w:val="nil"/>
            </w:tcBorders>
            <w:shd w:val="clear" w:color="auto" w:fill="FFFFFF"/>
            <w:tcMar>
              <w:left w:w="67" w:type="dxa"/>
              <w:right w:w="67" w:type="dxa"/>
            </w:tcMar>
            <w:vAlign w:val="center"/>
          </w:tcPr>
          <w:p w14:paraId="054DC6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1.3970</w:t>
            </w:r>
          </w:p>
        </w:tc>
        <w:tc>
          <w:tcPr>
            <w:tcW w:w="1134" w:type="dxa"/>
            <w:tcBorders>
              <w:top w:val="nil"/>
              <w:left w:val="nil"/>
              <w:bottom w:val="nil"/>
              <w:right w:val="nil"/>
            </w:tcBorders>
            <w:shd w:val="clear" w:color="auto" w:fill="FFFFFF"/>
            <w:tcMar>
              <w:left w:w="67" w:type="dxa"/>
              <w:right w:w="67" w:type="dxa"/>
            </w:tcMar>
            <w:vAlign w:val="center"/>
          </w:tcPr>
          <w:p w14:paraId="13D3A2A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91365E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3990E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8D0C1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2DDBB38"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F64113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CF605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-0.0055</w:t>
            </w:r>
          </w:p>
        </w:tc>
        <w:tc>
          <w:tcPr>
            <w:tcW w:w="1134" w:type="dxa"/>
            <w:tcBorders>
              <w:top w:val="nil"/>
              <w:left w:val="nil"/>
              <w:bottom w:val="nil"/>
              <w:right w:val="nil"/>
            </w:tcBorders>
            <w:shd w:val="clear" w:color="auto" w:fill="FFFFFF"/>
            <w:tcMar>
              <w:left w:w="67" w:type="dxa"/>
              <w:right w:w="67" w:type="dxa"/>
            </w:tcMar>
            <w:vAlign w:val="center"/>
          </w:tcPr>
          <w:p w14:paraId="755070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0.0217</w:t>
            </w:r>
          </w:p>
        </w:tc>
        <w:tc>
          <w:tcPr>
            <w:tcW w:w="1134" w:type="dxa"/>
            <w:tcBorders>
              <w:top w:val="nil"/>
              <w:left w:val="nil"/>
              <w:bottom w:val="nil"/>
              <w:right w:val="nil"/>
            </w:tcBorders>
            <w:shd w:val="clear" w:color="auto" w:fill="FFFFFF"/>
            <w:tcMar>
              <w:left w:w="67" w:type="dxa"/>
              <w:right w:w="67" w:type="dxa"/>
            </w:tcMar>
            <w:vAlign w:val="center"/>
          </w:tcPr>
          <w:p w14:paraId="29FAF9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0.9945</w:t>
            </w:r>
          </w:p>
        </w:tc>
        <w:tc>
          <w:tcPr>
            <w:tcW w:w="1134" w:type="dxa"/>
            <w:tcBorders>
              <w:top w:val="nil"/>
              <w:left w:val="nil"/>
              <w:bottom w:val="nil"/>
              <w:right w:val="nil"/>
            </w:tcBorders>
            <w:shd w:val="clear" w:color="auto" w:fill="FFFFFF"/>
            <w:tcMar>
              <w:left w:w="67" w:type="dxa"/>
              <w:right w:w="67" w:type="dxa"/>
            </w:tcMar>
            <w:vAlign w:val="center"/>
          </w:tcPr>
          <w:p w14:paraId="1C514E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0.9473</w:t>
            </w:r>
          </w:p>
        </w:tc>
        <w:tc>
          <w:tcPr>
            <w:tcW w:w="1134" w:type="dxa"/>
            <w:tcBorders>
              <w:top w:val="nil"/>
              <w:left w:val="nil"/>
              <w:bottom w:val="nil"/>
              <w:right w:val="nil"/>
            </w:tcBorders>
            <w:shd w:val="clear" w:color="auto" w:fill="FFFFFF"/>
            <w:tcMar>
              <w:left w:w="67" w:type="dxa"/>
              <w:right w:w="67" w:type="dxa"/>
            </w:tcMar>
            <w:vAlign w:val="center"/>
          </w:tcPr>
          <w:p w14:paraId="763DB1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1.0441</w:t>
            </w:r>
          </w:p>
        </w:tc>
        <w:tc>
          <w:tcPr>
            <w:tcW w:w="1134" w:type="dxa"/>
            <w:tcBorders>
              <w:top w:val="nil"/>
              <w:left w:val="nil"/>
              <w:bottom w:val="nil"/>
              <w:right w:val="nil"/>
            </w:tcBorders>
            <w:shd w:val="clear" w:color="auto" w:fill="FFFFFF"/>
            <w:tcMar>
              <w:left w:w="67" w:type="dxa"/>
              <w:right w:w="67" w:type="dxa"/>
            </w:tcMar>
            <w:vAlign w:val="center"/>
          </w:tcPr>
          <w:p w14:paraId="37C712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w:t>
            </w:r>
          </w:p>
        </w:tc>
        <w:tc>
          <w:tcPr>
            <w:tcW w:w="567" w:type="dxa"/>
            <w:tcBorders>
              <w:top w:val="nil"/>
              <w:left w:val="nil"/>
              <w:bottom w:val="nil"/>
              <w:right w:val="nil"/>
            </w:tcBorders>
            <w:shd w:val="clear" w:color="auto" w:fill="FFFFFF"/>
            <w:tcMar>
              <w:left w:w="67" w:type="dxa"/>
              <w:right w:w="67" w:type="dxa"/>
            </w:tcMar>
            <w:vAlign w:val="center"/>
          </w:tcPr>
          <w:p w14:paraId="6B0EBF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CABB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0.7995</w:t>
            </w:r>
          </w:p>
        </w:tc>
      </w:tr>
      <w:tr w:rsidR="00B77EA3" w:rsidRPr="0082484A" w14:paraId="69F4FC0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115D12E"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D06B11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4C4C8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0.0287</w:t>
            </w:r>
          </w:p>
        </w:tc>
        <w:tc>
          <w:tcPr>
            <w:tcW w:w="1134" w:type="dxa"/>
            <w:tcBorders>
              <w:top w:val="nil"/>
              <w:left w:val="nil"/>
              <w:bottom w:val="nil"/>
              <w:right w:val="nil"/>
            </w:tcBorders>
            <w:shd w:val="clear" w:color="auto" w:fill="FFFFFF"/>
            <w:tcMar>
              <w:left w:w="67" w:type="dxa"/>
              <w:right w:w="67" w:type="dxa"/>
            </w:tcMar>
            <w:vAlign w:val="center"/>
          </w:tcPr>
          <w:p w14:paraId="3C45F3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0.0135</w:t>
            </w:r>
          </w:p>
        </w:tc>
        <w:tc>
          <w:tcPr>
            <w:tcW w:w="1134" w:type="dxa"/>
            <w:tcBorders>
              <w:top w:val="nil"/>
              <w:left w:val="nil"/>
              <w:bottom w:val="nil"/>
              <w:right w:val="nil"/>
            </w:tcBorders>
            <w:shd w:val="clear" w:color="auto" w:fill="FFFFFF"/>
            <w:tcMar>
              <w:left w:w="67" w:type="dxa"/>
              <w:right w:w="67" w:type="dxa"/>
            </w:tcMar>
            <w:vAlign w:val="center"/>
          </w:tcPr>
          <w:p w14:paraId="629AEC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1.0291</w:t>
            </w:r>
          </w:p>
        </w:tc>
        <w:tc>
          <w:tcPr>
            <w:tcW w:w="1134" w:type="dxa"/>
            <w:tcBorders>
              <w:top w:val="nil"/>
              <w:left w:val="nil"/>
              <w:bottom w:val="nil"/>
              <w:right w:val="nil"/>
            </w:tcBorders>
            <w:shd w:val="clear" w:color="auto" w:fill="FFFFFF"/>
            <w:tcMar>
              <w:left w:w="67" w:type="dxa"/>
              <w:right w:w="67" w:type="dxa"/>
            </w:tcMar>
            <w:vAlign w:val="center"/>
          </w:tcPr>
          <w:p w14:paraId="6C6D38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0.9984</w:t>
            </w:r>
          </w:p>
        </w:tc>
        <w:tc>
          <w:tcPr>
            <w:tcW w:w="1134" w:type="dxa"/>
            <w:tcBorders>
              <w:top w:val="nil"/>
              <w:left w:val="nil"/>
              <w:bottom w:val="nil"/>
              <w:right w:val="nil"/>
            </w:tcBorders>
            <w:shd w:val="clear" w:color="auto" w:fill="FFFFFF"/>
            <w:tcMar>
              <w:left w:w="67" w:type="dxa"/>
              <w:right w:w="67" w:type="dxa"/>
            </w:tcMar>
            <w:vAlign w:val="center"/>
          </w:tcPr>
          <w:p w14:paraId="353013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1.0607</w:t>
            </w:r>
          </w:p>
        </w:tc>
        <w:tc>
          <w:tcPr>
            <w:tcW w:w="1134" w:type="dxa"/>
            <w:tcBorders>
              <w:top w:val="nil"/>
              <w:left w:val="nil"/>
              <w:bottom w:val="nil"/>
              <w:right w:val="nil"/>
            </w:tcBorders>
            <w:shd w:val="clear" w:color="auto" w:fill="FFFFFF"/>
            <w:tcMar>
              <w:left w:w="67" w:type="dxa"/>
              <w:right w:w="67" w:type="dxa"/>
            </w:tcMar>
            <w:vAlign w:val="center"/>
          </w:tcPr>
          <w:p w14:paraId="106934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4.50</w:t>
            </w:r>
          </w:p>
        </w:tc>
        <w:tc>
          <w:tcPr>
            <w:tcW w:w="567" w:type="dxa"/>
            <w:tcBorders>
              <w:top w:val="nil"/>
              <w:left w:val="nil"/>
              <w:bottom w:val="nil"/>
              <w:right w:val="nil"/>
            </w:tcBorders>
            <w:shd w:val="clear" w:color="auto" w:fill="FFFFFF"/>
            <w:tcMar>
              <w:left w:w="67" w:type="dxa"/>
              <w:right w:w="67" w:type="dxa"/>
            </w:tcMar>
            <w:vAlign w:val="center"/>
          </w:tcPr>
          <w:p w14:paraId="2F1876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887B9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0.0339</w:t>
            </w:r>
          </w:p>
        </w:tc>
      </w:tr>
      <w:tr w:rsidR="00B77EA3" w:rsidRPr="0082484A" w14:paraId="6AB8482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76BD6A"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44D6FE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9CB26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319B27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0.0034</w:t>
            </w:r>
          </w:p>
        </w:tc>
        <w:tc>
          <w:tcPr>
            <w:tcW w:w="1134" w:type="dxa"/>
            <w:tcBorders>
              <w:top w:val="nil"/>
              <w:left w:val="nil"/>
              <w:bottom w:val="nil"/>
              <w:right w:val="nil"/>
            </w:tcBorders>
            <w:shd w:val="clear" w:color="auto" w:fill="FFFFFF"/>
            <w:tcMar>
              <w:left w:w="67" w:type="dxa"/>
              <w:right w:w="67" w:type="dxa"/>
            </w:tcMar>
            <w:vAlign w:val="center"/>
          </w:tcPr>
          <w:p w14:paraId="2840EA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0.9999</w:t>
            </w:r>
          </w:p>
        </w:tc>
        <w:tc>
          <w:tcPr>
            <w:tcW w:w="1134" w:type="dxa"/>
            <w:tcBorders>
              <w:top w:val="nil"/>
              <w:left w:val="nil"/>
              <w:bottom w:val="nil"/>
              <w:right w:val="nil"/>
            </w:tcBorders>
            <w:shd w:val="clear" w:color="auto" w:fill="FFFFFF"/>
            <w:tcMar>
              <w:left w:w="67" w:type="dxa"/>
              <w:right w:w="67" w:type="dxa"/>
            </w:tcMar>
            <w:vAlign w:val="center"/>
          </w:tcPr>
          <w:p w14:paraId="5D817A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0.9923</w:t>
            </w:r>
          </w:p>
        </w:tc>
        <w:tc>
          <w:tcPr>
            <w:tcW w:w="1134" w:type="dxa"/>
            <w:tcBorders>
              <w:top w:val="nil"/>
              <w:left w:val="nil"/>
              <w:bottom w:val="nil"/>
              <w:right w:val="nil"/>
            </w:tcBorders>
            <w:shd w:val="clear" w:color="auto" w:fill="FFFFFF"/>
            <w:tcMar>
              <w:left w:w="67" w:type="dxa"/>
              <w:right w:w="67" w:type="dxa"/>
            </w:tcMar>
            <w:vAlign w:val="center"/>
          </w:tcPr>
          <w:p w14:paraId="4B40FE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1.0076</w:t>
            </w:r>
          </w:p>
        </w:tc>
        <w:tc>
          <w:tcPr>
            <w:tcW w:w="1134" w:type="dxa"/>
            <w:tcBorders>
              <w:top w:val="nil"/>
              <w:left w:val="nil"/>
              <w:bottom w:val="nil"/>
              <w:right w:val="nil"/>
            </w:tcBorders>
            <w:shd w:val="clear" w:color="auto" w:fill="FFFFFF"/>
            <w:tcMar>
              <w:left w:w="67" w:type="dxa"/>
              <w:right w:w="67" w:type="dxa"/>
            </w:tcMar>
            <w:vAlign w:val="center"/>
          </w:tcPr>
          <w:p w14:paraId="176513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BB232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562A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0.9757</w:t>
            </w:r>
          </w:p>
        </w:tc>
      </w:tr>
      <w:tr w:rsidR="00B77EA3" w:rsidRPr="0082484A" w14:paraId="1B26656A"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AB55D35"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AC58DF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7E378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CA5A0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9122F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0.8378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9B2E2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0.6572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E9640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1.0681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54471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DD357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FD78C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0.1024</w:t>
            </w:r>
          </w:p>
        </w:tc>
      </w:tr>
    </w:tbl>
    <w:p w14:paraId="2B0D4E2E"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have their smoking status recorded in the previous 12 months is 24</w:t>
      </w:r>
    </w:p>
    <w:p w14:paraId="387CF6CE" w14:textId="77777777" w:rsidR="00B77EA3" w:rsidRPr="0082484A" w:rsidRDefault="00B77EA3" w:rsidP="00B77EA3">
      <w:pPr>
        <w:spacing w:before="0" w:after="160" w:line="259" w:lineRule="auto"/>
        <w:rPr>
          <w:sz w:val="22"/>
          <w:szCs w:val="22"/>
        </w:rPr>
      </w:pPr>
      <w:r w:rsidRPr="0082484A">
        <w:rPr>
          <w:sz w:val="22"/>
          <w:szCs w:val="22"/>
        </w:rPr>
        <w:br w:type="page"/>
      </w:r>
    </w:p>
    <w:p w14:paraId="2D150A3D" w14:textId="71A248EA" w:rsidR="00B77EA3" w:rsidRPr="0082484A" w:rsidRDefault="00B77EA3" w:rsidP="00B77EA3">
      <w:pPr>
        <w:spacing w:before="0" w:line="240" w:lineRule="auto"/>
        <w:rPr>
          <w:bCs/>
          <w:sz w:val="22"/>
          <w:szCs w:val="22"/>
        </w:rPr>
      </w:pPr>
      <w:bookmarkStart w:id="96" w:name="_Ref502917792"/>
      <w:bookmarkStart w:id="97" w:name="_Toc8728099"/>
      <w:bookmarkStart w:id="98" w:name="_Toc19526754"/>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25</w:t>
      </w:r>
      <w:r w:rsidRPr="0082484A">
        <w:rPr>
          <w:bCs/>
          <w:noProof/>
          <w:sz w:val="22"/>
          <w:szCs w:val="22"/>
        </w:rPr>
        <w:fldChar w:fldCharType="end"/>
      </w:r>
      <w:bookmarkEnd w:id="96"/>
      <w:r w:rsidRPr="0082484A">
        <w:rPr>
          <w:bCs/>
          <w:sz w:val="22"/>
          <w:szCs w:val="22"/>
        </w:rPr>
        <w:t>: Secondary outcome for Trial 1: The proportion of patients with Type 2 diabetes receiving all recommended processes of care in the previous 12 months (WP4A)</w:t>
      </w:r>
      <w:r w:rsidRPr="0082484A">
        <w:rPr>
          <w:bCs/>
          <w:sz w:val="22"/>
          <w:szCs w:val="22"/>
          <w:vertAlign w:val="superscript"/>
        </w:rPr>
        <w:t xml:space="preserve"> a</w:t>
      </w:r>
      <w:bookmarkEnd w:id="97"/>
      <w:bookmarkEnd w:id="98"/>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304B2CF9"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B3691FD" w14:textId="77777777" w:rsidR="00B77EA3" w:rsidRPr="0082484A" w:rsidRDefault="00B77EA3" w:rsidP="00B77EA3">
            <w:pPr>
              <w:spacing w:beforeLines="10" w:before="24" w:afterLines="10" w:after="24" w:line="240" w:lineRule="auto"/>
              <w:rPr>
                <w:bCs/>
                <w:sz w:val="22"/>
                <w:szCs w:val="22"/>
              </w:rPr>
            </w:pPr>
            <w:bookmarkStart w:id="99" w:name="IDX219"/>
            <w:bookmarkEnd w:id="99"/>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78B69DC"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A68D35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27FC5B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ACF9CB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BB358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00625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CA751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4FA84A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9C0460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05356C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F09094C"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28B6955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F8BA6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0.2313</w:t>
            </w:r>
          </w:p>
        </w:tc>
        <w:tc>
          <w:tcPr>
            <w:tcW w:w="1134" w:type="dxa"/>
            <w:tcBorders>
              <w:top w:val="nil"/>
              <w:left w:val="nil"/>
              <w:bottom w:val="nil"/>
              <w:right w:val="nil"/>
            </w:tcBorders>
            <w:shd w:val="clear" w:color="auto" w:fill="FFFFFF"/>
            <w:tcMar>
              <w:left w:w="67" w:type="dxa"/>
              <w:right w:w="67" w:type="dxa"/>
            </w:tcMar>
            <w:vAlign w:val="center"/>
          </w:tcPr>
          <w:p w14:paraId="2B8D1C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0.1679</w:t>
            </w:r>
          </w:p>
        </w:tc>
        <w:tc>
          <w:tcPr>
            <w:tcW w:w="1134" w:type="dxa"/>
            <w:tcBorders>
              <w:top w:val="nil"/>
              <w:left w:val="nil"/>
              <w:bottom w:val="nil"/>
              <w:right w:val="nil"/>
            </w:tcBorders>
            <w:shd w:val="clear" w:color="auto" w:fill="FFFFFF"/>
            <w:tcMar>
              <w:left w:w="67" w:type="dxa"/>
              <w:right w:w="67" w:type="dxa"/>
            </w:tcMar>
            <w:vAlign w:val="center"/>
          </w:tcPr>
          <w:p w14:paraId="5F8F93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1.2603</w:t>
            </w:r>
          </w:p>
        </w:tc>
        <w:tc>
          <w:tcPr>
            <w:tcW w:w="1134" w:type="dxa"/>
            <w:tcBorders>
              <w:top w:val="nil"/>
              <w:left w:val="nil"/>
              <w:bottom w:val="nil"/>
              <w:right w:val="nil"/>
            </w:tcBorders>
            <w:shd w:val="clear" w:color="auto" w:fill="FFFFFF"/>
            <w:tcMar>
              <w:left w:w="67" w:type="dxa"/>
              <w:right w:w="67" w:type="dxa"/>
            </w:tcMar>
            <w:vAlign w:val="center"/>
          </w:tcPr>
          <w:p w14:paraId="2207F4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0.8651</w:t>
            </w:r>
          </w:p>
        </w:tc>
        <w:tc>
          <w:tcPr>
            <w:tcW w:w="1134" w:type="dxa"/>
            <w:tcBorders>
              <w:top w:val="nil"/>
              <w:left w:val="nil"/>
              <w:bottom w:val="nil"/>
              <w:right w:val="nil"/>
            </w:tcBorders>
            <w:shd w:val="clear" w:color="auto" w:fill="FFFFFF"/>
            <w:tcMar>
              <w:left w:w="67" w:type="dxa"/>
              <w:right w:w="67" w:type="dxa"/>
            </w:tcMar>
            <w:vAlign w:val="center"/>
          </w:tcPr>
          <w:p w14:paraId="263973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1.8360</w:t>
            </w:r>
          </w:p>
        </w:tc>
        <w:tc>
          <w:tcPr>
            <w:tcW w:w="1134" w:type="dxa"/>
            <w:tcBorders>
              <w:top w:val="nil"/>
              <w:left w:val="nil"/>
              <w:bottom w:val="nil"/>
              <w:right w:val="nil"/>
            </w:tcBorders>
            <w:shd w:val="clear" w:color="auto" w:fill="FFFFFF"/>
            <w:tcMar>
              <w:left w:w="67" w:type="dxa"/>
              <w:right w:w="67" w:type="dxa"/>
            </w:tcMar>
            <w:vAlign w:val="center"/>
          </w:tcPr>
          <w:p w14:paraId="051BAC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1.90</w:t>
            </w:r>
          </w:p>
        </w:tc>
        <w:tc>
          <w:tcPr>
            <w:tcW w:w="567" w:type="dxa"/>
            <w:tcBorders>
              <w:top w:val="nil"/>
              <w:left w:val="nil"/>
              <w:bottom w:val="nil"/>
              <w:right w:val="nil"/>
            </w:tcBorders>
            <w:shd w:val="clear" w:color="auto" w:fill="FFFFFF"/>
            <w:tcMar>
              <w:left w:w="67" w:type="dxa"/>
              <w:right w:w="67" w:type="dxa"/>
            </w:tcMar>
            <w:vAlign w:val="center"/>
          </w:tcPr>
          <w:p w14:paraId="11B96D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B74E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0.1682</w:t>
            </w:r>
          </w:p>
        </w:tc>
      </w:tr>
      <w:tr w:rsidR="00B77EA3" w:rsidRPr="0082484A" w14:paraId="06DB722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8353F79"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0DD0F8B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24E29D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-0.2700</w:t>
            </w:r>
          </w:p>
        </w:tc>
        <w:tc>
          <w:tcPr>
            <w:tcW w:w="1134" w:type="dxa"/>
            <w:tcBorders>
              <w:top w:val="nil"/>
              <w:left w:val="nil"/>
              <w:bottom w:val="nil"/>
              <w:right w:val="nil"/>
            </w:tcBorders>
            <w:shd w:val="clear" w:color="auto" w:fill="FFFFFF"/>
            <w:tcMar>
              <w:left w:w="67" w:type="dxa"/>
              <w:right w:w="67" w:type="dxa"/>
            </w:tcMar>
            <w:vAlign w:val="center"/>
          </w:tcPr>
          <w:p w14:paraId="24AF35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0.0252</w:t>
            </w:r>
          </w:p>
        </w:tc>
        <w:tc>
          <w:tcPr>
            <w:tcW w:w="1134" w:type="dxa"/>
            <w:tcBorders>
              <w:top w:val="nil"/>
              <w:left w:val="nil"/>
              <w:bottom w:val="nil"/>
              <w:right w:val="nil"/>
            </w:tcBorders>
            <w:shd w:val="clear" w:color="auto" w:fill="FFFFFF"/>
            <w:tcMar>
              <w:left w:w="67" w:type="dxa"/>
              <w:right w:w="67" w:type="dxa"/>
            </w:tcMar>
            <w:vAlign w:val="center"/>
          </w:tcPr>
          <w:p w14:paraId="70995B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0.7634</w:t>
            </w:r>
          </w:p>
        </w:tc>
        <w:tc>
          <w:tcPr>
            <w:tcW w:w="1134" w:type="dxa"/>
            <w:tcBorders>
              <w:top w:val="nil"/>
              <w:left w:val="nil"/>
              <w:bottom w:val="nil"/>
              <w:right w:val="nil"/>
            </w:tcBorders>
            <w:shd w:val="clear" w:color="auto" w:fill="FFFFFF"/>
            <w:tcMar>
              <w:left w:w="67" w:type="dxa"/>
              <w:right w:w="67" w:type="dxa"/>
            </w:tcMar>
            <w:vAlign w:val="center"/>
          </w:tcPr>
          <w:p w14:paraId="46615C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0.7215</w:t>
            </w:r>
          </w:p>
        </w:tc>
        <w:tc>
          <w:tcPr>
            <w:tcW w:w="1134" w:type="dxa"/>
            <w:tcBorders>
              <w:top w:val="nil"/>
              <w:left w:val="nil"/>
              <w:bottom w:val="nil"/>
              <w:right w:val="nil"/>
            </w:tcBorders>
            <w:shd w:val="clear" w:color="auto" w:fill="FFFFFF"/>
            <w:tcMar>
              <w:left w:w="67" w:type="dxa"/>
              <w:right w:w="67" w:type="dxa"/>
            </w:tcMar>
            <w:vAlign w:val="center"/>
          </w:tcPr>
          <w:p w14:paraId="203675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0.8077</w:t>
            </w:r>
          </w:p>
        </w:tc>
        <w:tc>
          <w:tcPr>
            <w:tcW w:w="1134" w:type="dxa"/>
            <w:tcBorders>
              <w:top w:val="nil"/>
              <w:left w:val="nil"/>
              <w:bottom w:val="nil"/>
              <w:right w:val="nil"/>
            </w:tcBorders>
            <w:shd w:val="clear" w:color="auto" w:fill="FFFFFF"/>
            <w:tcMar>
              <w:left w:w="67" w:type="dxa"/>
              <w:right w:w="67" w:type="dxa"/>
            </w:tcMar>
            <w:vAlign w:val="center"/>
          </w:tcPr>
          <w:p w14:paraId="64491F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115.08</w:t>
            </w:r>
          </w:p>
        </w:tc>
        <w:tc>
          <w:tcPr>
            <w:tcW w:w="567" w:type="dxa"/>
            <w:tcBorders>
              <w:top w:val="nil"/>
              <w:left w:val="nil"/>
              <w:bottom w:val="nil"/>
              <w:right w:val="nil"/>
            </w:tcBorders>
            <w:shd w:val="clear" w:color="auto" w:fill="FFFFFF"/>
            <w:tcMar>
              <w:left w:w="67" w:type="dxa"/>
              <w:right w:w="67" w:type="dxa"/>
            </w:tcMar>
            <w:vAlign w:val="center"/>
          </w:tcPr>
          <w:p w14:paraId="644989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29E8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3DDC529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BB6DF9E"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1AD72A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613A0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0.0103</w:t>
            </w:r>
          </w:p>
        </w:tc>
        <w:tc>
          <w:tcPr>
            <w:tcW w:w="1134" w:type="dxa"/>
            <w:tcBorders>
              <w:top w:val="nil"/>
              <w:left w:val="nil"/>
              <w:bottom w:val="nil"/>
              <w:right w:val="nil"/>
            </w:tcBorders>
            <w:shd w:val="clear" w:color="auto" w:fill="FFFFFF"/>
            <w:tcMar>
              <w:left w:w="67" w:type="dxa"/>
              <w:right w:w="67" w:type="dxa"/>
            </w:tcMar>
            <w:vAlign w:val="center"/>
          </w:tcPr>
          <w:p w14:paraId="0A03D4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4FF0E6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1.0103</w:t>
            </w:r>
          </w:p>
        </w:tc>
        <w:tc>
          <w:tcPr>
            <w:tcW w:w="1134" w:type="dxa"/>
            <w:tcBorders>
              <w:top w:val="nil"/>
              <w:left w:val="nil"/>
              <w:bottom w:val="nil"/>
              <w:right w:val="nil"/>
            </w:tcBorders>
            <w:shd w:val="clear" w:color="auto" w:fill="FFFFFF"/>
            <w:tcMar>
              <w:left w:w="67" w:type="dxa"/>
              <w:right w:w="67" w:type="dxa"/>
            </w:tcMar>
            <w:vAlign w:val="center"/>
          </w:tcPr>
          <w:p w14:paraId="67D7B4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1.0082</w:t>
            </w:r>
          </w:p>
        </w:tc>
        <w:tc>
          <w:tcPr>
            <w:tcW w:w="1134" w:type="dxa"/>
            <w:tcBorders>
              <w:top w:val="nil"/>
              <w:left w:val="nil"/>
              <w:bottom w:val="nil"/>
              <w:right w:val="nil"/>
            </w:tcBorders>
            <w:shd w:val="clear" w:color="auto" w:fill="FFFFFF"/>
            <w:tcMar>
              <w:left w:w="67" w:type="dxa"/>
              <w:right w:w="67" w:type="dxa"/>
            </w:tcMar>
            <w:vAlign w:val="center"/>
          </w:tcPr>
          <w:p w14:paraId="592B67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1.0124</w:t>
            </w:r>
          </w:p>
        </w:tc>
        <w:tc>
          <w:tcPr>
            <w:tcW w:w="1134" w:type="dxa"/>
            <w:tcBorders>
              <w:top w:val="nil"/>
              <w:left w:val="nil"/>
              <w:bottom w:val="nil"/>
              <w:right w:val="nil"/>
            </w:tcBorders>
            <w:shd w:val="clear" w:color="auto" w:fill="FFFFFF"/>
            <w:tcMar>
              <w:left w:w="67" w:type="dxa"/>
              <w:right w:w="67" w:type="dxa"/>
            </w:tcMar>
            <w:vAlign w:val="center"/>
          </w:tcPr>
          <w:p w14:paraId="713FA7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120.61</w:t>
            </w:r>
          </w:p>
        </w:tc>
        <w:tc>
          <w:tcPr>
            <w:tcW w:w="567" w:type="dxa"/>
            <w:tcBorders>
              <w:top w:val="nil"/>
              <w:left w:val="nil"/>
              <w:bottom w:val="nil"/>
              <w:right w:val="nil"/>
            </w:tcBorders>
            <w:shd w:val="clear" w:color="auto" w:fill="FFFFFF"/>
            <w:tcMar>
              <w:left w:w="67" w:type="dxa"/>
              <w:right w:w="67" w:type="dxa"/>
            </w:tcMar>
            <w:vAlign w:val="center"/>
          </w:tcPr>
          <w:p w14:paraId="320B90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B86A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12910F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858C9D0"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14311E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51256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3B801F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3D513B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1.0031</w:t>
            </w:r>
          </w:p>
        </w:tc>
        <w:tc>
          <w:tcPr>
            <w:tcW w:w="1134" w:type="dxa"/>
            <w:tcBorders>
              <w:top w:val="nil"/>
              <w:left w:val="nil"/>
              <w:bottom w:val="nil"/>
              <w:right w:val="nil"/>
            </w:tcBorders>
            <w:shd w:val="clear" w:color="auto" w:fill="FFFFFF"/>
            <w:tcMar>
              <w:left w:w="67" w:type="dxa"/>
              <w:right w:w="67" w:type="dxa"/>
            </w:tcMar>
            <w:vAlign w:val="center"/>
          </w:tcPr>
          <w:p w14:paraId="70735E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0.9972</w:t>
            </w:r>
          </w:p>
        </w:tc>
        <w:tc>
          <w:tcPr>
            <w:tcW w:w="1134" w:type="dxa"/>
            <w:tcBorders>
              <w:top w:val="nil"/>
              <w:left w:val="nil"/>
              <w:bottom w:val="nil"/>
              <w:right w:val="nil"/>
            </w:tcBorders>
            <w:shd w:val="clear" w:color="auto" w:fill="FFFFFF"/>
            <w:tcMar>
              <w:left w:w="67" w:type="dxa"/>
              <w:right w:w="67" w:type="dxa"/>
            </w:tcMar>
            <w:vAlign w:val="center"/>
          </w:tcPr>
          <w:p w14:paraId="15045D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1.0089</w:t>
            </w:r>
          </w:p>
        </w:tc>
        <w:tc>
          <w:tcPr>
            <w:tcW w:w="1134" w:type="dxa"/>
            <w:tcBorders>
              <w:top w:val="nil"/>
              <w:left w:val="nil"/>
              <w:bottom w:val="nil"/>
              <w:right w:val="nil"/>
            </w:tcBorders>
            <w:shd w:val="clear" w:color="auto" w:fill="FFFFFF"/>
            <w:tcMar>
              <w:left w:w="67" w:type="dxa"/>
              <w:right w:w="67" w:type="dxa"/>
            </w:tcMar>
            <w:vAlign w:val="center"/>
          </w:tcPr>
          <w:p w14:paraId="6370CB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1.37</w:t>
            </w:r>
          </w:p>
        </w:tc>
        <w:tc>
          <w:tcPr>
            <w:tcW w:w="567" w:type="dxa"/>
            <w:tcBorders>
              <w:top w:val="nil"/>
              <w:left w:val="nil"/>
              <w:bottom w:val="nil"/>
              <w:right w:val="nil"/>
            </w:tcBorders>
            <w:shd w:val="clear" w:color="auto" w:fill="FFFFFF"/>
            <w:tcMar>
              <w:left w:w="67" w:type="dxa"/>
              <w:right w:w="67" w:type="dxa"/>
            </w:tcMar>
            <w:vAlign w:val="center"/>
          </w:tcPr>
          <w:p w14:paraId="794B1C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A0CE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0.2412</w:t>
            </w:r>
          </w:p>
        </w:tc>
      </w:tr>
      <w:tr w:rsidR="00B77EA3" w:rsidRPr="0082484A" w14:paraId="0BBDE33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7DA74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883CA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F8C44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-0.9352</w:t>
            </w:r>
          </w:p>
        </w:tc>
        <w:tc>
          <w:tcPr>
            <w:tcW w:w="1134" w:type="dxa"/>
            <w:tcBorders>
              <w:top w:val="nil"/>
              <w:left w:val="nil"/>
              <w:bottom w:val="nil"/>
              <w:right w:val="nil"/>
            </w:tcBorders>
            <w:shd w:val="clear" w:color="auto" w:fill="FFFFFF"/>
            <w:tcMar>
              <w:left w:w="67" w:type="dxa"/>
              <w:right w:w="67" w:type="dxa"/>
            </w:tcMar>
            <w:vAlign w:val="center"/>
          </w:tcPr>
          <w:p w14:paraId="531CE3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0.4820</w:t>
            </w:r>
          </w:p>
        </w:tc>
        <w:tc>
          <w:tcPr>
            <w:tcW w:w="1134" w:type="dxa"/>
            <w:tcBorders>
              <w:top w:val="nil"/>
              <w:left w:val="nil"/>
              <w:bottom w:val="nil"/>
              <w:right w:val="nil"/>
            </w:tcBorders>
            <w:shd w:val="clear" w:color="auto" w:fill="FFFFFF"/>
            <w:tcMar>
              <w:left w:w="67" w:type="dxa"/>
              <w:right w:w="67" w:type="dxa"/>
            </w:tcMar>
            <w:vAlign w:val="center"/>
          </w:tcPr>
          <w:p w14:paraId="1647C1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0.3925</w:t>
            </w:r>
          </w:p>
        </w:tc>
        <w:tc>
          <w:tcPr>
            <w:tcW w:w="1134" w:type="dxa"/>
            <w:tcBorders>
              <w:top w:val="nil"/>
              <w:left w:val="nil"/>
              <w:bottom w:val="nil"/>
              <w:right w:val="nil"/>
            </w:tcBorders>
            <w:shd w:val="clear" w:color="auto" w:fill="FFFFFF"/>
            <w:tcMar>
              <w:left w:w="67" w:type="dxa"/>
              <w:right w:w="67" w:type="dxa"/>
            </w:tcMar>
            <w:vAlign w:val="center"/>
          </w:tcPr>
          <w:p w14:paraId="59E0F4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0.1332</w:t>
            </w:r>
          </w:p>
        </w:tc>
        <w:tc>
          <w:tcPr>
            <w:tcW w:w="1134" w:type="dxa"/>
            <w:tcBorders>
              <w:top w:val="nil"/>
              <w:left w:val="nil"/>
              <w:bottom w:val="nil"/>
              <w:right w:val="nil"/>
            </w:tcBorders>
            <w:shd w:val="clear" w:color="auto" w:fill="FFFFFF"/>
            <w:tcMar>
              <w:left w:w="67" w:type="dxa"/>
              <w:right w:w="67" w:type="dxa"/>
            </w:tcMar>
            <w:vAlign w:val="center"/>
          </w:tcPr>
          <w:p w14:paraId="260A5E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1.1565</w:t>
            </w:r>
          </w:p>
        </w:tc>
        <w:tc>
          <w:tcPr>
            <w:tcW w:w="1134" w:type="dxa"/>
            <w:tcBorders>
              <w:top w:val="nil"/>
              <w:left w:val="nil"/>
              <w:bottom w:val="nil"/>
              <w:right w:val="nil"/>
            </w:tcBorders>
            <w:shd w:val="clear" w:color="auto" w:fill="FFFFFF"/>
            <w:tcMar>
              <w:left w:w="67" w:type="dxa"/>
              <w:right w:w="67" w:type="dxa"/>
            </w:tcMar>
            <w:vAlign w:val="center"/>
          </w:tcPr>
          <w:p w14:paraId="76D0D9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2.41</w:t>
            </w:r>
          </w:p>
        </w:tc>
        <w:tc>
          <w:tcPr>
            <w:tcW w:w="567" w:type="dxa"/>
            <w:tcBorders>
              <w:top w:val="nil"/>
              <w:left w:val="nil"/>
              <w:bottom w:val="nil"/>
              <w:right w:val="nil"/>
            </w:tcBorders>
            <w:shd w:val="clear" w:color="auto" w:fill="FFFFFF"/>
            <w:tcMar>
              <w:left w:w="67" w:type="dxa"/>
              <w:right w:w="67" w:type="dxa"/>
            </w:tcMar>
            <w:vAlign w:val="center"/>
          </w:tcPr>
          <w:p w14:paraId="4524F9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680F1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0.0100</w:t>
            </w:r>
          </w:p>
        </w:tc>
      </w:tr>
      <w:tr w:rsidR="00B77EA3" w:rsidRPr="0082484A" w14:paraId="5260369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C195E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3A0CD9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FBA0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0.3507</w:t>
            </w:r>
          </w:p>
        </w:tc>
        <w:tc>
          <w:tcPr>
            <w:tcW w:w="1134" w:type="dxa"/>
            <w:tcBorders>
              <w:top w:val="nil"/>
              <w:left w:val="nil"/>
              <w:bottom w:val="nil"/>
              <w:right w:val="nil"/>
            </w:tcBorders>
            <w:shd w:val="clear" w:color="auto" w:fill="FFFFFF"/>
            <w:tcMar>
              <w:left w:w="67" w:type="dxa"/>
              <w:right w:w="67" w:type="dxa"/>
            </w:tcMar>
            <w:vAlign w:val="center"/>
          </w:tcPr>
          <w:p w14:paraId="625B54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0.4107</w:t>
            </w:r>
          </w:p>
        </w:tc>
        <w:tc>
          <w:tcPr>
            <w:tcW w:w="1134" w:type="dxa"/>
            <w:tcBorders>
              <w:top w:val="nil"/>
              <w:left w:val="nil"/>
              <w:bottom w:val="nil"/>
              <w:right w:val="nil"/>
            </w:tcBorders>
            <w:shd w:val="clear" w:color="auto" w:fill="FFFFFF"/>
            <w:tcMar>
              <w:left w:w="67" w:type="dxa"/>
              <w:right w:w="67" w:type="dxa"/>
            </w:tcMar>
            <w:vAlign w:val="center"/>
          </w:tcPr>
          <w:p w14:paraId="64B6A6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1.4201</w:t>
            </w:r>
          </w:p>
        </w:tc>
        <w:tc>
          <w:tcPr>
            <w:tcW w:w="1134" w:type="dxa"/>
            <w:tcBorders>
              <w:top w:val="nil"/>
              <w:left w:val="nil"/>
              <w:bottom w:val="nil"/>
              <w:right w:val="nil"/>
            </w:tcBorders>
            <w:shd w:val="clear" w:color="auto" w:fill="FFFFFF"/>
            <w:tcMar>
              <w:left w:w="67" w:type="dxa"/>
              <w:right w:w="67" w:type="dxa"/>
            </w:tcMar>
            <w:vAlign w:val="center"/>
          </w:tcPr>
          <w:p w14:paraId="4E182E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0.5656</w:t>
            </w:r>
          </w:p>
        </w:tc>
        <w:tc>
          <w:tcPr>
            <w:tcW w:w="1134" w:type="dxa"/>
            <w:tcBorders>
              <w:top w:val="nil"/>
              <w:left w:val="nil"/>
              <w:bottom w:val="nil"/>
              <w:right w:val="nil"/>
            </w:tcBorders>
            <w:shd w:val="clear" w:color="auto" w:fill="FFFFFF"/>
            <w:tcMar>
              <w:left w:w="67" w:type="dxa"/>
              <w:right w:w="67" w:type="dxa"/>
            </w:tcMar>
            <w:vAlign w:val="center"/>
          </w:tcPr>
          <w:p w14:paraId="10B219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3.5654</w:t>
            </w:r>
          </w:p>
        </w:tc>
        <w:tc>
          <w:tcPr>
            <w:tcW w:w="1134" w:type="dxa"/>
            <w:tcBorders>
              <w:top w:val="nil"/>
              <w:left w:val="nil"/>
              <w:bottom w:val="nil"/>
              <w:right w:val="nil"/>
            </w:tcBorders>
            <w:shd w:val="clear" w:color="auto" w:fill="FFFFFF"/>
            <w:tcMar>
              <w:left w:w="67" w:type="dxa"/>
              <w:right w:w="67" w:type="dxa"/>
            </w:tcMar>
            <w:vAlign w:val="center"/>
          </w:tcPr>
          <w:p w14:paraId="1B8EC01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6BCA1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355DE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55559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1A35B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8C5E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0173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-0.4038</w:t>
            </w:r>
          </w:p>
        </w:tc>
        <w:tc>
          <w:tcPr>
            <w:tcW w:w="1134" w:type="dxa"/>
            <w:tcBorders>
              <w:top w:val="nil"/>
              <w:left w:val="nil"/>
              <w:bottom w:val="nil"/>
              <w:right w:val="nil"/>
            </w:tcBorders>
            <w:shd w:val="clear" w:color="auto" w:fill="FFFFFF"/>
            <w:tcMar>
              <w:left w:w="67" w:type="dxa"/>
              <w:right w:w="67" w:type="dxa"/>
            </w:tcMar>
            <w:vAlign w:val="center"/>
          </w:tcPr>
          <w:p w14:paraId="3EC4D0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0.3045</w:t>
            </w:r>
          </w:p>
        </w:tc>
        <w:tc>
          <w:tcPr>
            <w:tcW w:w="1134" w:type="dxa"/>
            <w:tcBorders>
              <w:top w:val="nil"/>
              <w:left w:val="nil"/>
              <w:bottom w:val="nil"/>
              <w:right w:val="nil"/>
            </w:tcBorders>
            <w:shd w:val="clear" w:color="auto" w:fill="FFFFFF"/>
            <w:tcMar>
              <w:left w:w="67" w:type="dxa"/>
              <w:right w:w="67" w:type="dxa"/>
            </w:tcMar>
            <w:vAlign w:val="center"/>
          </w:tcPr>
          <w:p w14:paraId="1F8ED5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0.6678</w:t>
            </w:r>
          </w:p>
        </w:tc>
        <w:tc>
          <w:tcPr>
            <w:tcW w:w="1134" w:type="dxa"/>
            <w:tcBorders>
              <w:top w:val="nil"/>
              <w:left w:val="nil"/>
              <w:bottom w:val="nil"/>
              <w:right w:val="nil"/>
            </w:tcBorders>
            <w:shd w:val="clear" w:color="auto" w:fill="FFFFFF"/>
            <w:tcMar>
              <w:left w:w="67" w:type="dxa"/>
              <w:right w:w="67" w:type="dxa"/>
            </w:tcMar>
            <w:vAlign w:val="center"/>
          </w:tcPr>
          <w:p w14:paraId="459AE6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0.3374</w:t>
            </w:r>
          </w:p>
        </w:tc>
        <w:tc>
          <w:tcPr>
            <w:tcW w:w="1134" w:type="dxa"/>
            <w:tcBorders>
              <w:top w:val="nil"/>
              <w:left w:val="nil"/>
              <w:bottom w:val="nil"/>
              <w:right w:val="nil"/>
            </w:tcBorders>
            <w:shd w:val="clear" w:color="auto" w:fill="FFFFFF"/>
            <w:tcMar>
              <w:left w:w="67" w:type="dxa"/>
              <w:right w:w="67" w:type="dxa"/>
            </w:tcMar>
            <w:vAlign w:val="center"/>
          </w:tcPr>
          <w:p w14:paraId="627D7D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1.3216</w:t>
            </w:r>
          </w:p>
        </w:tc>
        <w:tc>
          <w:tcPr>
            <w:tcW w:w="1134" w:type="dxa"/>
            <w:tcBorders>
              <w:top w:val="nil"/>
              <w:left w:val="nil"/>
              <w:bottom w:val="nil"/>
              <w:right w:val="nil"/>
            </w:tcBorders>
            <w:shd w:val="clear" w:color="auto" w:fill="FFFFFF"/>
            <w:tcMar>
              <w:left w:w="67" w:type="dxa"/>
              <w:right w:w="67" w:type="dxa"/>
            </w:tcMar>
            <w:vAlign w:val="center"/>
          </w:tcPr>
          <w:p w14:paraId="034F19E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CA282C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7EB79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FE0BFF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64D315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A6B52B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51FE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-0.7803</w:t>
            </w:r>
          </w:p>
        </w:tc>
        <w:tc>
          <w:tcPr>
            <w:tcW w:w="1134" w:type="dxa"/>
            <w:tcBorders>
              <w:top w:val="nil"/>
              <w:left w:val="nil"/>
              <w:bottom w:val="nil"/>
              <w:right w:val="nil"/>
            </w:tcBorders>
            <w:shd w:val="clear" w:color="auto" w:fill="FFFFFF"/>
            <w:tcMar>
              <w:left w:w="67" w:type="dxa"/>
              <w:right w:w="67" w:type="dxa"/>
            </w:tcMar>
            <w:vAlign w:val="center"/>
          </w:tcPr>
          <w:p w14:paraId="6EAF2F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0.4253</w:t>
            </w:r>
          </w:p>
        </w:tc>
        <w:tc>
          <w:tcPr>
            <w:tcW w:w="1134" w:type="dxa"/>
            <w:tcBorders>
              <w:top w:val="nil"/>
              <w:left w:val="nil"/>
              <w:bottom w:val="nil"/>
              <w:right w:val="nil"/>
            </w:tcBorders>
            <w:shd w:val="clear" w:color="auto" w:fill="FFFFFF"/>
            <w:tcMar>
              <w:left w:w="67" w:type="dxa"/>
              <w:right w:w="67" w:type="dxa"/>
            </w:tcMar>
            <w:vAlign w:val="center"/>
          </w:tcPr>
          <w:p w14:paraId="51C055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0.4583</w:t>
            </w:r>
          </w:p>
        </w:tc>
        <w:tc>
          <w:tcPr>
            <w:tcW w:w="1134" w:type="dxa"/>
            <w:tcBorders>
              <w:top w:val="nil"/>
              <w:left w:val="nil"/>
              <w:bottom w:val="nil"/>
              <w:right w:val="nil"/>
            </w:tcBorders>
            <w:shd w:val="clear" w:color="auto" w:fill="FFFFFF"/>
            <w:tcMar>
              <w:left w:w="67" w:type="dxa"/>
              <w:right w:w="67" w:type="dxa"/>
            </w:tcMar>
            <w:vAlign w:val="center"/>
          </w:tcPr>
          <w:p w14:paraId="5A8A73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0.1766</w:t>
            </w:r>
          </w:p>
        </w:tc>
        <w:tc>
          <w:tcPr>
            <w:tcW w:w="1134" w:type="dxa"/>
            <w:tcBorders>
              <w:top w:val="nil"/>
              <w:left w:val="nil"/>
              <w:bottom w:val="nil"/>
              <w:right w:val="nil"/>
            </w:tcBorders>
            <w:shd w:val="clear" w:color="auto" w:fill="FFFFFF"/>
            <w:tcMar>
              <w:left w:w="67" w:type="dxa"/>
              <w:right w:w="67" w:type="dxa"/>
            </w:tcMar>
            <w:vAlign w:val="center"/>
          </w:tcPr>
          <w:p w14:paraId="0C70DD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1.1890</w:t>
            </w:r>
          </w:p>
        </w:tc>
        <w:tc>
          <w:tcPr>
            <w:tcW w:w="1134" w:type="dxa"/>
            <w:tcBorders>
              <w:top w:val="nil"/>
              <w:left w:val="nil"/>
              <w:bottom w:val="nil"/>
              <w:right w:val="nil"/>
            </w:tcBorders>
            <w:shd w:val="clear" w:color="auto" w:fill="FFFFFF"/>
            <w:tcMar>
              <w:left w:w="67" w:type="dxa"/>
              <w:right w:w="67" w:type="dxa"/>
            </w:tcMar>
            <w:vAlign w:val="center"/>
          </w:tcPr>
          <w:p w14:paraId="60F385B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5D8C9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E7E8F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45C3D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C31531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B4CF2C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20A34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-0.9990</w:t>
            </w:r>
          </w:p>
        </w:tc>
        <w:tc>
          <w:tcPr>
            <w:tcW w:w="1134" w:type="dxa"/>
            <w:tcBorders>
              <w:top w:val="nil"/>
              <w:left w:val="nil"/>
              <w:bottom w:val="nil"/>
              <w:right w:val="nil"/>
            </w:tcBorders>
            <w:shd w:val="clear" w:color="auto" w:fill="FFFFFF"/>
            <w:tcMar>
              <w:left w:w="67" w:type="dxa"/>
              <w:right w:w="67" w:type="dxa"/>
            </w:tcMar>
            <w:vAlign w:val="center"/>
          </w:tcPr>
          <w:p w14:paraId="4C8CF0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0.4134</w:t>
            </w:r>
          </w:p>
        </w:tc>
        <w:tc>
          <w:tcPr>
            <w:tcW w:w="1134" w:type="dxa"/>
            <w:tcBorders>
              <w:top w:val="nil"/>
              <w:left w:val="nil"/>
              <w:bottom w:val="nil"/>
              <w:right w:val="nil"/>
            </w:tcBorders>
            <w:shd w:val="clear" w:color="auto" w:fill="FFFFFF"/>
            <w:tcMar>
              <w:left w:w="67" w:type="dxa"/>
              <w:right w:w="67" w:type="dxa"/>
            </w:tcMar>
            <w:vAlign w:val="center"/>
          </w:tcPr>
          <w:p w14:paraId="55F490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0.3683</w:t>
            </w:r>
          </w:p>
        </w:tc>
        <w:tc>
          <w:tcPr>
            <w:tcW w:w="1134" w:type="dxa"/>
            <w:tcBorders>
              <w:top w:val="nil"/>
              <w:left w:val="nil"/>
              <w:bottom w:val="nil"/>
              <w:right w:val="nil"/>
            </w:tcBorders>
            <w:shd w:val="clear" w:color="auto" w:fill="FFFFFF"/>
            <w:tcMar>
              <w:left w:w="67" w:type="dxa"/>
              <w:right w:w="67" w:type="dxa"/>
            </w:tcMar>
            <w:vAlign w:val="center"/>
          </w:tcPr>
          <w:p w14:paraId="224682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0.1458</w:t>
            </w:r>
          </w:p>
        </w:tc>
        <w:tc>
          <w:tcPr>
            <w:tcW w:w="1134" w:type="dxa"/>
            <w:tcBorders>
              <w:top w:val="nil"/>
              <w:left w:val="nil"/>
              <w:bottom w:val="nil"/>
              <w:right w:val="nil"/>
            </w:tcBorders>
            <w:shd w:val="clear" w:color="auto" w:fill="FFFFFF"/>
            <w:tcMar>
              <w:left w:w="67" w:type="dxa"/>
              <w:right w:w="67" w:type="dxa"/>
            </w:tcMar>
            <w:vAlign w:val="center"/>
          </w:tcPr>
          <w:p w14:paraId="05F85C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0.9302</w:t>
            </w:r>
          </w:p>
        </w:tc>
        <w:tc>
          <w:tcPr>
            <w:tcW w:w="1134" w:type="dxa"/>
            <w:tcBorders>
              <w:top w:val="nil"/>
              <w:left w:val="nil"/>
              <w:bottom w:val="nil"/>
              <w:right w:val="nil"/>
            </w:tcBorders>
            <w:shd w:val="clear" w:color="auto" w:fill="FFFFFF"/>
            <w:tcMar>
              <w:left w:w="67" w:type="dxa"/>
              <w:right w:w="67" w:type="dxa"/>
            </w:tcMar>
            <w:vAlign w:val="center"/>
          </w:tcPr>
          <w:p w14:paraId="24075F6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9E3484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59D56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6B2ABC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1A613D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B531DC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EAA47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-0.8501</w:t>
            </w:r>
          </w:p>
        </w:tc>
        <w:tc>
          <w:tcPr>
            <w:tcW w:w="1134" w:type="dxa"/>
            <w:tcBorders>
              <w:top w:val="nil"/>
              <w:left w:val="nil"/>
              <w:bottom w:val="nil"/>
              <w:right w:val="nil"/>
            </w:tcBorders>
            <w:shd w:val="clear" w:color="auto" w:fill="FFFFFF"/>
            <w:tcMar>
              <w:left w:w="67" w:type="dxa"/>
              <w:right w:w="67" w:type="dxa"/>
            </w:tcMar>
            <w:vAlign w:val="center"/>
          </w:tcPr>
          <w:p w14:paraId="0593D6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0.4336</w:t>
            </w:r>
          </w:p>
        </w:tc>
        <w:tc>
          <w:tcPr>
            <w:tcW w:w="1134" w:type="dxa"/>
            <w:tcBorders>
              <w:top w:val="nil"/>
              <w:left w:val="nil"/>
              <w:bottom w:val="nil"/>
              <w:right w:val="nil"/>
            </w:tcBorders>
            <w:shd w:val="clear" w:color="auto" w:fill="FFFFFF"/>
            <w:tcMar>
              <w:left w:w="67" w:type="dxa"/>
              <w:right w:w="67" w:type="dxa"/>
            </w:tcMar>
            <w:vAlign w:val="center"/>
          </w:tcPr>
          <w:p w14:paraId="138B93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0.4274</w:t>
            </w:r>
          </w:p>
        </w:tc>
        <w:tc>
          <w:tcPr>
            <w:tcW w:w="1134" w:type="dxa"/>
            <w:tcBorders>
              <w:top w:val="nil"/>
              <w:left w:val="nil"/>
              <w:bottom w:val="nil"/>
              <w:right w:val="nil"/>
            </w:tcBorders>
            <w:shd w:val="clear" w:color="auto" w:fill="FFFFFF"/>
            <w:tcMar>
              <w:left w:w="67" w:type="dxa"/>
              <w:right w:w="67" w:type="dxa"/>
            </w:tcMar>
            <w:vAlign w:val="center"/>
          </w:tcPr>
          <w:p w14:paraId="6CA471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0.1617</w:t>
            </w:r>
          </w:p>
        </w:tc>
        <w:tc>
          <w:tcPr>
            <w:tcW w:w="1134" w:type="dxa"/>
            <w:tcBorders>
              <w:top w:val="nil"/>
              <w:left w:val="nil"/>
              <w:bottom w:val="nil"/>
              <w:right w:val="nil"/>
            </w:tcBorders>
            <w:shd w:val="clear" w:color="auto" w:fill="FFFFFF"/>
            <w:tcMar>
              <w:left w:w="67" w:type="dxa"/>
              <w:right w:w="67" w:type="dxa"/>
            </w:tcMar>
            <w:vAlign w:val="center"/>
          </w:tcPr>
          <w:p w14:paraId="7B989E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1.1295</w:t>
            </w:r>
          </w:p>
        </w:tc>
        <w:tc>
          <w:tcPr>
            <w:tcW w:w="1134" w:type="dxa"/>
            <w:tcBorders>
              <w:top w:val="nil"/>
              <w:left w:val="nil"/>
              <w:bottom w:val="nil"/>
              <w:right w:val="nil"/>
            </w:tcBorders>
            <w:shd w:val="clear" w:color="auto" w:fill="FFFFFF"/>
            <w:tcMar>
              <w:left w:w="67" w:type="dxa"/>
              <w:right w:w="67" w:type="dxa"/>
            </w:tcMar>
            <w:vAlign w:val="center"/>
          </w:tcPr>
          <w:p w14:paraId="290E2BB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FAF3BA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91714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351F56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F757B2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901D93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F7C5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-0.5390</w:t>
            </w:r>
          </w:p>
        </w:tc>
        <w:tc>
          <w:tcPr>
            <w:tcW w:w="1134" w:type="dxa"/>
            <w:tcBorders>
              <w:top w:val="nil"/>
              <w:left w:val="nil"/>
              <w:bottom w:val="nil"/>
              <w:right w:val="nil"/>
            </w:tcBorders>
            <w:shd w:val="clear" w:color="auto" w:fill="FFFFFF"/>
            <w:tcMar>
              <w:left w:w="67" w:type="dxa"/>
              <w:right w:w="67" w:type="dxa"/>
            </w:tcMar>
            <w:vAlign w:val="center"/>
          </w:tcPr>
          <w:p w14:paraId="2A69AF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0.3621</w:t>
            </w:r>
          </w:p>
        </w:tc>
        <w:tc>
          <w:tcPr>
            <w:tcW w:w="1134" w:type="dxa"/>
            <w:tcBorders>
              <w:top w:val="nil"/>
              <w:left w:val="nil"/>
              <w:bottom w:val="nil"/>
              <w:right w:val="nil"/>
            </w:tcBorders>
            <w:shd w:val="clear" w:color="auto" w:fill="FFFFFF"/>
            <w:tcMar>
              <w:left w:w="67" w:type="dxa"/>
              <w:right w:w="67" w:type="dxa"/>
            </w:tcMar>
            <w:vAlign w:val="center"/>
          </w:tcPr>
          <w:p w14:paraId="338101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0.5834</w:t>
            </w:r>
          </w:p>
        </w:tc>
        <w:tc>
          <w:tcPr>
            <w:tcW w:w="1134" w:type="dxa"/>
            <w:tcBorders>
              <w:top w:val="nil"/>
              <w:left w:val="nil"/>
              <w:bottom w:val="nil"/>
              <w:right w:val="nil"/>
            </w:tcBorders>
            <w:shd w:val="clear" w:color="auto" w:fill="FFFFFF"/>
            <w:tcMar>
              <w:left w:w="67" w:type="dxa"/>
              <w:right w:w="67" w:type="dxa"/>
            </w:tcMar>
            <w:vAlign w:val="center"/>
          </w:tcPr>
          <w:p w14:paraId="7718E6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0.2591</w:t>
            </w:r>
          </w:p>
        </w:tc>
        <w:tc>
          <w:tcPr>
            <w:tcW w:w="1134" w:type="dxa"/>
            <w:tcBorders>
              <w:top w:val="nil"/>
              <w:left w:val="nil"/>
              <w:bottom w:val="nil"/>
              <w:right w:val="nil"/>
            </w:tcBorders>
            <w:shd w:val="clear" w:color="auto" w:fill="FFFFFF"/>
            <w:tcMar>
              <w:left w:w="67" w:type="dxa"/>
              <w:right w:w="67" w:type="dxa"/>
            </w:tcMar>
            <w:vAlign w:val="center"/>
          </w:tcPr>
          <w:p w14:paraId="1157A9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1.3134</w:t>
            </w:r>
          </w:p>
        </w:tc>
        <w:tc>
          <w:tcPr>
            <w:tcW w:w="1134" w:type="dxa"/>
            <w:tcBorders>
              <w:top w:val="nil"/>
              <w:left w:val="nil"/>
              <w:bottom w:val="nil"/>
              <w:right w:val="nil"/>
            </w:tcBorders>
            <w:shd w:val="clear" w:color="auto" w:fill="FFFFFF"/>
            <w:tcMar>
              <w:left w:w="67" w:type="dxa"/>
              <w:right w:w="67" w:type="dxa"/>
            </w:tcMar>
            <w:vAlign w:val="center"/>
          </w:tcPr>
          <w:p w14:paraId="6B0A09B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B2387A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17C0F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79A839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A415DE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BCDBD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04B58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-0.7565</w:t>
            </w:r>
          </w:p>
        </w:tc>
        <w:tc>
          <w:tcPr>
            <w:tcW w:w="1134" w:type="dxa"/>
            <w:tcBorders>
              <w:top w:val="nil"/>
              <w:left w:val="nil"/>
              <w:bottom w:val="nil"/>
              <w:right w:val="nil"/>
            </w:tcBorders>
            <w:shd w:val="clear" w:color="auto" w:fill="FFFFFF"/>
            <w:tcMar>
              <w:left w:w="67" w:type="dxa"/>
              <w:right w:w="67" w:type="dxa"/>
            </w:tcMar>
            <w:vAlign w:val="center"/>
          </w:tcPr>
          <w:p w14:paraId="558CD8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0.4071</w:t>
            </w:r>
          </w:p>
        </w:tc>
        <w:tc>
          <w:tcPr>
            <w:tcW w:w="1134" w:type="dxa"/>
            <w:tcBorders>
              <w:top w:val="nil"/>
              <w:left w:val="nil"/>
              <w:bottom w:val="nil"/>
              <w:right w:val="nil"/>
            </w:tcBorders>
            <w:shd w:val="clear" w:color="auto" w:fill="FFFFFF"/>
            <w:tcMar>
              <w:left w:w="67" w:type="dxa"/>
              <w:right w:w="67" w:type="dxa"/>
            </w:tcMar>
            <w:vAlign w:val="center"/>
          </w:tcPr>
          <w:p w14:paraId="176893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0.4693</w:t>
            </w:r>
          </w:p>
        </w:tc>
        <w:tc>
          <w:tcPr>
            <w:tcW w:w="1134" w:type="dxa"/>
            <w:tcBorders>
              <w:top w:val="nil"/>
              <w:left w:val="nil"/>
              <w:bottom w:val="nil"/>
              <w:right w:val="nil"/>
            </w:tcBorders>
            <w:shd w:val="clear" w:color="auto" w:fill="FFFFFF"/>
            <w:tcMar>
              <w:left w:w="67" w:type="dxa"/>
              <w:right w:w="67" w:type="dxa"/>
            </w:tcMar>
            <w:vAlign w:val="center"/>
          </w:tcPr>
          <w:p w14:paraId="21E0B0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0.1884</w:t>
            </w:r>
          </w:p>
        </w:tc>
        <w:tc>
          <w:tcPr>
            <w:tcW w:w="1134" w:type="dxa"/>
            <w:tcBorders>
              <w:top w:val="nil"/>
              <w:left w:val="nil"/>
              <w:bottom w:val="nil"/>
              <w:right w:val="nil"/>
            </w:tcBorders>
            <w:shd w:val="clear" w:color="auto" w:fill="FFFFFF"/>
            <w:tcMar>
              <w:left w:w="67" w:type="dxa"/>
              <w:right w:w="67" w:type="dxa"/>
            </w:tcMar>
            <w:vAlign w:val="center"/>
          </w:tcPr>
          <w:p w14:paraId="43EF60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1.1688</w:t>
            </w:r>
          </w:p>
        </w:tc>
        <w:tc>
          <w:tcPr>
            <w:tcW w:w="1134" w:type="dxa"/>
            <w:tcBorders>
              <w:top w:val="nil"/>
              <w:left w:val="nil"/>
              <w:bottom w:val="nil"/>
              <w:right w:val="nil"/>
            </w:tcBorders>
            <w:shd w:val="clear" w:color="auto" w:fill="FFFFFF"/>
            <w:tcMar>
              <w:left w:w="67" w:type="dxa"/>
              <w:right w:w="67" w:type="dxa"/>
            </w:tcMar>
            <w:vAlign w:val="center"/>
          </w:tcPr>
          <w:p w14:paraId="5166BAE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D1D9A2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3AF4FF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6712F4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B692F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31E60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5266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-0.0698</w:t>
            </w:r>
          </w:p>
        </w:tc>
        <w:tc>
          <w:tcPr>
            <w:tcW w:w="1134" w:type="dxa"/>
            <w:tcBorders>
              <w:top w:val="nil"/>
              <w:left w:val="nil"/>
              <w:bottom w:val="nil"/>
              <w:right w:val="nil"/>
            </w:tcBorders>
            <w:shd w:val="clear" w:color="auto" w:fill="FFFFFF"/>
            <w:tcMar>
              <w:left w:w="67" w:type="dxa"/>
              <w:right w:w="67" w:type="dxa"/>
            </w:tcMar>
            <w:vAlign w:val="center"/>
          </w:tcPr>
          <w:p w14:paraId="1533DD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0.3775</w:t>
            </w:r>
          </w:p>
        </w:tc>
        <w:tc>
          <w:tcPr>
            <w:tcW w:w="1134" w:type="dxa"/>
            <w:tcBorders>
              <w:top w:val="nil"/>
              <w:left w:val="nil"/>
              <w:bottom w:val="nil"/>
              <w:right w:val="nil"/>
            </w:tcBorders>
            <w:shd w:val="clear" w:color="auto" w:fill="FFFFFF"/>
            <w:tcMar>
              <w:left w:w="67" w:type="dxa"/>
              <w:right w:w="67" w:type="dxa"/>
            </w:tcMar>
            <w:vAlign w:val="center"/>
          </w:tcPr>
          <w:p w14:paraId="01B9D0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0.9326</w:t>
            </w:r>
          </w:p>
        </w:tc>
        <w:tc>
          <w:tcPr>
            <w:tcW w:w="1134" w:type="dxa"/>
            <w:tcBorders>
              <w:top w:val="nil"/>
              <w:left w:val="nil"/>
              <w:bottom w:val="nil"/>
              <w:right w:val="nil"/>
            </w:tcBorders>
            <w:shd w:val="clear" w:color="auto" w:fill="FFFFFF"/>
            <w:tcMar>
              <w:left w:w="67" w:type="dxa"/>
              <w:right w:w="67" w:type="dxa"/>
            </w:tcMar>
            <w:vAlign w:val="center"/>
          </w:tcPr>
          <w:p w14:paraId="507D4B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0.4001</w:t>
            </w:r>
          </w:p>
        </w:tc>
        <w:tc>
          <w:tcPr>
            <w:tcW w:w="1134" w:type="dxa"/>
            <w:tcBorders>
              <w:top w:val="nil"/>
              <w:left w:val="nil"/>
              <w:bottom w:val="nil"/>
              <w:right w:val="nil"/>
            </w:tcBorders>
            <w:shd w:val="clear" w:color="auto" w:fill="FFFFFF"/>
            <w:tcMar>
              <w:left w:w="67" w:type="dxa"/>
              <w:right w:w="67" w:type="dxa"/>
            </w:tcMar>
            <w:vAlign w:val="center"/>
          </w:tcPr>
          <w:p w14:paraId="71BAED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2.1735</w:t>
            </w:r>
          </w:p>
        </w:tc>
        <w:tc>
          <w:tcPr>
            <w:tcW w:w="1134" w:type="dxa"/>
            <w:tcBorders>
              <w:top w:val="nil"/>
              <w:left w:val="nil"/>
              <w:bottom w:val="nil"/>
              <w:right w:val="nil"/>
            </w:tcBorders>
            <w:shd w:val="clear" w:color="auto" w:fill="FFFFFF"/>
            <w:tcMar>
              <w:left w:w="67" w:type="dxa"/>
              <w:right w:w="67" w:type="dxa"/>
            </w:tcMar>
            <w:vAlign w:val="center"/>
          </w:tcPr>
          <w:p w14:paraId="2B487BF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6C7AA9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E814C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588F73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F2F26E8"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5EF47F0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4B912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-0.0256</w:t>
            </w:r>
          </w:p>
        </w:tc>
        <w:tc>
          <w:tcPr>
            <w:tcW w:w="1134" w:type="dxa"/>
            <w:tcBorders>
              <w:top w:val="nil"/>
              <w:left w:val="nil"/>
              <w:bottom w:val="nil"/>
              <w:right w:val="nil"/>
            </w:tcBorders>
            <w:shd w:val="clear" w:color="auto" w:fill="FFFFFF"/>
            <w:tcMar>
              <w:left w:w="67" w:type="dxa"/>
              <w:right w:w="67" w:type="dxa"/>
            </w:tcMar>
            <w:vAlign w:val="center"/>
          </w:tcPr>
          <w:p w14:paraId="2B0190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0.0210</w:t>
            </w:r>
          </w:p>
        </w:tc>
        <w:tc>
          <w:tcPr>
            <w:tcW w:w="1134" w:type="dxa"/>
            <w:tcBorders>
              <w:top w:val="nil"/>
              <w:left w:val="nil"/>
              <w:bottom w:val="nil"/>
              <w:right w:val="nil"/>
            </w:tcBorders>
            <w:shd w:val="clear" w:color="auto" w:fill="FFFFFF"/>
            <w:tcMar>
              <w:left w:w="67" w:type="dxa"/>
              <w:right w:w="67" w:type="dxa"/>
            </w:tcMar>
            <w:vAlign w:val="center"/>
          </w:tcPr>
          <w:p w14:paraId="761783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0.9747</w:t>
            </w:r>
          </w:p>
        </w:tc>
        <w:tc>
          <w:tcPr>
            <w:tcW w:w="1134" w:type="dxa"/>
            <w:tcBorders>
              <w:top w:val="nil"/>
              <w:left w:val="nil"/>
              <w:bottom w:val="nil"/>
              <w:right w:val="nil"/>
            </w:tcBorders>
            <w:shd w:val="clear" w:color="auto" w:fill="FFFFFF"/>
            <w:tcMar>
              <w:left w:w="67" w:type="dxa"/>
              <w:right w:w="67" w:type="dxa"/>
            </w:tcMar>
            <w:vAlign w:val="center"/>
          </w:tcPr>
          <w:p w14:paraId="7F150D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0.9300</w:t>
            </w:r>
          </w:p>
        </w:tc>
        <w:tc>
          <w:tcPr>
            <w:tcW w:w="1134" w:type="dxa"/>
            <w:tcBorders>
              <w:top w:val="nil"/>
              <w:left w:val="nil"/>
              <w:bottom w:val="nil"/>
              <w:right w:val="nil"/>
            </w:tcBorders>
            <w:shd w:val="clear" w:color="auto" w:fill="FFFFFF"/>
            <w:tcMar>
              <w:left w:w="67" w:type="dxa"/>
              <w:right w:w="67" w:type="dxa"/>
            </w:tcMar>
            <w:vAlign w:val="center"/>
          </w:tcPr>
          <w:p w14:paraId="65C6AE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1.0216</w:t>
            </w:r>
          </w:p>
        </w:tc>
        <w:tc>
          <w:tcPr>
            <w:tcW w:w="1134" w:type="dxa"/>
            <w:tcBorders>
              <w:top w:val="nil"/>
              <w:left w:val="nil"/>
              <w:bottom w:val="nil"/>
              <w:right w:val="nil"/>
            </w:tcBorders>
            <w:shd w:val="clear" w:color="auto" w:fill="FFFFFF"/>
            <w:tcMar>
              <w:left w:w="67" w:type="dxa"/>
              <w:right w:w="67" w:type="dxa"/>
            </w:tcMar>
            <w:vAlign w:val="center"/>
          </w:tcPr>
          <w:p w14:paraId="1215CE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1.49</w:t>
            </w:r>
          </w:p>
        </w:tc>
        <w:tc>
          <w:tcPr>
            <w:tcW w:w="567" w:type="dxa"/>
            <w:tcBorders>
              <w:top w:val="nil"/>
              <w:left w:val="nil"/>
              <w:bottom w:val="nil"/>
              <w:right w:val="nil"/>
            </w:tcBorders>
            <w:shd w:val="clear" w:color="auto" w:fill="FFFFFF"/>
            <w:tcMar>
              <w:left w:w="67" w:type="dxa"/>
              <w:right w:w="67" w:type="dxa"/>
            </w:tcMar>
            <w:vAlign w:val="center"/>
          </w:tcPr>
          <w:p w14:paraId="69921F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C8DB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0.2215</w:t>
            </w:r>
          </w:p>
        </w:tc>
      </w:tr>
      <w:tr w:rsidR="00B77EA3" w:rsidRPr="0082484A" w14:paraId="0E486DD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27FC86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B36DFD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3363A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0.0158</w:t>
            </w:r>
          </w:p>
        </w:tc>
        <w:tc>
          <w:tcPr>
            <w:tcW w:w="1134" w:type="dxa"/>
            <w:tcBorders>
              <w:top w:val="nil"/>
              <w:left w:val="nil"/>
              <w:bottom w:val="nil"/>
              <w:right w:val="nil"/>
            </w:tcBorders>
            <w:shd w:val="clear" w:color="auto" w:fill="FFFFFF"/>
            <w:tcMar>
              <w:left w:w="67" w:type="dxa"/>
              <w:right w:w="67" w:type="dxa"/>
            </w:tcMar>
            <w:vAlign w:val="center"/>
          </w:tcPr>
          <w:p w14:paraId="227158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0.0128</w:t>
            </w:r>
          </w:p>
        </w:tc>
        <w:tc>
          <w:tcPr>
            <w:tcW w:w="1134" w:type="dxa"/>
            <w:tcBorders>
              <w:top w:val="nil"/>
              <w:left w:val="nil"/>
              <w:bottom w:val="nil"/>
              <w:right w:val="nil"/>
            </w:tcBorders>
            <w:shd w:val="clear" w:color="auto" w:fill="FFFFFF"/>
            <w:tcMar>
              <w:left w:w="67" w:type="dxa"/>
              <w:right w:w="67" w:type="dxa"/>
            </w:tcMar>
            <w:vAlign w:val="center"/>
          </w:tcPr>
          <w:p w14:paraId="71634D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1.0159</w:t>
            </w:r>
          </w:p>
        </w:tc>
        <w:tc>
          <w:tcPr>
            <w:tcW w:w="1134" w:type="dxa"/>
            <w:tcBorders>
              <w:top w:val="nil"/>
              <w:left w:val="nil"/>
              <w:bottom w:val="nil"/>
              <w:right w:val="nil"/>
            </w:tcBorders>
            <w:shd w:val="clear" w:color="auto" w:fill="FFFFFF"/>
            <w:tcMar>
              <w:left w:w="67" w:type="dxa"/>
              <w:right w:w="67" w:type="dxa"/>
            </w:tcMar>
            <w:vAlign w:val="center"/>
          </w:tcPr>
          <w:p w14:paraId="09B3FA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0.9873</w:t>
            </w:r>
          </w:p>
        </w:tc>
        <w:tc>
          <w:tcPr>
            <w:tcW w:w="1134" w:type="dxa"/>
            <w:tcBorders>
              <w:top w:val="nil"/>
              <w:left w:val="nil"/>
              <w:bottom w:val="nil"/>
              <w:right w:val="nil"/>
            </w:tcBorders>
            <w:shd w:val="clear" w:color="auto" w:fill="FFFFFF"/>
            <w:tcMar>
              <w:left w:w="67" w:type="dxa"/>
              <w:right w:w="67" w:type="dxa"/>
            </w:tcMar>
            <w:vAlign w:val="center"/>
          </w:tcPr>
          <w:p w14:paraId="588F19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1.0454</w:t>
            </w:r>
          </w:p>
        </w:tc>
        <w:tc>
          <w:tcPr>
            <w:tcW w:w="1134" w:type="dxa"/>
            <w:tcBorders>
              <w:top w:val="nil"/>
              <w:left w:val="nil"/>
              <w:bottom w:val="nil"/>
              <w:right w:val="nil"/>
            </w:tcBorders>
            <w:shd w:val="clear" w:color="auto" w:fill="FFFFFF"/>
            <w:tcMar>
              <w:left w:w="67" w:type="dxa"/>
              <w:right w:w="67" w:type="dxa"/>
            </w:tcMar>
            <w:vAlign w:val="center"/>
          </w:tcPr>
          <w:p w14:paraId="04D803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1.53</w:t>
            </w:r>
          </w:p>
        </w:tc>
        <w:tc>
          <w:tcPr>
            <w:tcW w:w="567" w:type="dxa"/>
            <w:tcBorders>
              <w:top w:val="nil"/>
              <w:left w:val="nil"/>
              <w:bottom w:val="nil"/>
              <w:right w:val="nil"/>
            </w:tcBorders>
            <w:shd w:val="clear" w:color="auto" w:fill="FFFFFF"/>
            <w:tcMar>
              <w:left w:w="67" w:type="dxa"/>
              <w:right w:w="67" w:type="dxa"/>
            </w:tcMar>
            <w:vAlign w:val="center"/>
          </w:tcPr>
          <w:p w14:paraId="6E1755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2C4B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0.2163</w:t>
            </w:r>
          </w:p>
        </w:tc>
      </w:tr>
      <w:tr w:rsidR="00B77EA3" w:rsidRPr="0082484A" w14:paraId="591D4C9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ABBB50"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563DA17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568FF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0.0103</w:t>
            </w:r>
          </w:p>
        </w:tc>
        <w:tc>
          <w:tcPr>
            <w:tcW w:w="1134" w:type="dxa"/>
            <w:tcBorders>
              <w:top w:val="nil"/>
              <w:left w:val="nil"/>
              <w:bottom w:val="nil"/>
              <w:right w:val="nil"/>
            </w:tcBorders>
            <w:shd w:val="clear" w:color="auto" w:fill="FFFFFF"/>
            <w:tcMar>
              <w:left w:w="67" w:type="dxa"/>
              <w:right w:w="67" w:type="dxa"/>
            </w:tcMar>
            <w:vAlign w:val="center"/>
          </w:tcPr>
          <w:p w14:paraId="781C73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76834E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1.0103</w:t>
            </w:r>
          </w:p>
        </w:tc>
        <w:tc>
          <w:tcPr>
            <w:tcW w:w="1134" w:type="dxa"/>
            <w:tcBorders>
              <w:top w:val="nil"/>
              <w:left w:val="nil"/>
              <w:bottom w:val="nil"/>
              <w:right w:val="nil"/>
            </w:tcBorders>
            <w:shd w:val="clear" w:color="auto" w:fill="FFFFFF"/>
            <w:tcMar>
              <w:left w:w="67" w:type="dxa"/>
              <w:right w:w="67" w:type="dxa"/>
            </w:tcMar>
            <w:vAlign w:val="center"/>
          </w:tcPr>
          <w:p w14:paraId="2669F4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1.0028</w:t>
            </w:r>
          </w:p>
        </w:tc>
        <w:tc>
          <w:tcPr>
            <w:tcW w:w="1134" w:type="dxa"/>
            <w:tcBorders>
              <w:top w:val="nil"/>
              <w:left w:val="nil"/>
              <w:bottom w:val="nil"/>
              <w:right w:val="nil"/>
            </w:tcBorders>
            <w:shd w:val="clear" w:color="auto" w:fill="FFFFFF"/>
            <w:tcMar>
              <w:left w:w="67" w:type="dxa"/>
              <w:right w:w="67" w:type="dxa"/>
            </w:tcMar>
            <w:vAlign w:val="center"/>
          </w:tcPr>
          <w:p w14:paraId="49C68B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1.0179</w:t>
            </w:r>
          </w:p>
        </w:tc>
        <w:tc>
          <w:tcPr>
            <w:tcW w:w="1134" w:type="dxa"/>
            <w:tcBorders>
              <w:top w:val="nil"/>
              <w:left w:val="nil"/>
              <w:bottom w:val="nil"/>
              <w:right w:val="nil"/>
            </w:tcBorders>
            <w:shd w:val="clear" w:color="auto" w:fill="FFFFFF"/>
            <w:tcMar>
              <w:left w:w="67" w:type="dxa"/>
              <w:right w:w="67" w:type="dxa"/>
            </w:tcMar>
            <w:vAlign w:val="center"/>
          </w:tcPr>
          <w:p w14:paraId="60D4F4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9.61</w:t>
            </w:r>
          </w:p>
        </w:tc>
        <w:tc>
          <w:tcPr>
            <w:tcW w:w="567" w:type="dxa"/>
            <w:tcBorders>
              <w:top w:val="nil"/>
              <w:left w:val="nil"/>
              <w:bottom w:val="nil"/>
              <w:right w:val="nil"/>
            </w:tcBorders>
            <w:shd w:val="clear" w:color="auto" w:fill="FFFFFF"/>
            <w:tcMar>
              <w:left w:w="67" w:type="dxa"/>
              <w:right w:w="67" w:type="dxa"/>
            </w:tcMar>
            <w:vAlign w:val="center"/>
          </w:tcPr>
          <w:p w14:paraId="64B074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5FDF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r>
      <w:tr w:rsidR="00B77EA3" w:rsidRPr="0082484A" w14:paraId="73429AD8"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41085D0"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8EA5C8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1ED34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0.0922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40359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F9814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1.0966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85025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0.8708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5CB6E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1.3808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863C4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6861B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1E181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0.3700</w:t>
            </w:r>
          </w:p>
        </w:tc>
      </w:tr>
    </w:tbl>
    <w:p w14:paraId="5D3B3565" w14:textId="77777777" w:rsidR="00B77EA3" w:rsidRPr="0082484A" w:rsidRDefault="00B77EA3" w:rsidP="00B77EA3">
      <w:pPr>
        <w:spacing w:before="0" w:line="240" w:lineRule="auto"/>
        <w:rPr>
          <w:bCs/>
          <w:sz w:val="22"/>
          <w:szCs w:val="22"/>
        </w:rPr>
      </w:pPr>
      <w:r w:rsidRPr="0082484A">
        <w:rPr>
          <w:bCs/>
          <w:sz w:val="22"/>
          <w:szCs w:val="22"/>
          <w:vertAlign w:val="superscript"/>
        </w:rPr>
        <w:t>a</w:t>
      </w:r>
      <w:r w:rsidRPr="0082484A">
        <w:rPr>
          <w:bCs/>
          <w:sz w:val="22"/>
          <w:szCs w:val="22"/>
        </w:rPr>
        <w:t xml:space="preserve"> The estimated number needed to treat for one patient with Type 2 diabetes to receive all recommended processes of care in the previous 12 months is 20</w:t>
      </w:r>
    </w:p>
    <w:p w14:paraId="437C574E" w14:textId="77777777" w:rsidR="00B77EA3" w:rsidRPr="0082484A" w:rsidRDefault="00B77EA3" w:rsidP="00B77EA3">
      <w:pPr>
        <w:spacing w:before="0" w:after="160" w:line="259" w:lineRule="auto"/>
        <w:rPr>
          <w:sz w:val="22"/>
          <w:szCs w:val="22"/>
        </w:rPr>
      </w:pPr>
      <w:r w:rsidRPr="0082484A">
        <w:rPr>
          <w:sz w:val="22"/>
          <w:szCs w:val="22"/>
        </w:rPr>
        <w:br w:type="page"/>
      </w:r>
    </w:p>
    <w:p w14:paraId="142E2F98" w14:textId="418A85A1" w:rsidR="00B77EA3" w:rsidRPr="0082484A" w:rsidRDefault="00B77EA3" w:rsidP="00B77EA3">
      <w:pPr>
        <w:spacing w:before="0" w:line="240" w:lineRule="auto"/>
        <w:rPr>
          <w:bCs/>
          <w:sz w:val="22"/>
          <w:szCs w:val="22"/>
        </w:rPr>
      </w:pPr>
      <w:bookmarkStart w:id="100" w:name="_Ref502917794"/>
      <w:bookmarkStart w:id="101" w:name="_Toc8728100"/>
      <w:bookmarkStart w:id="102" w:name="_Toc19526755"/>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26</w:t>
      </w:r>
      <w:r w:rsidRPr="0082484A">
        <w:rPr>
          <w:bCs/>
          <w:noProof/>
          <w:sz w:val="22"/>
          <w:szCs w:val="22"/>
        </w:rPr>
        <w:fldChar w:fldCharType="end"/>
      </w:r>
      <w:bookmarkEnd w:id="100"/>
      <w:r w:rsidRPr="0082484A">
        <w:rPr>
          <w:bCs/>
          <w:sz w:val="22"/>
          <w:szCs w:val="22"/>
        </w:rPr>
        <w:t>: Secondary outcome for Trial 1: The proportion of patients with Type 2 diabetes receiving all recommended processes of care (excluding eye screening) in the previous 12 months (WP4A)</w:t>
      </w:r>
      <w:r w:rsidRPr="0082484A">
        <w:rPr>
          <w:bCs/>
          <w:sz w:val="22"/>
          <w:szCs w:val="22"/>
          <w:vertAlign w:val="superscript"/>
        </w:rPr>
        <w:t xml:space="preserve"> a</w:t>
      </w:r>
      <w:bookmarkEnd w:id="101"/>
      <w:bookmarkEnd w:id="102"/>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282DA0F5"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AE48F0B" w14:textId="77777777" w:rsidR="00B77EA3" w:rsidRPr="0082484A" w:rsidRDefault="00B77EA3" w:rsidP="00B77EA3">
            <w:pPr>
              <w:spacing w:before="0" w:line="240" w:lineRule="auto"/>
              <w:contextualSpacing/>
              <w:rPr>
                <w:bCs/>
                <w:sz w:val="22"/>
                <w:szCs w:val="22"/>
              </w:rPr>
            </w:pPr>
            <w:bookmarkStart w:id="103" w:name="IDX236"/>
            <w:bookmarkEnd w:id="103"/>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D507502"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A5A9AA" w14:textId="77777777" w:rsidR="00B77EA3" w:rsidRPr="0082484A" w:rsidRDefault="00B77EA3" w:rsidP="00B77EA3">
            <w:pPr>
              <w:spacing w:before="0" w:line="240" w:lineRule="auto"/>
              <w:contextualSpacing/>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6AB3BA" w14:textId="77777777" w:rsidR="00B77EA3" w:rsidRPr="0082484A" w:rsidRDefault="00B77EA3" w:rsidP="00B77EA3">
            <w:pPr>
              <w:spacing w:before="0" w:line="240" w:lineRule="auto"/>
              <w:contextualSpacing/>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07DBFA8" w14:textId="77777777" w:rsidR="00B77EA3" w:rsidRPr="0082484A" w:rsidRDefault="00B77EA3" w:rsidP="00B77EA3">
            <w:pPr>
              <w:spacing w:before="0" w:line="240" w:lineRule="auto"/>
              <w:contextualSpacing/>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32E8F1D" w14:textId="77777777" w:rsidR="00B77EA3" w:rsidRPr="0082484A" w:rsidRDefault="00B77EA3" w:rsidP="00B77EA3">
            <w:pPr>
              <w:spacing w:before="0" w:line="240" w:lineRule="auto"/>
              <w:contextualSpacing/>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C350168" w14:textId="77777777" w:rsidR="00B77EA3" w:rsidRPr="0082484A" w:rsidRDefault="00B77EA3" w:rsidP="00B77EA3">
            <w:pPr>
              <w:spacing w:before="0" w:line="240" w:lineRule="auto"/>
              <w:contextualSpacing/>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883E3A0" w14:textId="77777777" w:rsidR="00B77EA3" w:rsidRPr="0082484A" w:rsidRDefault="00B77EA3" w:rsidP="00B77EA3">
            <w:pPr>
              <w:spacing w:before="0" w:line="240" w:lineRule="auto"/>
              <w:contextualSpacing/>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6C039BA" w14:textId="77777777" w:rsidR="00B77EA3" w:rsidRPr="0082484A" w:rsidRDefault="00B77EA3" w:rsidP="00B77EA3">
            <w:pPr>
              <w:spacing w:before="0" w:line="240" w:lineRule="auto"/>
              <w:contextualSpacing/>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7739525" w14:textId="77777777" w:rsidR="00B77EA3" w:rsidRPr="0082484A" w:rsidRDefault="00B77EA3" w:rsidP="00B77EA3">
            <w:pPr>
              <w:spacing w:before="0" w:line="240" w:lineRule="auto"/>
              <w:contextualSpacing/>
              <w:jc w:val="center"/>
              <w:rPr>
                <w:bCs/>
                <w:sz w:val="22"/>
                <w:szCs w:val="22"/>
              </w:rPr>
            </w:pPr>
            <w:r w:rsidRPr="0082484A">
              <w:rPr>
                <w:bCs/>
                <w:sz w:val="22"/>
                <w:szCs w:val="22"/>
              </w:rPr>
              <w:t>P-value</w:t>
            </w:r>
          </w:p>
        </w:tc>
      </w:tr>
      <w:tr w:rsidR="00B77EA3" w:rsidRPr="0082484A" w14:paraId="2BCCFA3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849BDC" w14:textId="77777777" w:rsidR="00B77EA3" w:rsidRPr="0082484A" w:rsidRDefault="00B77EA3" w:rsidP="00B77EA3">
            <w:pPr>
              <w:spacing w:before="0" w:line="240" w:lineRule="auto"/>
              <w:contextualSpacing/>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F5C445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41B70D3B" w14:textId="77777777" w:rsidR="00B77EA3" w:rsidRPr="0082484A" w:rsidRDefault="00B77EA3" w:rsidP="00B77EA3">
            <w:pPr>
              <w:spacing w:before="0" w:line="240" w:lineRule="auto"/>
              <w:contextualSpacing/>
              <w:jc w:val="center"/>
              <w:rPr>
                <w:sz w:val="22"/>
                <w:szCs w:val="22"/>
              </w:rPr>
            </w:pPr>
            <w:r w:rsidRPr="0082484A">
              <w:rPr>
                <w:sz w:val="22"/>
                <w:szCs w:val="22"/>
              </w:rPr>
              <w:t>0.2807</w:t>
            </w:r>
          </w:p>
        </w:tc>
        <w:tc>
          <w:tcPr>
            <w:tcW w:w="1134" w:type="dxa"/>
            <w:tcBorders>
              <w:top w:val="nil"/>
              <w:left w:val="nil"/>
              <w:bottom w:val="nil"/>
              <w:right w:val="nil"/>
            </w:tcBorders>
            <w:shd w:val="clear" w:color="auto" w:fill="FFFFFF"/>
            <w:tcMar>
              <w:left w:w="67" w:type="dxa"/>
              <w:right w:w="67" w:type="dxa"/>
            </w:tcMar>
            <w:vAlign w:val="center"/>
          </w:tcPr>
          <w:p w14:paraId="268376DD" w14:textId="77777777" w:rsidR="00B77EA3" w:rsidRPr="0082484A" w:rsidRDefault="00B77EA3" w:rsidP="00B77EA3">
            <w:pPr>
              <w:spacing w:before="0" w:line="240" w:lineRule="auto"/>
              <w:contextualSpacing/>
              <w:jc w:val="center"/>
              <w:rPr>
                <w:sz w:val="22"/>
                <w:szCs w:val="22"/>
              </w:rPr>
            </w:pPr>
            <w:r w:rsidRPr="0082484A">
              <w:rPr>
                <w:sz w:val="22"/>
                <w:szCs w:val="22"/>
              </w:rPr>
              <w:t>0.1520</w:t>
            </w:r>
          </w:p>
        </w:tc>
        <w:tc>
          <w:tcPr>
            <w:tcW w:w="1134" w:type="dxa"/>
            <w:tcBorders>
              <w:top w:val="nil"/>
              <w:left w:val="nil"/>
              <w:bottom w:val="nil"/>
              <w:right w:val="nil"/>
            </w:tcBorders>
            <w:shd w:val="clear" w:color="auto" w:fill="FFFFFF"/>
            <w:tcMar>
              <w:left w:w="67" w:type="dxa"/>
              <w:right w:w="67" w:type="dxa"/>
            </w:tcMar>
            <w:vAlign w:val="center"/>
          </w:tcPr>
          <w:p w14:paraId="1C73BB61" w14:textId="77777777" w:rsidR="00B77EA3" w:rsidRPr="0082484A" w:rsidRDefault="00B77EA3" w:rsidP="00B77EA3">
            <w:pPr>
              <w:spacing w:before="0" w:line="240" w:lineRule="auto"/>
              <w:contextualSpacing/>
              <w:jc w:val="center"/>
              <w:rPr>
                <w:sz w:val="22"/>
                <w:szCs w:val="22"/>
              </w:rPr>
            </w:pPr>
            <w:r w:rsidRPr="0082484A">
              <w:rPr>
                <w:sz w:val="22"/>
                <w:szCs w:val="22"/>
              </w:rPr>
              <w:t>1.3241</w:t>
            </w:r>
          </w:p>
        </w:tc>
        <w:tc>
          <w:tcPr>
            <w:tcW w:w="1134" w:type="dxa"/>
            <w:tcBorders>
              <w:top w:val="nil"/>
              <w:left w:val="nil"/>
              <w:bottom w:val="nil"/>
              <w:right w:val="nil"/>
            </w:tcBorders>
            <w:shd w:val="clear" w:color="auto" w:fill="FFFFFF"/>
            <w:tcMar>
              <w:left w:w="67" w:type="dxa"/>
              <w:right w:w="67" w:type="dxa"/>
            </w:tcMar>
            <w:vAlign w:val="center"/>
          </w:tcPr>
          <w:p w14:paraId="1EE82978" w14:textId="77777777" w:rsidR="00B77EA3" w:rsidRPr="0082484A" w:rsidRDefault="00B77EA3" w:rsidP="00B77EA3">
            <w:pPr>
              <w:spacing w:before="0" w:line="240" w:lineRule="auto"/>
              <w:contextualSpacing/>
              <w:jc w:val="center"/>
              <w:rPr>
                <w:sz w:val="22"/>
                <w:szCs w:val="22"/>
              </w:rPr>
            </w:pPr>
            <w:r w:rsidRPr="0082484A">
              <w:rPr>
                <w:sz w:val="22"/>
                <w:szCs w:val="22"/>
              </w:rPr>
              <w:t>0.9417</w:t>
            </w:r>
          </w:p>
        </w:tc>
        <w:tc>
          <w:tcPr>
            <w:tcW w:w="1134" w:type="dxa"/>
            <w:tcBorders>
              <w:top w:val="nil"/>
              <w:left w:val="nil"/>
              <w:bottom w:val="nil"/>
              <w:right w:val="nil"/>
            </w:tcBorders>
            <w:shd w:val="clear" w:color="auto" w:fill="FFFFFF"/>
            <w:tcMar>
              <w:left w:w="67" w:type="dxa"/>
              <w:right w:w="67" w:type="dxa"/>
            </w:tcMar>
            <w:vAlign w:val="center"/>
          </w:tcPr>
          <w:p w14:paraId="4B8BA108" w14:textId="77777777" w:rsidR="00B77EA3" w:rsidRPr="0082484A" w:rsidRDefault="00B77EA3" w:rsidP="00B77EA3">
            <w:pPr>
              <w:spacing w:before="0" w:line="240" w:lineRule="auto"/>
              <w:contextualSpacing/>
              <w:jc w:val="center"/>
              <w:rPr>
                <w:sz w:val="22"/>
                <w:szCs w:val="22"/>
              </w:rPr>
            </w:pPr>
            <w:r w:rsidRPr="0082484A">
              <w:rPr>
                <w:sz w:val="22"/>
                <w:szCs w:val="22"/>
              </w:rPr>
              <w:t>1.8618</w:t>
            </w:r>
          </w:p>
        </w:tc>
        <w:tc>
          <w:tcPr>
            <w:tcW w:w="1134" w:type="dxa"/>
            <w:tcBorders>
              <w:top w:val="nil"/>
              <w:left w:val="nil"/>
              <w:bottom w:val="nil"/>
              <w:right w:val="nil"/>
            </w:tcBorders>
            <w:shd w:val="clear" w:color="auto" w:fill="FFFFFF"/>
            <w:tcMar>
              <w:left w:w="67" w:type="dxa"/>
              <w:right w:w="67" w:type="dxa"/>
            </w:tcMar>
            <w:vAlign w:val="center"/>
          </w:tcPr>
          <w:p w14:paraId="46AD91D6" w14:textId="77777777" w:rsidR="00B77EA3" w:rsidRPr="0082484A" w:rsidRDefault="00B77EA3" w:rsidP="00B77EA3">
            <w:pPr>
              <w:spacing w:before="0" w:line="240" w:lineRule="auto"/>
              <w:contextualSpacing/>
              <w:jc w:val="center"/>
              <w:rPr>
                <w:sz w:val="22"/>
                <w:szCs w:val="22"/>
              </w:rPr>
            </w:pPr>
            <w:r w:rsidRPr="0082484A">
              <w:rPr>
                <w:sz w:val="22"/>
                <w:szCs w:val="22"/>
              </w:rPr>
              <w:t>3.41</w:t>
            </w:r>
          </w:p>
        </w:tc>
        <w:tc>
          <w:tcPr>
            <w:tcW w:w="567" w:type="dxa"/>
            <w:tcBorders>
              <w:top w:val="nil"/>
              <w:left w:val="nil"/>
              <w:bottom w:val="nil"/>
              <w:right w:val="nil"/>
            </w:tcBorders>
            <w:shd w:val="clear" w:color="auto" w:fill="FFFFFF"/>
            <w:tcMar>
              <w:left w:w="67" w:type="dxa"/>
              <w:right w:w="67" w:type="dxa"/>
            </w:tcMar>
            <w:vAlign w:val="center"/>
          </w:tcPr>
          <w:p w14:paraId="0BC0A818"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FD6307" w14:textId="77777777" w:rsidR="00B77EA3" w:rsidRPr="0082484A" w:rsidRDefault="00B77EA3" w:rsidP="00B77EA3">
            <w:pPr>
              <w:spacing w:before="0" w:line="240" w:lineRule="auto"/>
              <w:contextualSpacing/>
              <w:jc w:val="center"/>
              <w:rPr>
                <w:sz w:val="22"/>
                <w:szCs w:val="22"/>
              </w:rPr>
            </w:pPr>
            <w:r w:rsidRPr="0082484A">
              <w:rPr>
                <w:sz w:val="22"/>
                <w:szCs w:val="22"/>
              </w:rPr>
              <w:t>0.0649</w:t>
            </w:r>
          </w:p>
        </w:tc>
      </w:tr>
      <w:tr w:rsidR="00B77EA3" w:rsidRPr="0082484A" w14:paraId="6B51233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1A8787B" w14:textId="77777777" w:rsidR="00B77EA3" w:rsidRPr="0082484A" w:rsidRDefault="00B77EA3" w:rsidP="00B77EA3">
            <w:pPr>
              <w:spacing w:before="0" w:line="240" w:lineRule="auto"/>
              <w:contextualSpacing/>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722F8B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43ACBCBB" w14:textId="77777777" w:rsidR="00B77EA3" w:rsidRPr="0082484A" w:rsidRDefault="00B77EA3" w:rsidP="00B77EA3">
            <w:pPr>
              <w:spacing w:before="0" w:line="240" w:lineRule="auto"/>
              <w:contextualSpacing/>
              <w:jc w:val="center"/>
              <w:rPr>
                <w:sz w:val="22"/>
                <w:szCs w:val="22"/>
              </w:rPr>
            </w:pPr>
            <w:r w:rsidRPr="0082484A">
              <w:rPr>
                <w:sz w:val="22"/>
                <w:szCs w:val="22"/>
              </w:rPr>
              <w:t>-0.2656</w:t>
            </w:r>
          </w:p>
        </w:tc>
        <w:tc>
          <w:tcPr>
            <w:tcW w:w="1134" w:type="dxa"/>
            <w:tcBorders>
              <w:top w:val="nil"/>
              <w:left w:val="nil"/>
              <w:bottom w:val="nil"/>
              <w:right w:val="nil"/>
            </w:tcBorders>
            <w:shd w:val="clear" w:color="auto" w:fill="FFFFFF"/>
            <w:tcMar>
              <w:left w:w="67" w:type="dxa"/>
              <w:right w:w="67" w:type="dxa"/>
            </w:tcMar>
            <w:vAlign w:val="center"/>
          </w:tcPr>
          <w:p w14:paraId="54D11E82" w14:textId="77777777" w:rsidR="00B77EA3" w:rsidRPr="0082484A" w:rsidRDefault="00B77EA3" w:rsidP="00B77EA3">
            <w:pPr>
              <w:spacing w:before="0" w:line="240" w:lineRule="auto"/>
              <w:contextualSpacing/>
              <w:jc w:val="center"/>
              <w:rPr>
                <w:sz w:val="22"/>
                <w:szCs w:val="22"/>
              </w:rPr>
            </w:pPr>
            <w:r w:rsidRPr="0082484A">
              <w:rPr>
                <w:sz w:val="22"/>
                <w:szCs w:val="22"/>
              </w:rPr>
              <w:t>0.0244</w:t>
            </w:r>
          </w:p>
        </w:tc>
        <w:tc>
          <w:tcPr>
            <w:tcW w:w="1134" w:type="dxa"/>
            <w:tcBorders>
              <w:top w:val="nil"/>
              <w:left w:val="nil"/>
              <w:bottom w:val="nil"/>
              <w:right w:val="nil"/>
            </w:tcBorders>
            <w:shd w:val="clear" w:color="auto" w:fill="FFFFFF"/>
            <w:tcMar>
              <w:left w:w="67" w:type="dxa"/>
              <w:right w:w="67" w:type="dxa"/>
            </w:tcMar>
            <w:vAlign w:val="center"/>
          </w:tcPr>
          <w:p w14:paraId="758C537D" w14:textId="77777777" w:rsidR="00B77EA3" w:rsidRPr="0082484A" w:rsidRDefault="00B77EA3" w:rsidP="00B77EA3">
            <w:pPr>
              <w:spacing w:before="0" w:line="240" w:lineRule="auto"/>
              <w:contextualSpacing/>
              <w:jc w:val="center"/>
              <w:rPr>
                <w:sz w:val="22"/>
                <w:szCs w:val="22"/>
              </w:rPr>
            </w:pPr>
            <w:r w:rsidRPr="0082484A">
              <w:rPr>
                <w:sz w:val="22"/>
                <w:szCs w:val="22"/>
              </w:rPr>
              <w:t>0.7667</w:t>
            </w:r>
          </w:p>
        </w:tc>
        <w:tc>
          <w:tcPr>
            <w:tcW w:w="1134" w:type="dxa"/>
            <w:tcBorders>
              <w:top w:val="nil"/>
              <w:left w:val="nil"/>
              <w:bottom w:val="nil"/>
              <w:right w:val="nil"/>
            </w:tcBorders>
            <w:shd w:val="clear" w:color="auto" w:fill="FFFFFF"/>
            <w:tcMar>
              <w:left w:w="67" w:type="dxa"/>
              <w:right w:w="67" w:type="dxa"/>
            </w:tcMar>
            <w:vAlign w:val="center"/>
          </w:tcPr>
          <w:p w14:paraId="236BE2B1" w14:textId="77777777" w:rsidR="00B77EA3" w:rsidRPr="0082484A" w:rsidRDefault="00B77EA3" w:rsidP="00B77EA3">
            <w:pPr>
              <w:spacing w:before="0" w:line="240" w:lineRule="auto"/>
              <w:contextualSpacing/>
              <w:jc w:val="center"/>
              <w:rPr>
                <w:sz w:val="22"/>
                <w:szCs w:val="22"/>
              </w:rPr>
            </w:pPr>
            <w:r w:rsidRPr="0082484A">
              <w:rPr>
                <w:sz w:val="22"/>
                <w:szCs w:val="22"/>
              </w:rPr>
              <w:t>0.7259</w:t>
            </w:r>
          </w:p>
        </w:tc>
        <w:tc>
          <w:tcPr>
            <w:tcW w:w="1134" w:type="dxa"/>
            <w:tcBorders>
              <w:top w:val="nil"/>
              <w:left w:val="nil"/>
              <w:bottom w:val="nil"/>
              <w:right w:val="nil"/>
            </w:tcBorders>
            <w:shd w:val="clear" w:color="auto" w:fill="FFFFFF"/>
            <w:tcMar>
              <w:left w:w="67" w:type="dxa"/>
              <w:right w:w="67" w:type="dxa"/>
            </w:tcMar>
            <w:vAlign w:val="center"/>
          </w:tcPr>
          <w:p w14:paraId="7CE45293" w14:textId="77777777" w:rsidR="00B77EA3" w:rsidRPr="0082484A" w:rsidRDefault="00B77EA3" w:rsidP="00B77EA3">
            <w:pPr>
              <w:spacing w:before="0" w:line="240" w:lineRule="auto"/>
              <w:contextualSpacing/>
              <w:jc w:val="center"/>
              <w:rPr>
                <w:sz w:val="22"/>
                <w:szCs w:val="22"/>
              </w:rPr>
            </w:pPr>
            <w:r w:rsidRPr="0082484A">
              <w:rPr>
                <w:sz w:val="22"/>
                <w:szCs w:val="22"/>
              </w:rPr>
              <w:t>0.8098</w:t>
            </w:r>
          </w:p>
        </w:tc>
        <w:tc>
          <w:tcPr>
            <w:tcW w:w="1134" w:type="dxa"/>
            <w:tcBorders>
              <w:top w:val="nil"/>
              <w:left w:val="nil"/>
              <w:bottom w:val="nil"/>
              <w:right w:val="nil"/>
            </w:tcBorders>
            <w:shd w:val="clear" w:color="auto" w:fill="FFFFFF"/>
            <w:tcMar>
              <w:left w:w="67" w:type="dxa"/>
              <w:right w:w="67" w:type="dxa"/>
            </w:tcMar>
            <w:vAlign w:val="center"/>
          </w:tcPr>
          <w:p w14:paraId="5E40CD08" w14:textId="77777777" w:rsidR="00B77EA3" w:rsidRPr="0082484A" w:rsidRDefault="00B77EA3" w:rsidP="00B77EA3">
            <w:pPr>
              <w:spacing w:before="0" w:line="240" w:lineRule="auto"/>
              <w:contextualSpacing/>
              <w:jc w:val="center"/>
              <w:rPr>
                <w:sz w:val="22"/>
                <w:szCs w:val="22"/>
              </w:rPr>
            </w:pPr>
            <w:r w:rsidRPr="0082484A">
              <w:rPr>
                <w:sz w:val="22"/>
                <w:szCs w:val="22"/>
              </w:rPr>
              <w:t>118.64</w:t>
            </w:r>
          </w:p>
        </w:tc>
        <w:tc>
          <w:tcPr>
            <w:tcW w:w="567" w:type="dxa"/>
            <w:tcBorders>
              <w:top w:val="nil"/>
              <w:left w:val="nil"/>
              <w:bottom w:val="nil"/>
              <w:right w:val="nil"/>
            </w:tcBorders>
            <w:shd w:val="clear" w:color="auto" w:fill="FFFFFF"/>
            <w:tcMar>
              <w:left w:w="67" w:type="dxa"/>
              <w:right w:w="67" w:type="dxa"/>
            </w:tcMar>
            <w:vAlign w:val="center"/>
          </w:tcPr>
          <w:p w14:paraId="7706A104"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5C12FC" w14:textId="77777777" w:rsidR="00B77EA3" w:rsidRPr="0082484A" w:rsidRDefault="00B77EA3" w:rsidP="00B77EA3">
            <w:pPr>
              <w:spacing w:before="0" w:line="240" w:lineRule="auto"/>
              <w:contextualSpacing/>
              <w:jc w:val="center"/>
              <w:rPr>
                <w:sz w:val="22"/>
                <w:szCs w:val="22"/>
              </w:rPr>
            </w:pPr>
            <w:r w:rsidRPr="0082484A">
              <w:rPr>
                <w:sz w:val="22"/>
                <w:szCs w:val="22"/>
              </w:rPr>
              <w:t>&lt;.0001</w:t>
            </w:r>
          </w:p>
        </w:tc>
      </w:tr>
      <w:tr w:rsidR="00B77EA3" w:rsidRPr="0082484A" w14:paraId="41C17C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2BFD9E2" w14:textId="77777777" w:rsidR="00B77EA3" w:rsidRPr="0082484A" w:rsidRDefault="00B77EA3" w:rsidP="00B77EA3">
            <w:pPr>
              <w:spacing w:before="0" w:line="240" w:lineRule="auto"/>
              <w:contextualSpacing/>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351666E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7758CEC" w14:textId="77777777" w:rsidR="00B77EA3" w:rsidRPr="0082484A" w:rsidRDefault="00B77EA3" w:rsidP="00B77EA3">
            <w:pPr>
              <w:spacing w:before="0" w:line="240" w:lineRule="auto"/>
              <w:contextualSpacing/>
              <w:jc w:val="center"/>
              <w:rPr>
                <w:sz w:val="22"/>
                <w:szCs w:val="22"/>
              </w:rPr>
            </w:pPr>
            <w:r w:rsidRPr="0082484A">
              <w:rPr>
                <w:sz w:val="22"/>
                <w:szCs w:val="22"/>
              </w:rPr>
              <w:t>0.0110</w:t>
            </w:r>
          </w:p>
        </w:tc>
        <w:tc>
          <w:tcPr>
            <w:tcW w:w="1134" w:type="dxa"/>
            <w:tcBorders>
              <w:top w:val="nil"/>
              <w:left w:val="nil"/>
              <w:bottom w:val="nil"/>
              <w:right w:val="nil"/>
            </w:tcBorders>
            <w:shd w:val="clear" w:color="auto" w:fill="FFFFFF"/>
            <w:tcMar>
              <w:left w:w="67" w:type="dxa"/>
              <w:right w:w="67" w:type="dxa"/>
            </w:tcMar>
            <w:vAlign w:val="center"/>
          </w:tcPr>
          <w:p w14:paraId="33AC02A4" w14:textId="77777777" w:rsidR="00B77EA3" w:rsidRPr="0082484A" w:rsidRDefault="00B77EA3" w:rsidP="00B77EA3">
            <w:pPr>
              <w:spacing w:before="0" w:line="240" w:lineRule="auto"/>
              <w:contextualSpacing/>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68EE1D4D" w14:textId="77777777" w:rsidR="00B77EA3" w:rsidRPr="0082484A" w:rsidRDefault="00B77EA3" w:rsidP="00B77EA3">
            <w:pPr>
              <w:spacing w:before="0" w:line="240" w:lineRule="auto"/>
              <w:contextualSpacing/>
              <w:jc w:val="center"/>
              <w:rPr>
                <w:sz w:val="22"/>
                <w:szCs w:val="22"/>
              </w:rPr>
            </w:pPr>
            <w:r w:rsidRPr="0082484A">
              <w:rPr>
                <w:sz w:val="22"/>
                <w:szCs w:val="22"/>
              </w:rPr>
              <w:t>1.0111</w:t>
            </w:r>
          </w:p>
        </w:tc>
        <w:tc>
          <w:tcPr>
            <w:tcW w:w="1134" w:type="dxa"/>
            <w:tcBorders>
              <w:top w:val="nil"/>
              <w:left w:val="nil"/>
              <w:bottom w:val="nil"/>
              <w:right w:val="nil"/>
            </w:tcBorders>
            <w:shd w:val="clear" w:color="auto" w:fill="FFFFFF"/>
            <w:tcMar>
              <w:left w:w="67" w:type="dxa"/>
              <w:right w:w="67" w:type="dxa"/>
            </w:tcMar>
            <w:vAlign w:val="center"/>
          </w:tcPr>
          <w:p w14:paraId="11E6F701" w14:textId="77777777" w:rsidR="00B77EA3" w:rsidRPr="0082484A" w:rsidRDefault="00B77EA3" w:rsidP="00B77EA3">
            <w:pPr>
              <w:spacing w:before="0" w:line="240" w:lineRule="auto"/>
              <w:contextualSpacing/>
              <w:jc w:val="center"/>
              <w:rPr>
                <w:sz w:val="22"/>
                <w:szCs w:val="22"/>
              </w:rPr>
            </w:pPr>
            <w:r w:rsidRPr="0082484A">
              <w:rPr>
                <w:sz w:val="22"/>
                <w:szCs w:val="22"/>
              </w:rPr>
              <w:t>1.0090</w:t>
            </w:r>
          </w:p>
        </w:tc>
        <w:tc>
          <w:tcPr>
            <w:tcW w:w="1134" w:type="dxa"/>
            <w:tcBorders>
              <w:top w:val="nil"/>
              <w:left w:val="nil"/>
              <w:bottom w:val="nil"/>
              <w:right w:val="nil"/>
            </w:tcBorders>
            <w:shd w:val="clear" w:color="auto" w:fill="FFFFFF"/>
            <w:tcMar>
              <w:left w:w="67" w:type="dxa"/>
              <w:right w:w="67" w:type="dxa"/>
            </w:tcMar>
            <w:vAlign w:val="center"/>
          </w:tcPr>
          <w:p w14:paraId="649EA7A5" w14:textId="77777777" w:rsidR="00B77EA3" w:rsidRPr="0082484A" w:rsidRDefault="00B77EA3" w:rsidP="00B77EA3">
            <w:pPr>
              <w:spacing w:before="0" w:line="240" w:lineRule="auto"/>
              <w:contextualSpacing/>
              <w:jc w:val="center"/>
              <w:rPr>
                <w:sz w:val="22"/>
                <w:szCs w:val="22"/>
              </w:rPr>
            </w:pPr>
            <w:r w:rsidRPr="0082484A">
              <w:rPr>
                <w:sz w:val="22"/>
                <w:szCs w:val="22"/>
              </w:rPr>
              <w:t>1.0131</w:t>
            </w:r>
          </w:p>
        </w:tc>
        <w:tc>
          <w:tcPr>
            <w:tcW w:w="1134" w:type="dxa"/>
            <w:tcBorders>
              <w:top w:val="nil"/>
              <w:left w:val="nil"/>
              <w:bottom w:val="nil"/>
              <w:right w:val="nil"/>
            </w:tcBorders>
            <w:shd w:val="clear" w:color="auto" w:fill="FFFFFF"/>
            <w:tcMar>
              <w:left w:w="67" w:type="dxa"/>
              <w:right w:w="67" w:type="dxa"/>
            </w:tcMar>
            <w:vAlign w:val="center"/>
          </w:tcPr>
          <w:p w14:paraId="35924D51" w14:textId="77777777" w:rsidR="00B77EA3" w:rsidRPr="0082484A" w:rsidRDefault="00B77EA3" w:rsidP="00B77EA3">
            <w:pPr>
              <w:spacing w:before="0" w:line="240" w:lineRule="auto"/>
              <w:contextualSpacing/>
              <w:jc w:val="center"/>
              <w:rPr>
                <w:sz w:val="22"/>
                <w:szCs w:val="22"/>
              </w:rPr>
            </w:pPr>
            <w:r w:rsidRPr="0082484A">
              <w:rPr>
                <w:sz w:val="22"/>
                <w:szCs w:val="22"/>
              </w:rPr>
              <w:t>148.90</w:t>
            </w:r>
          </w:p>
        </w:tc>
        <w:tc>
          <w:tcPr>
            <w:tcW w:w="567" w:type="dxa"/>
            <w:tcBorders>
              <w:top w:val="nil"/>
              <w:left w:val="nil"/>
              <w:bottom w:val="nil"/>
              <w:right w:val="nil"/>
            </w:tcBorders>
            <w:shd w:val="clear" w:color="auto" w:fill="FFFFFF"/>
            <w:tcMar>
              <w:left w:w="67" w:type="dxa"/>
              <w:right w:w="67" w:type="dxa"/>
            </w:tcMar>
            <w:vAlign w:val="center"/>
          </w:tcPr>
          <w:p w14:paraId="48ACF73D"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E95BEB2" w14:textId="77777777" w:rsidR="00B77EA3" w:rsidRPr="0082484A" w:rsidRDefault="00B77EA3" w:rsidP="00B77EA3">
            <w:pPr>
              <w:spacing w:before="0" w:line="240" w:lineRule="auto"/>
              <w:contextualSpacing/>
              <w:jc w:val="center"/>
              <w:rPr>
                <w:sz w:val="22"/>
                <w:szCs w:val="22"/>
              </w:rPr>
            </w:pPr>
            <w:r w:rsidRPr="0082484A">
              <w:rPr>
                <w:sz w:val="22"/>
                <w:szCs w:val="22"/>
              </w:rPr>
              <w:t>&lt;.0001</w:t>
            </w:r>
          </w:p>
        </w:tc>
      </w:tr>
      <w:tr w:rsidR="00B77EA3" w:rsidRPr="0082484A" w14:paraId="0211820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6DF3D91" w14:textId="77777777" w:rsidR="00B77EA3" w:rsidRPr="0082484A" w:rsidRDefault="00B77EA3" w:rsidP="00B77EA3">
            <w:pPr>
              <w:spacing w:before="0" w:line="240" w:lineRule="auto"/>
              <w:contextualSpacing/>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D49A80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DBF47BD" w14:textId="77777777" w:rsidR="00B77EA3" w:rsidRPr="0082484A" w:rsidRDefault="00B77EA3" w:rsidP="00B77EA3">
            <w:pPr>
              <w:spacing w:before="0" w:line="240" w:lineRule="auto"/>
              <w:contextualSpacing/>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2E3016E5" w14:textId="77777777" w:rsidR="00B77EA3" w:rsidRPr="0082484A" w:rsidRDefault="00B77EA3" w:rsidP="00B77EA3">
            <w:pPr>
              <w:spacing w:before="0" w:line="240" w:lineRule="auto"/>
              <w:contextualSpacing/>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05EB2523" w14:textId="77777777" w:rsidR="00B77EA3" w:rsidRPr="0082484A" w:rsidRDefault="00B77EA3" w:rsidP="00B77EA3">
            <w:pPr>
              <w:spacing w:before="0" w:line="240" w:lineRule="auto"/>
              <w:contextualSpacing/>
              <w:jc w:val="center"/>
              <w:rPr>
                <w:sz w:val="22"/>
                <w:szCs w:val="22"/>
              </w:rPr>
            </w:pPr>
            <w:r w:rsidRPr="0082484A">
              <w:rPr>
                <w:sz w:val="22"/>
                <w:szCs w:val="22"/>
              </w:rPr>
              <w:t>1.0014</w:t>
            </w:r>
          </w:p>
        </w:tc>
        <w:tc>
          <w:tcPr>
            <w:tcW w:w="1134" w:type="dxa"/>
            <w:tcBorders>
              <w:top w:val="nil"/>
              <w:left w:val="nil"/>
              <w:bottom w:val="nil"/>
              <w:right w:val="nil"/>
            </w:tcBorders>
            <w:shd w:val="clear" w:color="auto" w:fill="FFFFFF"/>
            <w:tcMar>
              <w:left w:w="67" w:type="dxa"/>
              <w:right w:w="67" w:type="dxa"/>
            </w:tcMar>
            <w:vAlign w:val="center"/>
          </w:tcPr>
          <w:p w14:paraId="28FC704E" w14:textId="77777777" w:rsidR="00B77EA3" w:rsidRPr="0082484A" w:rsidRDefault="00B77EA3" w:rsidP="00B77EA3">
            <w:pPr>
              <w:spacing w:before="0" w:line="240" w:lineRule="auto"/>
              <w:contextualSpacing/>
              <w:jc w:val="center"/>
              <w:rPr>
                <w:sz w:val="22"/>
                <w:szCs w:val="22"/>
              </w:rPr>
            </w:pPr>
            <w:r w:rsidRPr="0082484A">
              <w:rPr>
                <w:sz w:val="22"/>
                <w:szCs w:val="22"/>
              </w:rPr>
              <w:t>0.9962</w:t>
            </w:r>
          </w:p>
        </w:tc>
        <w:tc>
          <w:tcPr>
            <w:tcW w:w="1134" w:type="dxa"/>
            <w:tcBorders>
              <w:top w:val="nil"/>
              <w:left w:val="nil"/>
              <w:bottom w:val="nil"/>
              <w:right w:val="nil"/>
            </w:tcBorders>
            <w:shd w:val="clear" w:color="auto" w:fill="FFFFFF"/>
            <w:tcMar>
              <w:left w:w="67" w:type="dxa"/>
              <w:right w:w="67" w:type="dxa"/>
            </w:tcMar>
            <w:vAlign w:val="center"/>
          </w:tcPr>
          <w:p w14:paraId="776D29D6" w14:textId="77777777" w:rsidR="00B77EA3" w:rsidRPr="0082484A" w:rsidRDefault="00B77EA3" w:rsidP="00B77EA3">
            <w:pPr>
              <w:spacing w:before="0" w:line="240" w:lineRule="auto"/>
              <w:contextualSpacing/>
              <w:jc w:val="center"/>
              <w:rPr>
                <w:sz w:val="22"/>
                <w:szCs w:val="22"/>
              </w:rPr>
            </w:pPr>
            <w:r w:rsidRPr="0082484A">
              <w:rPr>
                <w:sz w:val="22"/>
                <w:szCs w:val="22"/>
              </w:rPr>
              <w:t>1.0067</w:t>
            </w:r>
          </w:p>
        </w:tc>
        <w:tc>
          <w:tcPr>
            <w:tcW w:w="1134" w:type="dxa"/>
            <w:tcBorders>
              <w:top w:val="nil"/>
              <w:left w:val="nil"/>
              <w:bottom w:val="nil"/>
              <w:right w:val="nil"/>
            </w:tcBorders>
            <w:shd w:val="clear" w:color="auto" w:fill="FFFFFF"/>
            <w:tcMar>
              <w:left w:w="67" w:type="dxa"/>
              <w:right w:w="67" w:type="dxa"/>
            </w:tcMar>
            <w:vAlign w:val="center"/>
          </w:tcPr>
          <w:p w14:paraId="31EAFE37" w14:textId="77777777" w:rsidR="00B77EA3" w:rsidRPr="0082484A" w:rsidRDefault="00B77EA3" w:rsidP="00B77EA3">
            <w:pPr>
              <w:spacing w:before="0" w:line="240" w:lineRule="auto"/>
              <w:contextualSpacing/>
              <w:jc w:val="center"/>
              <w:rPr>
                <w:sz w:val="22"/>
                <w:szCs w:val="22"/>
              </w:rPr>
            </w:pPr>
            <w:r w:rsidRPr="0082484A">
              <w:rPr>
                <w:sz w:val="22"/>
                <w:szCs w:val="22"/>
              </w:rPr>
              <w:t>0.37</w:t>
            </w:r>
          </w:p>
        </w:tc>
        <w:tc>
          <w:tcPr>
            <w:tcW w:w="567" w:type="dxa"/>
            <w:tcBorders>
              <w:top w:val="nil"/>
              <w:left w:val="nil"/>
              <w:bottom w:val="nil"/>
              <w:right w:val="nil"/>
            </w:tcBorders>
            <w:shd w:val="clear" w:color="auto" w:fill="FFFFFF"/>
            <w:tcMar>
              <w:left w:w="67" w:type="dxa"/>
              <w:right w:w="67" w:type="dxa"/>
            </w:tcMar>
            <w:vAlign w:val="center"/>
          </w:tcPr>
          <w:p w14:paraId="1F27470B"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DD3A47" w14:textId="77777777" w:rsidR="00B77EA3" w:rsidRPr="0082484A" w:rsidRDefault="00B77EA3" w:rsidP="00B77EA3">
            <w:pPr>
              <w:spacing w:before="0" w:line="240" w:lineRule="auto"/>
              <w:contextualSpacing/>
              <w:jc w:val="center"/>
              <w:rPr>
                <w:sz w:val="22"/>
                <w:szCs w:val="22"/>
              </w:rPr>
            </w:pPr>
            <w:r w:rsidRPr="0082484A">
              <w:rPr>
                <w:sz w:val="22"/>
                <w:szCs w:val="22"/>
              </w:rPr>
              <w:t>0.5408</w:t>
            </w:r>
          </w:p>
        </w:tc>
      </w:tr>
      <w:tr w:rsidR="00B77EA3" w:rsidRPr="0082484A" w14:paraId="1D39BF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4B4E30F"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A77A4F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B00ABDD" w14:textId="77777777" w:rsidR="00B77EA3" w:rsidRPr="0082484A" w:rsidRDefault="00B77EA3" w:rsidP="00B77EA3">
            <w:pPr>
              <w:spacing w:before="0" w:line="240" w:lineRule="auto"/>
              <w:contextualSpacing/>
              <w:jc w:val="center"/>
              <w:rPr>
                <w:sz w:val="22"/>
                <w:szCs w:val="22"/>
              </w:rPr>
            </w:pPr>
            <w:r w:rsidRPr="0082484A">
              <w:rPr>
                <w:sz w:val="22"/>
                <w:szCs w:val="22"/>
              </w:rPr>
              <w:t>-0.9007</w:t>
            </w:r>
          </w:p>
        </w:tc>
        <w:tc>
          <w:tcPr>
            <w:tcW w:w="1134" w:type="dxa"/>
            <w:tcBorders>
              <w:top w:val="nil"/>
              <w:left w:val="nil"/>
              <w:bottom w:val="nil"/>
              <w:right w:val="nil"/>
            </w:tcBorders>
            <w:shd w:val="clear" w:color="auto" w:fill="FFFFFF"/>
            <w:tcMar>
              <w:left w:w="67" w:type="dxa"/>
              <w:right w:w="67" w:type="dxa"/>
            </w:tcMar>
            <w:vAlign w:val="center"/>
          </w:tcPr>
          <w:p w14:paraId="23CE1B19" w14:textId="77777777" w:rsidR="00B77EA3" w:rsidRPr="0082484A" w:rsidRDefault="00B77EA3" w:rsidP="00B77EA3">
            <w:pPr>
              <w:spacing w:before="0" w:line="240" w:lineRule="auto"/>
              <w:contextualSpacing/>
              <w:jc w:val="center"/>
              <w:rPr>
                <w:sz w:val="22"/>
                <w:szCs w:val="22"/>
              </w:rPr>
            </w:pPr>
            <w:r w:rsidRPr="0082484A">
              <w:rPr>
                <w:sz w:val="22"/>
                <w:szCs w:val="22"/>
              </w:rPr>
              <w:t>0.4365</w:t>
            </w:r>
          </w:p>
        </w:tc>
        <w:tc>
          <w:tcPr>
            <w:tcW w:w="1134" w:type="dxa"/>
            <w:tcBorders>
              <w:top w:val="nil"/>
              <w:left w:val="nil"/>
              <w:bottom w:val="nil"/>
              <w:right w:val="nil"/>
            </w:tcBorders>
            <w:shd w:val="clear" w:color="auto" w:fill="FFFFFF"/>
            <w:tcMar>
              <w:left w:w="67" w:type="dxa"/>
              <w:right w:w="67" w:type="dxa"/>
            </w:tcMar>
            <w:vAlign w:val="center"/>
          </w:tcPr>
          <w:p w14:paraId="34F25172" w14:textId="77777777" w:rsidR="00B77EA3" w:rsidRPr="0082484A" w:rsidRDefault="00B77EA3" w:rsidP="00B77EA3">
            <w:pPr>
              <w:spacing w:before="0" w:line="240" w:lineRule="auto"/>
              <w:contextualSpacing/>
              <w:jc w:val="center"/>
              <w:rPr>
                <w:sz w:val="22"/>
                <w:szCs w:val="22"/>
              </w:rPr>
            </w:pPr>
            <w:r w:rsidRPr="0082484A">
              <w:rPr>
                <w:sz w:val="22"/>
                <w:szCs w:val="22"/>
              </w:rPr>
              <w:t>0.4063</w:t>
            </w:r>
          </w:p>
        </w:tc>
        <w:tc>
          <w:tcPr>
            <w:tcW w:w="1134" w:type="dxa"/>
            <w:tcBorders>
              <w:top w:val="nil"/>
              <w:left w:val="nil"/>
              <w:bottom w:val="nil"/>
              <w:right w:val="nil"/>
            </w:tcBorders>
            <w:shd w:val="clear" w:color="auto" w:fill="FFFFFF"/>
            <w:tcMar>
              <w:left w:w="67" w:type="dxa"/>
              <w:right w:w="67" w:type="dxa"/>
            </w:tcMar>
            <w:vAlign w:val="center"/>
          </w:tcPr>
          <w:p w14:paraId="4F2B4134" w14:textId="77777777" w:rsidR="00B77EA3" w:rsidRPr="0082484A" w:rsidRDefault="00B77EA3" w:rsidP="00B77EA3">
            <w:pPr>
              <w:spacing w:before="0" w:line="240" w:lineRule="auto"/>
              <w:contextualSpacing/>
              <w:jc w:val="center"/>
              <w:rPr>
                <w:sz w:val="22"/>
                <w:szCs w:val="22"/>
              </w:rPr>
            </w:pPr>
            <w:r w:rsidRPr="0082484A">
              <w:rPr>
                <w:sz w:val="22"/>
                <w:szCs w:val="22"/>
              </w:rPr>
              <w:t>0.1527</w:t>
            </w:r>
          </w:p>
        </w:tc>
        <w:tc>
          <w:tcPr>
            <w:tcW w:w="1134" w:type="dxa"/>
            <w:tcBorders>
              <w:top w:val="nil"/>
              <w:left w:val="nil"/>
              <w:bottom w:val="nil"/>
              <w:right w:val="nil"/>
            </w:tcBorders>
            <w:shd w:val="clear" w:color="auto" w:fill="FFFFFF"/>
            <w:tcMar>
              <w:left w:w="67" w:type="dxa"/>
              <w:right w:w="67" w:type="dxa"/>
            </w:tcMar>
            <w:vAlign w:val="center"/>
          </w:tcPr>
          <w:p w14:paraId="497149F9" w14:textId="77777777" w:rsidR="00B77EA3" w:rsidRPr="0082484A" w:rsidRDefault="00B77EA3" w:rsidP="00B77EA3">
            <w:pPr>
              <w:spacing w:before="0" w:line="240" w:lineRule="auto"/>
              <w:contextualSpacing/>
              <w:jc w:val="center"/>
              <w:rPr>
                <w:sz w:val="22"/>
                <w:szCs w:val="22"/>
              </w:rPr>
            </w:pPr>
            <w:r w:rsidRPr="0082484A">
              <w:rPr>
                <w:sz w:val="22"/>
                <w:szCs w:val="22"/>
              </w:rPr>
              <w:t>1.0808</w:t>
            </w:r>
          </w:p>
        </w:tc>
        <w:tc>
          <w:tcPr>
            <w:tcW w:w="1134" w:type="dxa"/>
            <w:tcBorders>
              <w:top w:val="nil"/>
              <w:left w:val="nil"/>
              <w:bottom w:val="nil"/>
              <w:right w:val="nil"/>
            </w:tcBorders>
            <w:shd w:val="clear" w:color="auto" w:fill="FFFFFF"/>
            <w:tcMar>
              <w:left w:w="67" w:type="dxa"/>
              <w:right w:w="67" w:type="dxa"/>
            </w:tcMar>
            <w:vAlign w:val="center"/>
          </w:tcPr>
          <w:p w14:paraId="1A2FA662" w14:textId="77777777" w:rsidR="00B77EA3" w:rsidRPr="0082484A" w:rsidRDefault="00B77EA3" w:rsidP="00B77EA3">
            <w:pPr>
              <w:spacing w:before="0" w:line="240" w:lineRule="auto"/>
              <w:contextualSpacing/>
              <w:jc w:val="center"/>
              <w:rPr>
                <w:sz w:val="22"/>
                <w:szCs w:val="22"/>
              </w:rPr>
            </w:pPr>
            <w:r w:rsidRPr="0082484A">
              <w:rPr>
                <w:sz w:val="22"/>
                <w:szCs w:val="22"/>
              </w:rPr>
              <w:t>2.52</w:t>
            </w:r>
          </w:p>
        </w:tc>
        <w:tc>
          <w:tcPr>
            <w:tcW w:w="567" w:type="dxa"/>
            <w:tcBorders>
              <w:top w:val="nil"/>
              <w:left w:val="nil"/>
              <w:bottom w:val="nil"/>
              <w:right w:val="nil"/>
            </w:tcBorders>
            <w:shd w:val="clear" w:color="auto" w:fill="FFFFFF"/>
            <w:tcMar>
              <w:left w:w="67" w:type="dxa"/>
              <w:right w:w="67" w:type="dxa"/>
            </w:tcMar>
            <w:vAlign w:val="center"/>
          </w:tcPr>
          <w:p w14:paraId="310EB7AC" w14:textId="77777777" w:rsidR="00B77EA3" w:rsidRPr="0082484A" w:rsidRDefault="00B77EA3" w:rsidP="00B77EA3">
            <w:pPr>
              <w:spacing w:before="0" w:line="240" w:lineRule="auto"/>
              <w:contextualSpacing/>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CA9128F" w14:textId="77777777" w:rsidR="00B77EA3" w:rsidRPr="0082484A" w:rsidRDefault="00B77EA3" w:rsidP="00B77EA3">
            <w:pPr>
              <w:spacing w:before="0" w:line="240" w:lineRule="auto"/>
              <w:contextualSpacing/>
              <w:jc w:val="center"/>
              <w:rPr>
                <w:sz w:val="22"/>
                <w:szCs w:val="22"/>
              </w:rPr>
            </w:pPr>
            <w:r w:rsidRPr="0082484A">
              <w:rPr>
                <w:sz w:val="22"/>
                <w:szCs w:val="22"/>
              </w:rPr>
              <w:t>0.0071</w:t>
            </w:r>
          </w:p>
        </w:tc>
      </w:tr>
      <w:tr w:rsidR="00B77EA3" w:rsidRPr="0082484A" w14:paraId="7163416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B85E2D5"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A5BF47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4BF9449" w14:textId="77777777" w:rsidR="00B77EA3" w:rsidRPr="0082484A" w:rsidRDefault="00B77EA3" w:rsidP="00B77EA3">
            <w:pPr>
              <w:spacing w:before="0" w:line="240" w:lineRule="auto"/>
              <w:contextualSpacing/>
              <w:jc w:val="center"/>
              <w:rPr>
                <w:sz w:val="22"/>
                <w:szCs w:val="22"/>
              </w:rPr>
            </w:pPr>
            <w:r w:rsidRPr="0082484A">
              <w:rPr>
                <w:sz w:val="22"/>
                <w:szCs w:val="22"/>
              </w:rPr>
              <w:t>0.1650</w:t>
            </w:r>
          </w:p>
        </w:tc>
        <w:tc>
          <w:tcPr>
            <w:tcW w:w="1134" w:type="dxa"/>
            <w:tcBorders>
              <w:top w:val="nil"/>
              <w:left w:val="nil"/>
              <w:bottom w:val="nil"/>
              <w:right w:val="nil"/>
            </w:tcBorders>
            <w:shd w:val="clear" w:color="auto" w:fill="FFFFFF"/>
            <w:tcMar>
              <w:left w:w="67" w:type="dxa"/>
              <w:right w:w="67" w:type="dxa"/>
            </w:tcMar>
            <w:vAlign w:val="center"/>
          </w:tcPr>
          <w:p w14:paraId="24A8A0CB" w14:textId="77777777" w:rsidR="00B77EA3" w:rsidRPr="0082484A" w:rsidRDefault="00B77EA3" w:rsidP="00B77EA3">
            <w:pPr>
              <w:spacing w:before="0" w:line="240" w:lineRule="auto"/>
              <w:contextualSpacing/>
              <w:jc w:val="center"/>
              <w:rPr>
                <w:sz w:val="22"/>
                <w:szCs w:val="22"/>
              </w:rPr>
            </w:pPr>
            <w:r w:rsidRPr="0082484A">
              <w:rPr>
                <w:sz w:val="22"/>
                <w:szCs w:val="22"/>
              </w:rPr>
              <w:t>0.3721</w:t>
            </w:r>
          </w:p>
        </w:tc>
        <w:tc>
          <w:tcPr>
            <w:tcW w:w="1134" w:type="dxa"/>
            <w:tcBorders>
              <w:top w:val="nil"/>
              <w:left w:val="nil"/>
              <w:bottom w:val="nil"/>
              <w:right w:val="nil"/>
            </w:tcBorders>
            <w:shd w:val="clear" w:color="auto" w:fill="FFFFFF"/>
            <w:tcMar>
              <w:left w:w="67" w:type="dxa"/>
              <w:right w:w="67" w:type="dxa"/>
            </w:tcMar>
            <w:vAlign w:val="center"/>
          </w:tcPr>
          <w:p w14:paraId="742D5147" w14:textId="77777777" w:rsidR="00B77EA3" w:rsidRPr="0082484A" w:rsidRDefault="00B77EA3" w:rsidP="00B77EA3">
            <w:pPr>
              <w:spacing w:before="0" w:line="240" w:lineRule="auto"/>
              <w:contextualSpacing/>
              <w:jc w:val="center"/>
              <w:rPr>
                <w:sz w:val="22"/>
                <w:szCs w:val="22"/>
              </w:rPr>
            </w:pPr>
            <w:r w:rsidRPr="0082484A">
              <w:rPr>
                <w:sz w:val="22"/>
                <w:szCs w:val="22"/>
              </w:rPr>
              <w:t>1.1793</w:t>
            </w:r>
          </w:p>
        </w:tc>
        <w:tc>
          <w:tcPr>
            <w:tcW w:w="1134" w:type="dxa"/>
            <w:tcBorders>
              <w:top w:val="nil"/>
              <w:left w:val="nil"/>
              <w:bottom w:val="nil"/>
              <w:right w:val="nil"/>
            </w:tcBorders>
            <w:shd w:val="clear" w:color="auto" w:fill="FFFFFF"/>
            <w:tcMar>
              <w:left w:w="67" w:type="dxa"/>
              <w:right w:w="67" w:type="dxa"/>
            </w:tcMar>
            <w:vAlign w:val="center"/>
          </w:tcPr>
          <w:p w14:paraId="09940037" w14:textId="77777777" w:rsidR="00B77EA3" w:rsidRPr="0082484A" w:rsidRDefault="00B77EA3" w:rsidP="00B77EA3">
            <w:pPr>
              <w:spacing w:before="0" w:line="240" w:lineRule="auto"/>
              <w:contextualSpacing/>
              <w:jc w:val="center"/>
              <w:rPr>
                <w:sz w:val="22"/>
                <w:szCs w:val="22"/>
              </w:rPr>
            </w:pPr>
            <w:r w:rsidRPr="0082484A">
              <w:rPr>
                <w:sz w:val="22"/>
                <w:szCs w:val="22"/>
              </w:rPr>
              <w:t>0.5122</w:t>
            </w:r>
          </w:p>
        </w:tc>
        <w:tc>
          <w:tcPr>
            <w:tcW w:w="1134" w:type="dxa"/>
            <w:tcBorders>
              <w:top w:val="nil"/>
              <w:left w:val="nil"/>
              <w:bottom w:val="nil"/>
              <w:right w:val="nil"/>
            </w:tcBorders>
            <w:shd w:val="clear" w:color="auto" w:fill="FFFFFF"/>
            <w:tcMar>
              <w:left w:w="67" w:type="dxa"/>
              <w:right w:w="67" w:type="dxa"/>
            </w:tcMar>
            <w:vAlign w:val="center"/>
          </w:tcPr>
          <w:p w14:paraId="0DD8F55B" w14:textId="77777777" w:rsidR="00B77EA3" w:rsidRPr="0082484A" w:rsidRDefault="00B77EA3" w:rsidP="00B77EA3">
            <w:pPr>
              <w:spacing w:before="0" w:line="240" w:lineRule="auto"/>
              <w:contextualSpacing/>
              <w:jc w:val="center"/>
              <w:rPr>
                <w:sz w:val="22"/>
                <w:szCs w:val="22"/>
              </w:rPr>
            </w:pPr>
            <w:r w:rsidRPr="0082484A">
              <w:rPr>
                <w:sz w:val="22"/>
                <w:szCs w:val="22"/>
              </w:rPr>
              <w:t>2.7154</w:t>
            </w:r>
          </w:p>
        </w:tc>
        <w:tc>
          <w:tcPr>
            <w:tcW w:w="1134" w:type="dxa"/>
            <w:tcBorders>
              <w:top w:val="nil"/>
              <w:left w:val="nil"/>
              <w:bottom w:val="nil"/>
              <w:right w:val="nil"/>
            </w:tcBorders>
            <w:shd w:val="clear" w:color="auto" w:fill="FFFFFF"/>
            <w:tcMar>
              <w:left w:w="67" w:type="dxa"/>
              <w:right w:w="67" w:type="dxa"/>
            </w:tcMar>
            <w:vAlign w:val="center"/>
          </w:tcPr>
          <w:p w14:paraId="57496073"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506050D"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FCA56E" w14:textId="77777777" w:rsidR="00B77EA3" w:rsidRPr="0082484A" w:rsidRDefault="00B77EA3" w:rsidP="00B77EA3">
            <w:pPr>
              <w:spacing w:before="0" w:line="240" w:lineRule="auto"/>
              <w:contextualSpacing/>
              <w:jc w:val="center"/>
              <w:rPr>
                <w:sz w:val="22"/>
                <w:szCs w:val="22"/>
              </w:rPr>
            </w:pPr>
          </w:p>
        </w:tc>
      </w:tr>
      <w:tr w:rsidR="00B77EA3" w:rsidRPr="0082484A" w14:paraId="3671C61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7D10176"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831B4D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F3F6C0" w14:textId="77777777" w:rsidR="00B77EA3" w:rsidRPr="0082484A" w:rsidRDefault="00B77EA3" w:rsidP="00B77EA3">
            <w:pPr>
              <w:spacing w:before="0" w:line="240" w:lineRule="auto"/>
              <w:contextualSpacing/>
              <w:jc w:val="center"/>
              <w:rPr>
                <w:sz w:val="22"/>
                <w:szCs w:val="22"/>
              </w:rPr>
            </w:pPr>
            <w:r w:rsidRPr="0082484A">
              <w:rPr>
                <w:sz w:val="22"/>
                <w:szCs w:val="22"/>
              </w:rPr>
              <w:t>-0.4261</w:t>
            </w:r>
          </w:p>
        </w:tc>
        <w:tc>
          <w:tcPr>
            <w:tcW w:w="1134" w:type="dxa"/>
            <w:tcBorders>
              <w:top w:val="nil"/>
              <w:left w:val="nil"/>
              <w:bottom w:val="nil"/>
              <w:right w:val="nil"/>
            </w:tcBorders>
            <w:shd w:val="clear" w:color="auto" w:fill="FFFFFF"/>
            <w:tcMar>
              <w:left w:w="67" w:type="dxa"/>
              <w:right w:w="67" w:type="dxa"/>
            </w:tcMar>
            <w:vAlign w:val="center"/>
          </w:tcPr>
          <w:p w14:paraId="1B4DD86D" w14:textId="77777777" w:rsidR="00B77EA3" w:rsidRPr="0082484A" w:rsidRDefault="00B77EA3" w:rsidP="00B77EA3">
            <w:pPr>
              <w:spacing w:before="0" w:line="240" w:lineRule="auto"/>
              <w:contextualSpacing/>
              <w:jc w:val="center"/>
              <w:rPr>
                <w:sz w:val="22"/>
                <w:szCs w:val="22"/>
              </w:rPr>
            </w:pPr>
            <w:r w:rsidRPr="0082484A">
              <w:rPr>
                <w:sz w:val="22"/>
                <w:szCs w:val="22"/>
              </w:rPr>
              <w:t>0.2757</w:t>
            </w:r>
          </w:p>
        </w:tc>
        <w:tc>
          <w:tcPr>
            <w:tcW w:w="1134" w:type="dxa"/>
            <w:tcBorders>
              <w:top w:val="nil"/>
              <w:left w:val="nil"/>
              <w:bottom w:val="nil"/>
              <w:right w:val="nil"/>
            </w:tcBorders>
            <w:shd w:val="clear" w:color="auto" w:fill="FFFFFF"/>
            <w:tcMar>
              <w:left w:w="67" w:type="dxa"/>
              <w:right w:w="67" w:type="dxa"/>
            </w:tcMar>
            <w:vAlign w:val="center"/>
          </w:tcPr>
          <w:p w14:paraId="14749BAD" w14:textId="77777777" w:rsidR="00B77EA3" w:rsidRPr="0082484A" w:rsidRDefault="00B77EA3" w:rsidP="00B77EA3">
            <w:pPr>
              <w:spacing w:before="0" w:line="240" w:lineRule="auto"/>
              <w:contextualSpacing/>
              <w:jc w:val="center"/>
              <w:rPr>
                <w:sz w:val="22"/>
                <w:szCs w:val="22"/>
              </w:rPr>
            </w:pPr>
            <w:r w:rsidRPr="0082484A">
              <w:rPr>
                <w:sz w:val="22"/>
                <w:szCs w:val="22"/>
              </w:rPr>
              <w:t>0.6531</w:t>
            </w:r>
          </w:p>
        </w:tc>
        <w:tc>
          <w:tcPr>
            <w:tcW w:w="1134" w:type="dxa"/>
            <w:tcBorders>
              <w:top w:val="nil"/>
              <w:left w:val="nil"/>
              <w:bottom w:val="nil"/>
              <w:right w:val="nil"/>
            </w:tcBorders>
            <w:shd w:val="clear" w:color="auto" w:fill="FFFFFF"/>
            <w:tcMar>
              <w:left w:w="67" w:type="dxa"/>
              <w:right w:w="67" w:type="dxa"/>
            </w:tcMar>
            <w:vAlign w:val="center"/>
          </w:tcPr>
          <w:p w14:paraId="5884F9AA" w14:textId="77777777" w:rsidR="00B77EA3" w:rsidRPr="0082484A" w:rsidRDefault="00B77EA3" w:rsidP="00B77EA3">
            <w:pPr>
              <w:spacing w:before="0" w:line="240" w:lineRule="auto"/>
              <w:contextualSpacing/>
              <w:jc w:val="center"/>
              <w:rPr>
                <w:sz w:val="22"/>
                <w:szCs w:val="22"/>
              </w:rPr>
            </w:pPr>
            <w:r w:rsidRPr="0082484A">
              <w:rPr>
                <w:sz w:val="22"/>
                <w:szCs w:val="22"/>
              </w:rPr>
              <w:t>0.3520</w:t>
            </w:r>
          </w:p>
        </w:tc>
        <w:tc>
          <w:tcPr>
            <w:tcW w:w="1134" w:type="dxa"/>
            <w:tcBorders>
              <w:top w:val="nil"/>
              <w:left w:val="nil"/>
              <w:bottom w:val="nil"/>
              <w:right w:val="nil"/>
            </w:tcBorders>
            <w:shd w:val="clear" w:color="auto" w:fill="FFFFFF"/>
            <w:tcMar>
              <w:left w:w="67" w:type="dxa"/>
              <w:right w:w="67" w:type="dxa"/>
            </w:tcMar>
            <w:vAlign w:val="center"/>
          </w:tcPr>
          <w:p w14:paraId="006AC2FB" w14:textId="77777777" w:rsidR="00B77EA3" w:rsidRPr="0082484A" w:rsidRDefault="00B77EA3" w:rsidP="00B77EA3">
            <w:pPr>
              <w:spacing w:before="0" w:line="240" w:lineRule="auto"/>
              <w:contextualSpacing/>
              <w:jc w:val="center"/>
              <w:rPr>
                <w:sz w:val="22"/>
                <w:szCs w:val="22"/>
              </w:rPr>
            </w:pPr>
            <w:r w:rsidRPr="0082484A">
              <w:rPr>
                <w:sz w:val="22"/>
                <w:szCs w:val="22"/>
              </w:rPr>
              <w:t>1.2117</w:t>
            </w:r>
          </w:p>
        </w:tc>
        <w:tc>
          <w:tcPr>
            <w:tcW w:w="1134" w:type="dxa"/>
            <w:tcBorders>
              <w:top w:val="nil"/>
              <w:left w:val="nil"/>
              <w:bottom w:val="nil"/>
              <w:right w:val="nil"/>
            </w:tcBorders>
            <w:shd w:val="clear" w:color="auto" w:fill="FFFFFF"/>
            <w:tcMar>
              <w:left w:w="67" w:type="dxa"/>
              <w:right w:w="67" w:type="dxa"/>
            </w:tcMar>
            <w:vAlign w:val="center"/>
          </w:tcPr>
          <w:p w14:paraId="1AC6D0F5"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84AFC34"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BA3AE2" w14:textId="77777777" w:rsidR="00B77EA3" w:rsidRPr="0082484A" w:rsidRDefault="00B77EA3" w:rsidP="00B77EA3">
            <w:pPr>
              <w:spacing w:before="0" w:line="240" w:lineRule="auto"/>
              <w:contextualSpacing/>
              <w:jc w:val="center"/>
              <w:rPr>
                <w:sz w:val="22"/>
                <w:szCs w:val="22"/>
              </w:rPr>
            </w:pPr>
          </w:p>
        </w:tc>
      </w:tr>
      <w:tr w:rsidR="00B77EA3" w:rsidRPr="0082484A" w14:paraId="6DC88FE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5CA5AD1"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F0AEFA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1997AF7" w14:textId="77777777" w:rsidR="00B77EA3" w:rsidRPr="0082484A" w:rsidRDefault="00B77EA3" w:rsidP="00B77EA3">
            <w:pPr>
              <w:spacing w:before="0" w:line="240" w:lineRule="auto"/>
              <w:contextualSpacing/>
              <w:jc w:val="center"/>
              <w:rPr>
                <w:sz w:val="22"/>
                <w:szCs w:val="22"/>
              </w:rPr>
            </w:pPr>
            <w:r w:rsidRPr="0082484A">
              <w:rPr>
                <w:sz w:val="22"/>
                <w:szCs w:val="22"/>
              </w:rPr>
              <w:t>-0.7729</w:t>
            </w:r>
          </w:p>
        </w:tc>
        <w:tc>
          <w:tcPr>
            <w:tcW w:w="1134" w:type="dxa"/>
            <w:tcBorders>
              <w:top w:val="nil"/>
              <w:left w:val="nil"/>
              <w:bottom w:val="nil"/>
              <w:right w:val="nil"/>
            </w:tcBorders>
            <w:shd w:val="clear" w:color="auto" w:fill="FFFFFF"/>
            <w:tcMar>
              <w:left w:w="67" w:type="dxa"/>
              <w:right w:w="67" w:type="dxa"/>
            </w:tcMar>
            <w:vAlign w:val="center"/>
          </w:tcPr>
          <w:p w14:paraId="580F3BB5" w14:textId="77777777" w:rsidR="00B77EA3" w:rsidRPr="0082484A" w:rsidRDefault="00B77EA3" w:rsidP="00B77EA3">
            <w:pPr>
              <w:spacing w:before="0" w:line="240" w:lineRule="auto"/>
              <w:contextualSpacing/>
              <w:jc w:val="center"/>
              <w:rPr>
                <w:sz w:val="22"/>
                <w:szCs w:val="22"/>
              </w:rPr>
            </w:pPr>
            <w:r w:rsidRPr="0082484A">
              <w:rPr>
                <w:sz w:val="22"/>
                <w:szCs w:val="22"/>
              </w:rPr>
              <w:t>0.3853</w:t>
            </w:r>
          </w:p>
        </w:tc>
        <w:tc>
          <w:tcPr>
            <w:tcW w:w="1134" w:type="dxa"/>
            <w:tcBorders>
              <w:top w:val="nil"/>
              <w:left w:val="nil"/>
              <w:bottom w:val="nil"/>
              <w:right w:val="nil"/>
            </w:tcBorders>
            <w:shd w:val="clear" w:color="auto" w:fill="FFFFFF"/>
            <w:tcMar>
              <w:left w:w="67" w:type="dxa"/>
              <w:right w:w="67" w:type="dxa"/>
            </w:tcMar>
            <w:vAlign w:val="center"/>
          </w:tcPr>
          <w:p w14:paraId="5B7270C2" w14:textId="77777777" w:rsidR="00B77EA3" w:rsidRPr="0082484A" w:rsidRDefault="00B77EA3" w:rsidP="00B77EA3">
            <w:pPr>
              <w:spacing w:before="0" w:line="240" w:lineRule="auto"/>
              <w:contextualSpacing/>
              <w:jc w:val="center"/>
              <w:rPr>
                <w:sz w:val="22"/>
                <w:szCs w:val="22"/>
              </w:rPr>
            </w:pPr>
            <w:r w:rsidRPr="0082484A">
              <w:rPr>
                <w:sz w:val="22"/>
                <w:szCs w:val="22"/>
              </w:rPr>
              <w:t>0.4617</w:t>
            </w:r>
          </w:p>
        </w:tc>
        <w:tc>
          <w:tcPr>
            <w:tcW w:w="1134" w:type="dxa"/>
            <w:tcBorders>
              <w:top w:val="nil"/>
              <w:left w:val="nil"/>
              <w:bottom w:val="nil"/>
              <w:right w:val="nil"/>
            </w:tcBorders>
            <w:shd w:val="clear" w:color="auto" w:fill="FFFFFF"/>
            <w:tcMar>
              <w:left w:w="67" w:type="dxa"/>
              <w:right w:w="67" w:type="dxa"/>
            </w:tcMar>
            <w:vAlign w:val="center"/>
          </w:tcPr>
          <w:p w14:paraId="505CB2CB" w14:textId="77777777" w:rsidR="00B77EA3" w:rsidRPr="0082484A" w:rsidRDefault="00B77EA3" w:rsidP="00B77EA3">
            <w:pPr>
              <w:spacing w:before="0" w:line="240" w:lineRule="auto"/>
              <w:contextualSpacing/>
              <w:jc w:val="center"/>
              <w:rPr>
                <w:sz w:val="22"/>
                <w:szCs w:val="22"/>
              </w:rPr>
            </w:pPr>
            <w:r w:rsidRPr="0082484A">
              <w:rPr>
                <w:sz w:val="22"/>
                <w:szCs w:val="22"/>
              </w:rPr>
              <w:t>0.1946</w:t>
            </w:r>
          </w:p>
        </w:tc>
        <w:tc>
          <w:tcPr>
            <w:tcW w:w="1134" w:type="dxa"/>
            <w:tcBorders>
              <w:top w:val="nil"/>
              <w:left w:val="nil"/>
              <w:bottom w:val="nil"/>
              <w:right w:val="nil"/>
            </w:tcBorders>
            <w:shd w:val="clear" w:color="auto" w:fill="FFFFFF"/>
            <w:tcMar>
              <w:left w:w="67" w:type="dxa"/>
              <w:right w:w="67" w:type="dxa"/>
            </w:tcMar>
            <w:vAlign w:val="center"/>
          </w:tcPr>
          <w:p w14:paraId="0F43FA4E" w14:textId="77777777" w:rsidR="00B77EA3" w:rsidRPr="0082484A" w:rsidRDefault="00B77EA3" w:rsidP="00B77EA3">
            <w:pPr>
              <w:spacing w:before="0" w:line="240" w:lineRule="auto"/>
              <w:contextualSpacing/>
              <w:jc w:val="center"/>
              <w:rPr>
                <w:sz w:val="22"/>
                <w:szCs w:val="22"/>
              </w:rPr>
            </w:pPr>
            <w:r w:rsidRPr="0082484A">
              <w:rPr>
                <w:sz w:val="22"/>
                <w:szCs w:val="22"/>
              </w:rPr>
              <w:t>1.0951</w:t>
            </w:r>
          </w:p>
        </w:tc>
        <w:tc>
          <w:tcPr>
            <w:tcW w:w="1134" w:type="dxa"/>
            <w:tcBorders>
              <w:top w:val="nil"/>
              <w:left w:val="nil"/>
              <w:bottom w:val="nil"/>
              <w:right w:val="nil"/>
            </w:tcBorders>
            <w:shd w:val="clear" w:color="auto" w:fill="FFFFFF"/>
            <w:tcMar>
              <w:left w:w="67" w:type="dxa"/>
              <w:right w:w="67" w:type="dxa"/>
            </w:tcMar>
            <w:vAlign w:val="center"/>
          </w:tcPr>
          <w:p w14:paraId="3DE62CAC"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4C8E03"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F0E687" w14:textId="77777777" w:rsidR="00B77EA3" w:rsidRPr="0082484A" w:rsidRDefault="00B77EA3" w:rsidP="00B77EA3">
            <w:pPr>
              <w:spacing w:before="0" w:line="240" w:lineRule="auto"/>
              <w:contextualSpacing/>
              <w:jc w:val="center"/>
              <w:rPr>
                <w:sz w:val="22"/>
                <w:szCs w:val="22"/>
              </w:rPr>
            </w:pPr>
          </w:p>
        </w:tc>
      </w:tr>
      <w:tr w:rsidR="00B77EA3" w:rsidRPr="0082484A" w14:paraId="18F63F1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2464A7E"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A4A40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0369696" w14:textId="77777777" w:rsidR="00B77EA3" w:rsidRPr="0082484A" w:rsidRDefault="00B77EA3" w:rsidP="00B77EA3">
            <w:pPr>
              <w:spacing w:before="0" w:line="240" w:lineRule="auto"/>
              <w:contextualSpacing/>
              <w:jc w:val="center"/>
              <w:rPr>
                <w:sz w:val="22"/>
                <w:szCs w:val="22"/>
              </w:rPr>
            </w:pPr>
            <w:r w:rsidRPr="0082484A">
              <w:rPr>
                <w:sz w:val="22"/>
                <w:szCs w:val="22"/>
              </w:rPr>
              <w:t>-1.0585</w:t>
            </w:r>
          </w:p>
        </w:tc>
        <w:tc>
          <w:tcPr>
            <w:tcW w:w="1134" w:type="dxa"/>
            <w:tcBorders>
              <w:top w:val="nil"/>
              <w:left w:val="nil"/>
              <w:bottom w:val="nil"/>
              <w:right w:val="nil"/>
            </w:tcBorders>
            <w:shd w:val="clear" w:color="auto" w:fill="FFFFFF"/>
            <w:tcMar>
              <w:left w:w="67" w:type="dxa"/>
              <w:right w:w="67" w:type="dxa"/>
            </w:tcMar>
            <w:vAlign w:val="center"/>
          </w:tcPr>
          <w:p w14:paraId="593BC8BD" w14:textId="77777777" w:rsidR="00B77EA3" w:rsidRPr="0082484A" w:rsidRDefault="00B77EA3" w:rsidP="00B77EA3">
            <w:pPr>
              <w:spacing w:before="0" w:line="240" w:lineRule="auto"/>
              <w:contextualSpacing/>
              <w:jc w:val="center"/>
              <w:rPr>
                <w:sz w:val="22"/>
                <w:szCs w:val="22"/>
              </w:rPr>
            </w:pPr>
            <w:r w:rsidRPr="0082484A">
              <w:rPr>
                <w:sz w:val="22"/>
                <w:szCs w:val="22"/>
              </w:rPr>
              <w:t>0.3744</w:t>
            </w:r>
          </w:p>
        </w:tc>
        <w:tc>
          <w:tcPr>
            <w:tcW w:w="1134" w:type="dxa"/>
            <w:tcBorders>
              <w:top w:val="nil"/>
              <w:left w:val="nil"/>
              <w:bottom w:val="nil"/>
              <w:right w:val="nil"/>
            </w:tcBorders>
            <w:shd w:val="clear" w:color="auto" w:fill="FFFFFF"/>
            <w:tcMar>
              <w:left w:w="67" w:type="dxa"/>
              <w:right w:w="67" w:type="dxa"/>
            </w:tcMar>
            <w:vAlign w:val="center"/>
          </w:tcPr>
          <w:p w14:paraId="6590E91A" w14:textId="77777777" w:rsidR="00B77EA3" w:rsidRPr="0082484A" w:rsidRDefault="00B77EA3" w:rsidP="00B77EA3">
            <w:pPr>
              <w:spacing w:before="0" w:line="240" w:lineRule="auto"/>
              <w:contextualSpacing/>
              <w:jc w:val="center"/>
              <w:rPr>
                <w:sz w:val="22"/>
                <w:szCs w:val="22"/>
              </w:rPr>
            </w:pPr>
            <w:r w:rsidRPr="0082484A">
              <w:rPr>
                <w:sz w:val="22"/>
                <w:szCs w:val="22"/>
              </w:rPr>
              <w:t>0.3470</w:t>
            </w:r>
          </w:p>
        </w:tc>
        <w:tc>
          <w:tcPr>
            <w:tcW w:w="1134" w:type="dxa"/>
            <w:tcBorders>
              <w:top w:val="nil"/>
              <w:left w:val="nil"/>
              <w:bottom w:val="nil"/>
              <w:right w:val="nil"/>
            </w:tcBorders>
            <w:shd w:val="clear" w:color="auto" w:fill="FFFFFF"/>
            <w:tcMar>
              <w:left w:w="67" w:type="dxa"/>
              <w:right w:w="67" w:type="dxa"/>
            </w:tcMar>
            <w:vAlign w:val="center"/>
          </w:tcPr>
          <w:p w14:paraId="034B809C" w14:textId="77777777" w:rsidR="00B77EA3" w:rsidRPr="0082484A" w:rsidRDefault="00B77EA3" w:rsidP="00B77EA3">
            <w:pPr>
              <w:spacing w:before="0" w:line="240" w:lineRule="auto"/>
              <w:contextualSpacing/>
              <w:jc w:val="center"/>
              <w:rPr>
                <w:sz w:val="22"/>
                <w:szCs w:val="22"/>
              </w:rPr>
            </w:pPr>
            <w:r w:rsidRPr="0082484A">
              <w:rPr>
                <w:sz w:val="22"/>
                <w:szCs w:val="22"/>
              </w:rPr>
              <w:t>0.1499</w:t>
            </w:r>
          </w:p>
        </w:tc>
        <w:tc>
          <w:tcPr>
            <w:tcW w:w="1134" w:type="dxa"/>
            <w:tcBorders>
              <w:top w:val="nil"/>
              <w:left w:val="nil"/>
              <w:bottom w:val="nil"/>
              <w:right w:val="nil"/>
            </w:tcBorders>
            <w:shd w:val="clear" w:color="auto" w:fill="FFFFFF"/>
            <w:tcMar>
              <w:left w:w="67" w:type="dxa"/>
              <w:right w:w="67" w:type="dxa"/>
            </w:tcMar>
            <w:vAlign w:val="center"/>
          </w:tcPr>
          <w:p w14:paraId="0291A54F" w14:textId="77777777" w:rsidR="00B77EA3" w:rsidRPr="0082484A" w:rsidRDefault="00B77EA3" w:rsidP="00B77EA3">
            <w:pPr>
              <w:spacing w:before="0" w:line="240" w:lineRule="auto"/>
              <w:contextualSpacing/>
              <w:jc w:val="center"/>
              <w:rPr>
                <w:sz w:val="22"/>
                <w:szCs w:val="22"/>
              </w:rPr>
            </w:pPr>
            <w:r w:rsidRPr="0082484A">
              <w:rPr>
                <w:sz w:val="22"/>
                <w:szCs w:val="22"/>
              </w:rPr>
              <w:t>0.8031</w:t>
            </w:r>
          </w:p>
        </w:tc>
        <w:tc>
          <w:tcPr>
            <w:tcW w:w="1134" w:type="dxa"/>
            <w:tcBorders>
              <w:top w:val="nil"/>
              <w:left w:val="nil"/>
              <w:bottom w:val="nil"/>
              <w:right w:val="nil"/>
            </w:tcBorders>
            <w:shd w:val="clear" w:color="auto" w:fill="FFFFFF"/>
            <w:tcMar>
              <w:left w:w="67" w:type="dxa"/>
              <w:right w:w="67" w:type="dxa"/>
            </w:tcMar>
            <w:vAlign w:val="center"/>
          </w:tcPr>
          <w:p w14:paraId="287F89DD"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FD8BCAC"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CAD910" w14:textId="77777777" w:rsidR="00B77EA3" w:rsidRPr="0082484A" w:rsidRDefault="00B77EA3" w:rsidP="00B77EA3">
            <w:pPr>
              <w:spacing w:before="0" w:line="240" w:lineRule="auto"/>
              <w:contextualSpacing/>
              <w:jc w:val="center"/>
              <w:rPr>
                <w:sz w:val="22"/>
                <w:szCs w:val="22"/>
              </w:rPr>
            </w:pPr>
          </w:p>
        </w:tc>
      </w:tr>
      <w:tr w:rsidR="00B77EA3" w:rsidRPr="0082484A" w14:paraId="5C7A671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DE1338"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7940CF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C2D785" w14:textId="77777777" w:rsidR="00B77EA3" w:rsidRPr="0082484A" w:rsidRDefault="00B77EA3" w:rsidP="00B77EA3">
            <w:pPr>
              <w:spacing w:before="0" w:line="240" w:lineRule="auto"/>
              <w:contextualSpacing/>
              <w:jc w:val="center"/>
              <w:rPr>
                <w:sz w:val="22"/>
                <w:szCs w:val="22"/>
              </w:rPr>
            </w:pPr>
            <w:r w:rsidRPr="0082484A">
              <w:rPr>
                <w:sz w:val="22"/>
                <w:szCs w:val="22"/>
              </w:rPr>
              <w:t>-0.7132</w:t>
            </w:r>
          </w:p>
        </w:tc>
        <w:tc>
          <w:tcPr>
            <w:tcW w:w="1134" w:type="dxa"/>
            <w:tcBorders>
              <w:top w:val="nil"/>
              <w:left w:val="nil"/>
              <w:bottom w:val="nil"/>
              <w:right w:val="nil"/>
            </w:tcBorders>
            <w:shd w:val="clear" w:color="auto" w:fill="FFFFFF"/>
            <w:tcMar>
              <w:left w:w="67" w:type="dxa"/>
              <w:right w:w="67" w:type="dxa"/>
            </w:tcMar>
            <w:vAlign w:val="center"/>
          </w:tcPr>
          <w:p w14:paraId="3ED2D718" w14:textId="77777777" w:rsidR="00B77EA3" w:rsidRPr="0082484A" w:rsidRDefault="00B77EA3" w:rsidP="00B77EA3">
            <w:pPr>
              <w:spacing w:before="0" w:line="240" w:lineRule="auto"/>
              <w:contextualSpacing/>
              <w:jc w:val="center"/>
              <w:rPr>
                <w:sz w:val="22"/>
                <w:szCs w:val="22"/>
              </w:rPr>
            </w:pPr>
            <w:r w:rsidRPr="0082484A">
              <w:rPr>
                <w:sz w:val="22"/>
                <w:szCs w:val="22"/>
              </w:rPr>
              <w:t>0.3922</w:t>
            </w:r>
          </w:p>
        </w:tc>
        <w:tc>
          <w:tcPr>
            <w:tcW w:w="1134" w:type="dxa"/>
            <w:tcBorders>
              <w:top w:val="nil"/>
              <w:left w:val="nil"/>
              <w:bottom w:val="nil"/>
              <w:right w:val="nil"/>
            </w:tcBorders>
            <w:shd w:val="clear" w:color="auto" w:fill="FFFFFF"/>
            <w:tcMar>
              <w:left w:w="67" w:type="dxa"/>
              <w:right w:w="67" w:type="dxa"/>
            </w:tcMar>
            <w:vAlign w:val="center"/>
          </w:tcPr>
          <w:p w14:paraId="39927C06" w14:textId="77777777" w:rsidR="00B77EA3" w:rsidRPr="0082484A" w:rsidRDefault="00B77EA3" w:rsidP="00B77EA3">
            <w:pPr>
              <w:spacing w:before="0" w:line="240" w:lineRule="auto"/>
              <w:contextualSpacing/>
              <w:jc w:val="center"/>
              <w:rPr>
                <w:sz w:val="22"/>
                <w:szCs w:val="22"/>
              </w:rPr>
            </w:pPr>
            <w:r w:rsidRPr="0082484A">
              <w:rPr>
                <w:sz w:val="22"/>
                <w:szCs w:val="22"/>
              </w:rPr>
              <w:t>0.4901</w:t>
            </w:r>
          </w:p>
        </w:tc>
        <w:tc>
          <w:tcPr>
            <w:tcW w:w="1134" w:type="dxa"/>
            <w:tcBorders>
              <w:top w:val="nil"/>
              <w:left w:val="nil"/>
              <w:bottom w:val="nil"/>
              <w:right w:val="nil"/>
            </w:tcBorders>
            <w:shd w:val="clear" w:color="auto" w:fill="FFFFFF"/>
            <w:tcMar>
              <w:left w:w="67" w:type="dxa"/>
              <w:right w:w="67" w:type="dxa"/>
            </w:tcMar>
            <w:vAlign w:val="center"/>
          </w:tcPr>
          <w:p w14:paraId="43ACD6E2" w14:textId="77777777" w:rsidR="00B77EA3" w:rsidRPr="0082484A" w:rsidRDefault="00B77EA3" w:rsidP="00B77EA3">
            <w:pPr>
              <w:spacing w:before="0" w:line="240" w:lineRule="auto"/>
              <w:contextualSpacing/>
              <w:jc w:val="center"/>
              <w:rPr>
                <w:sz w:val="22"/>
                <w:szCs w:val="22"/>
              </w:rPr>
            </w:pPr>
            <w:r w:rsidRPr="0082484A">
              <w:rPr>
                <w:sz w:val="22"/>
                <w:szCs w:val="22"/>
              </w:rPr>
              <w:t>0.2035</w:t>
            </w:r>
          </w:p>
        </w:tc>
        <w:tc>
          <w:tcPr>
            <w:tcW w:w="1134" w:type="dxa"/>
            <w:tcBorders>
              <w:top w:val="nil"/>
              <w:left w:val="nil"/>
              <w:bottom w:val="nil"/>
              <w:right w:val="nil"/>
            </w:tcBorders>
            <w:shd w:val="clear" w:color="auto" w:fill="FFFFFF"/>
            <w:tcMar>
              <w:left w:w="67" w:type="dxa"/>
              <w:right w:w="67" w:type="dxa"/>
            </w:tcMar>
            <w:vAlign w:val="center"/>
          </w:tcPr>
          <w:p w14:paraId="58BC7ABC" w14:textId="77777777" w:rsidR="00B77EA3" w:rsidRPr="0082484A" w:rsidRDefault="00B77EA3" w:rsidP="00B77EA3">
            <w:pPr>
              <w:spacing w:before="0" w:line="240" w:lineRule="auto"/>
              <w:contextualSpacing/>
              <w:jc w:val="center"/>
              <w:rPr>
                <w:sz w:val="22"/>
                <w:szCs w:val="22"/>
              </w:rPr>
            </w:pPr>
            <w:r w:rsidRPr="0082484A">
              <w:rPr>
                <w:sz w:val="22"/>
                <w:szCs w:val="22"/>
              </w:rPr>
              <w:t>1.1806</w:t>
            </w:r>
          </w:p>
        </w:tc>
        <w:tc>
          <w:tcPr>
            <w:tcW w:w="1134" w:type="dxa"/>
            <w:tcBorders>
              <w:top w:val="nil"/>
              <w:left w:val="nil"/>
              <w:bottom w:val="nil"/>
              <w:right w:val="nil"/>
            </w:tcBorders>
            <w:shd w:val="clear" w:color="auto" w:fill="FFFFFF"/>
            <w:tcMar>
              <w:left w:w="67" w:type="dxa"/>
              <w:right w:w="67" w:type="dxa"/>
            </w:tcMar>
            <w:vAlign w:val="center"/>
          </w:tcPr>
          <w:p w14:paraId="51BD67F2"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A498D19"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B6DE49" w14:textId="77777777" w:rsidR="00B77EA3" w:rsidRPr="0082484A" w:rsidRDefault="00B77EA3" w:rsidP="00B77EA3">
            <w:pPr>
              <w:spacing w:before="0" w:line="240" w:lineRule="auto"/>
              <w:contextualSpacing/>
              <w:jc w:val="center"/>
              <w:rPr>
                <w:sz w:val="22"/>
                <w:szCs w:val="22"/>
              </w:rPr>
            </w:pPr>
          </w:p>
        </w:tc>
      </w:tr>
      <w:tr w:rsidR="00B77EA3" w:rsidRPr="0082484A" w14:paraId="1923C14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D0DB21"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D7366A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F367442" w14:textId="77777777" w:rsidR="00B77EA3" w:rsidRPr="0082484A" w:rsidRDefault="00B77EA3" w:rsidP="00B77EA3">
            <w:pPr>
              <w:spacing w:before="0" w:line="240" w:lineRule="auto"/>
              <w:contextualSpacing/>
              <w:jc w:val="center"/>
              <w:rPr>
                <w:sz w:val="22"/>
                <w:szCs w:val="22"/>
              </w:rPr>
            </w:pPr>
            <w:r w:rsidRPr="0082484A">
              <w:rPr>
                <w:sz w:val="22"/>
                <w:szCs w:val="22"/>
              </w:rPr>
              <w:t>-0.0344</w:t>
            </w:r>
          </w:p>
        </w:tc>
        <w:tc>
          <w:tcPr>
            <w:tcW w:w="1134" w:type="dxa"/>
            <w:tcBorders>
              <w:top w:val="nil"/>
              <w:left w:val="nil"/>
              <w:bottom w:val="nil"/>
              <w:right w:val="nil"/>
            </w:tcBorders>
            <w:shd w:val="clear" w:color="auto" w:fill="FFFFFF"/>
            <w:tcMar>
              <w:left w:w="67" w:type="dxa"/>
              <w:right w:w="67" w:type="dxa"/>
            </w:tcMar>
            <w:vAlign w:val="center"/>
          </w:tcPr>
          <w:p w14:paraId="0716BC0E" w14:textId="77777777" w:rsidR="00B77EA3" w:rsidRPr="0082484A" w:rsidRDefault="00B77EA3" w:rsidP="00B77EA3">
            <w:pPr>
              <w:spacing w:before="0" w:line="240" w:lineRule="auto"/>
              <w:contextualSpacing/>
              <w:jc w:val="center"/>
              <w:rPr>
                <w:sz w:val="22"/>
                <w:szCs w:val="22"/>
              </w:rPr>
            </w:pPr>
            <w:r w:rsidRPr="0082484A">
              <w:rPr>
                <w:sz w:val="22"/>
                <w:szCs w:val="22"/>
              </w:rPr>
              <w:t>0.3261</w:t>
            </w:r>
          </w:p>
        </w:tc>
        <w:tc>
          <w:tcPr>
            <w:tcW w:w="1134" w:type="dxa"/>
            <w:tcBorders>
              <w:top w:val="nil"/>
              <w:left w:val="nil"/>
              <w:bottom w:val="nil"/>
              <w:right w:val="nil"/>
            </w:tcBorders>
            <w:shd w:val="clear" w:color="auto" w:fill="FFFFFF"/>
            <w:tcMar>
              <w:left w:w="67" w:type="dxa"/>
              <w:right w:w="67" w:type="dxa"/>
            </w:tcMar>
            <w:vAlign w:val="center"/>
          </w:tcPr>
          <w:p w14:paraId="0E3921C8" w14:textId="77777777" w:rsidR="00B77EA3" w:rsidRPr="0082484A" w:rsidRDefault="00B77EA3" w:rsidP="00B77EA3">
            <w:pPr>
              <w:spacing w:before="0" w:line="240" w:lineRule="auto"/>
              <w:contextualSpacing/>
              <w:jc w:val="center"/>
              <w:rPr>
                <w:sz w:val="22"/>
                <w:szCs w:val="22"/>
              </w:rPr>
            </w:pPr>
            <w:r w:rsidRPr="0082484A">
              <w:rPr>
                <w:sz w:val="22"/>
                <w:szCs w:val="22"/>
              </w:rPr>
              <w:t>0.9661</w:t>
            </w:r>
          </w:p>
        </w:tc>
        <w:tc>
          <w:tcPr>
            <w:tcW w:w="1134" w:type="dxa"/>
            <w:tcBorders>
              <w:top w:val="nil"/>
              <w:left w:val="nil"/>
              <w:bottom w:val="nil"/>
              <w:right w:val="nil"/>
            </w:tcBorders>
            <w:shd w:val="clear" w:color="auto" w:fill="FFFFFF"/>
            <w:tcMar>
              <w:left w:w="67" w:type="dxa"/>
              <w:right w:w="67" w:type="dxa"/>
            </w:tcMar>
            <w:vAlign w:val="center"/>
          </w:tcPr>
          <w:p w14:paraId="40D1AE14" w14:textId="77777777" w:rsidR="00B77EA3" w:rsidRPr="0082484A" w:rsidRDefault="00B77EA3" w:rsidP="00B77EA3">
            <w:pPr>
              <w:spacing w:before="0" w:line="240" w:lineRule="auto"/>
              <w:contextualSpacing/>
              <w:jc w:val="center"/>
              <w:rPr>
                <w:sz w:val="22"/>
                <w:szCs w:val="22"/>
              </w:rPr>
            </w:pPr>
            <w:r w:rsidRPr="0082484A">
              <w:rPr>
                <w:sz w:val="22"/>
                <w:szCs w:val="22"/>
              </w:rPr>
              <w:t>0.4651</w:t>
            </w:r>
          </w:p>
        </w:tc>
        <w:tc>
          <w:tcPr>
            <w:tcW w:w="1134" w:type="dxa"/>
            <w:tcBorders>
              <w:top w:val="nil"/>
              <w:left w:val="nil"/>
              <w:bottom w:val="nil"/>
              <w:right w:val="nil"/>
            </w:tcBorders>
            <w:shd w:val="clear" w:color="auto" w:fill="FFFFFF"/>
            <w:tcMar>
              <w:left w:w="67" w:type="dxa"/>
              <w:right w:w="67" w:type="dxa"/>
            </w:tcMar>
            <w:vAlign w:val="center"/>
          </w:tcPr>
          <w:p w14:paraId="4710067D" w14:textId="77777777" w:rsidR="00B77EA3" w:rsidRPr="0082484A" w:rsidRDefault="00B77EA3" w:rsidP="00B77EA3">
            <w:pPr>
              <w:spacing w:before="0" w:line="240" w:lineRule="auto"/>
              <w:contextualSpacing/>
              <w:jc w:val="center"/>
              <w:rPr>
                <w:sz w:val="22"/>
                <w:szCs w:val="22"/>
              </w:rPr>
            </w:pPr>
            <w:r w:rsidRPr="0082484A">
              <w:rPr>
                <w:sz w:val="22"/>
                <w:szCs w:val="22"/>
              </w:rPr>
              <w:t>2.0069</w:t>
            </w:r>
          </w:p>
        </w:tc>
        <w:tc>
          <w:tcPr>
            <w:tcW w:w="1134" w:type="dxa"/>
            <w:tcBorders>
              <w:top w:val="nil"/>
              <w:left w:val="nil"/>
              <w:bottom w:val="nil"/>
              <w:right w:val="nil"/>
            </w:tcBorders>
            <w:shd w:val="clear" w:color="auto" w:fill="FFFFFF"/>
            <w:tcMar>
              <w:left w:w="67" w:type="dxa"/>
              <w:right w:w="67" w:type="dxa"/>
            </w:tcMar>
            <w:vAlign w:val="center"/>
          </w:tcPr>
          <w:p w14:paraId="4CD5BF5A"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F1AC6A6"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4397D0" w14:textId="77777777" w:rsidR="00B77EA3" w:rsidRPr="0082484A" w:rsidRDefault="00B77EA3" w:rsidP="00B77EA3">
            <w:pPr>
              <w:spacing w:before="0" w:line="240" w:lineRule="auto"/>
              <w:contextualSpacing/>
              <w:jc w:val="center"/>
              <w:rPr>
                <w:sz w:val="22"/>
                <w:szCs w:val="22"/>
              </w:rPr>
            </w:pPr>
          </w:p>
        </w:tc>
      </w:tr>
      <w:tr w:rsidR="00B77EA3" w:rsidRPr="0082484A" w14:paraId="398DD60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BBB6C4"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B5F2B9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D194D9D" w14:textId="77777777" w:rsidR="00B77EA3" w:rsidRPr="0082484A" w:rsidRDefault="00B77EA3" w:rsidP="00B77EA3">
            <w:pPr>
              <w:spacing w:before="0" w:line="240" w:lineRule="auto"/>
              <w:contextualSpacing/>
              <w:jc w:val="center"/>
              <w:rPr>
                <w:sz w:val="22"/>
                <w:szCs w:val="22"/>
              </w:rPr>
            </w:pPr>
            <w:r w:rsidRPr="0082484A">
              <w:rPr>
                <w:sz w:val="22"/>
                <w:szCs w:val="22"/>
              </w:rPr>
              <w:t>-0.6219</w:t>
            </w:r>
          </w:p>
        </w:tc>
        <w:tc>
          <w:tcPr>
            <w:tcW w:w="1134" w:type="dxa"/>
            <w:tcBorders>
              <w:top w:val="nil"/>
              <w:left w:val="nil"/>
              <w:bottom w:val="nil"/>
              <w:right w:val="nil"/>
            </w:tcBorders>
            <w:shd w:val="clear" w:color="auto" w:fill="FFFFFF"/>
            <w:tcMar>
              <w:left w:w="67" w:type="dxa"/>
              <w:right w:w="67" w:type="dxa"/>
            </w:tcMar>
            <w:vAlign w:val="center"/>
          </w:tcPr>
          <w:p w14:paraId="5EC34FE8" w14:textId="77777777" w:rsidR="00B77EA3" w:rsidRPr="0082484A" w:rsidRDefault="00B77EA3" w:rsidP="00B77EA3">
            <w:pPr>
              <w:spacing w:before="0" w:line="240" w:lineRule="auto"/>
              <w:contextualSpacing/>
              <w:jc w:val="center"/>
              <w:rPr>
                <w:sz w:val="22"/>
                <w:szCs w:val="22"/>
              </w:rPr>
            </w:pPr>
            <w:r w:rsidRPr="0082484A">
              <w:rPr>
                <w:sz w:val="22"/>
                <w:szCs w:val="22"/>
              </w:rPr>
              <w:t>0.3685</w:t>
            </w:r>
          </w:p>
        </w:tc>
        <w:tc>
          <w:tcPr>
            <w:tcW w:w="1134" w:type="dxa"/>
            <w:tcBorders>
              <w:top w:val="nil"/>
              <w:left w:val="nil"/>
              <w:bottom w:val="nil"/>
              <w:right w:val="nil"/>
            </w:tcBorders>
            <w:shd w:val="clear" w:color="auto" w:fill="FFFFFF"/>
            <w:tcMar>
              <w:left w:w="67" w:type="dxa"/>
              <w:right w:w="67" w:type="dxa"/>
            </w:tcMar>
            <w:vAlign w:val="center"/>
          </w:tcPr>
          <w:p w14:paraId="05DD6940" w14:textId="77777777" w:rsidR="00B77EA3" w:rsidRPr="0082484A" w:rsidRDefault="00B77EA3" w:rsidP="00B77EA3">
            <w:pPr>
              <w:spacing w:before="0" w:line="240" w:lineRule="auto"/>
              <w:contextualSpacing/>
              <w:jc w:val="center"/>
              <w:rPr>
                <w:sz w:val="22"/>
                <w:szCs w:val="22"/>
              </w:rPr>
            </w:pPr>
            <w:r w:rsidRPr="0082484A">
              <w:rPr>
                <w:sz w:val="22"/>
                <w:szCs w:val="22"/>
              </w:rPr>
              <w:t>0.5369</w:t>
            </w:r>
          </w:p>
        </w:tc>
        <w:tc>
          <w:tcPr>
            <w:tcW w:w="1134" w:type="dxa"/>
            <w:tcBorders>
              <w:top w:val="nil"/>
              <w:left w:val="nil"/>
              <w:bottom w:val="nil"/>
              <w:right w:val="nil"/>
            </w:tcBorders>
            <w:shd w:val="clear" w:color="auto" w:fill="FFFFFF"/>
            <w:tcMar>
              <w:left w:w="67" w:type="dxa"/>
              <w:right w:w="67" w:type="dxa"/>
            </w:tcMar>
            <w:vAlign w:val="center"/>
          </w:tcPr>
          <w:p w14:paraId="1A1B7A4B" w14:textId="77777777" w:rsidR="00B77EA3" w:rsidRPr="0082484A" w:rsidRDefault="00B77EA3" w:rsidP="00B77EA3">
            <w:pPr>
              <w:spacing w:before="0" w:line="240" w:lineRule="auto"/>
              <w:contextualSpacing/>
              <w:jc w:val="center"/>
              <w:rPr>
                <w:sz w:val="22"/>
                <w:szCs w:val="22"/>
              </w:rPr>
            </w:pPr>
            <w:r w:rsidRPr="0082484A">
              <w:rPr>
                <w:sz w:val="22"/>
                <w:szCs w:val="22"/>
              </w:rPr>
              <w:t>0.2351</w:t>
            </w:r>
          </w:p>
        </w:tc>
        <w:tc>
          <w:tcPr>
            <w:tcW w:w="1134" w:type="dxa"/>
            <w:tcBorders>
              <w:top w:val="nil"/>
              <w:left w:val="nil"/>
              <w:bottom w:val="nil"/>
              <w:right w:val="nil"/>
            </w:tcBorders>
            <w:shd w:val="clear" w:color="auto" w:fill="FFFFFF"/>
            <w:tcMar>
              <w:left w:w="67" w:type="dxa"/>
              <w:right w:w="67" w:type="dxa"/>
            </w:tcMar>
            <w:vAlign w:val="center"/>
          </w:tcPr>
          <w:p w14:paraId="2B2F5202" w14:textId="77777777" w:rsidR="00B77EA3" w:rsidRPr="0082484A" w:rsidRDefault="00B77EA3" w:rsidP="00B77EA3">
            <w:pPr>
              <w:spacing w:before="0" w:line="240" w:lineRule="auto"/>
              <w:contextualSpacing/>
              <w:jc w:val="center"/>
              <w:rPr>
                <w:sz w:val="22"/>
                <w:szCs w:val="22"/>
              </w:rPr>
            </w:pPr>
            <w:r w:rsidRPr="0082484A">
              <w:rPr>
                <w:sz w:val="22"/>
                <w:szCs w:val="22"/>
              </w:rPr>
              <w:t>1.2263</w:t>
            </w:r>
          </w:p>
        </w:tc>
        <w:tc>
          <w:tcPr>
            <w:tcW w:w="1134" w:type="dxa"/>
            <w:tcBorders>
              <w:top w:val="nil"/>
              <w:left w:val="nil"/>
              <w:bottom w:val="nil"/>
              <w:right w:val="nil"/>
            </w:tcBorders>
            <w:shd w:val="clear" w:color="auto" w:fill="FFFFFF"/>
            <w:tcMar>
              <w:left w:w="67" w:type="dxa"/>
              <w:right w:w="67" w:type="dxa"/>
            </w:tcMar>
            <w:vAlign w:val="center"/>
          </w:tcPr>
          <w:p w14:paraId="5169EA7F"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755E6D2"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84FA93" w14:textId="77777777" w:rsidR="00B77EA3" w:rsidRPr="0082484A" w:rsidRDefault="00B77EA3" w:rsidP="00B77EA3">
            <w:pPr>
              <w:spacing w:before="0" w:line="240" w:lineRule="auto"/>
              <w:contextualSpacing/>
              <w:jc w:val="center"/>
              <w:rPr>
                <w:sz w:val="22"/>
                <w:szCs w:val="22"/>
              </w:rPr>
            </w:pPr>
          </w:p>
        </w:tc>
      </w:tr>
      <w:tr w:rsidR="00B77EA3" w:rsidRPr="0082484A" w14:paraId="22F4AA6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157E731"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44CFBD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6589E5" w14:textId="77777777" w:rsidR="00B77EA3" w:rsidRPr="0082484A" w:rsidRDefault="00B77EA3" w:rsidP="00B77EA3">
            <w:pPr>
              <w:spacing w:before="0" w:line="240" w:lineRule="auto"/>
              <w:contextualSpacing/>
              <w:jc w:val="center"/>
              <w:rPr>
                <w:sz w:val="22"/>
                <w:szCs w:val="22"/>
              </w:rPr>
            </w:pPr>
            <w:r w:rsidRPr="0082484A">
              <w:rPr>
                <w:sz w:val="22"/>
                <w:szCs w:val="22"/>
              </w:rPr>
              <w:t>-0.0503</w:t>
            </w:r>
          </w:p>
        </w:tc>
        <w:tc>
          <w:tcPr>
            <w:tcW w:w="1134" w:type="dxa"/>
            <w:tcBorders>
              <w:top w:val="nil"/>
              <w:left w:val="nil"/>
              <w:bottom w:val="nil"/>
              <w:right w:val="nil"/>
            </w:tcBorders>
            <w:shd w:val="clear" w:color="auto" w:fill="FFFFFF"/>
            <w:tcMar>
              <w:left w:w="67" w:type="dxa"/>
              <w:right w:w="67" w:type="dxa"/>
            </w:tcMar>
            <w:vAlign w:val="center"/>
          </w:tcPr>
          <w:p w14:paraId="7A67F187" w14:textId="77777777" w:rsidR="00B77EA3" w:rsidRPr="0082484A" w:rsidRDefault="00B77EA3" w:rsidP="00B77EA3">
            <w:pPr>
              <w:spacing w:before="0" w:line="240" w:lineRule="auto"/>
              <w:contextualSpacing/>
              <w:jc w:val="center"/>
              <w:rPr>
                <w:sz w:val="22"/>
                <w:szCs w:val="22"/>
              </w:rPr>
            </w:pPr>
            <w:r w:rsidRPr="0082484A">
              <w:rPr>
                <w:sz w:val="22"/>
                <w:szCs w:val="22"/>
              </w:rPr>
              <w:t>0.3423</w:t>
            </w:r>
          </w:p>
        </w:tc>
        <w:tc>
          <w:tcPr>
            <w:tcW w:w="1134" w:type="dxa"/>
            <w:tcBorders>
              <w:top w:val="nil"/>
              <w:left w:val="nil"/>
              <w:bottom w:val="nil"/>
              <w:right w:val="nil"/>
            </w:tcBorders>
            <w:shd w:val="clear" w:color="auto" w:fill="FFFFFF"/>
            <w:tcMar>
              <w:left w:w="67" w:type="dxa"/>
              <w:right w:w="67" w:type="dxa"/>
            </w:tcMar>
            <w:vAlign w:val="center"/>
          </w:tcPr>
          <w:p w14:paraId="00A9B1FF" w14:textId="77777777" w:rsidR="00B77EA3" w:rsidRPr="0082484A" w:rsidRDefault="00B77EA3" w:rsidP="00B77EA3">
            <w:pPr>
              <w:spacing w:before="0" w:line="240" w:lineRule="auto"/>
              <w:contextualSpacing/>
              <w:jc w:val="center"/>
              <w:rPr>
                <w:sz w:val="22"/>
                <w:szCs w:val="22"/>
              </w:rPr>
            </w:pPr>
            <w:r w:rsidRPr="0082484A">
              <w:rPr>
                <w:sz w:val="22"/>
                <w:szCs w:val="22"/>
              </w:rPr>
              <w:t>0.9509</w:t>
            </w:r>
          </w:p>
        </w:tc>
        <w:tc>
          <w:tcPr>
            <w:tcW w:w="1134" w:type="dxa"/>
            <w:tcBorders>
              <w:top w:val="nil"/>
              <w:left w:val="nil"/>
              <w:bottom w:val="nil"/>
              <w:right w:val="nil"/>
            </w:tcBorders>
            <w:shd w:val="clear" w:color="auto" w:fill="FFFFFF"/>
            <w:tcMar>
              <w:left w:w="67" w:type="dxa"/>
              <w:right w:w="67" w:type="dxa"/>
            </w:tcMar>
            <w:vAlign w:val="center"/>
          </w:tcPr>
          <w:p w14:paraId="091E311F" w14:textId="77777777" w:rsidR="00B77EA3" w:rsidRPr="0082484A" w:rsidRDefault="00B77EA3" w:rsidP="00B77EA3">
            <w:pPr>
              <w:spacing w:before="0" w:line="240" w:lineRule="auto"/>
              <w:contextualSpacing/>
              <w:jc w:val="center"/>
              <w:rPr>
                <w:sz w:val="22"/>
                <w:szCs w:val="22"/>
              </w:rPr>
            </w:pPr>
            <w:r w:rsidRPr="0082484A">
              <w:rPr>
                <w:sz w:val="22"/>
                <w:szCs w:val="22"/>
              </w:rPr>
              <w:t>0.4415</w:t>
            </w:r>
          </w:p>
        </w:tc>
        <w:tc>
          <w:tcPr>
            <w:tcW w:w="1134" w:type="dxa"/>
            <w:tcBorders>
              <w:top w:val="nil"/>
              <w:left w:val="nil"/>
              <w:bottom w:val="nil"/>
              <w:right w:val="nil"/>
            </w:tcBorders>
            <w:shd w:val="clear" w:color="auto" w:fill="FFFFFF"/>
            <w:tcMar>
              <w:left w:w="67" w:type="dxa"/>
              <w:right w:w="67" w:type="dxa"/>
            </w:tcMar>
            <w:vAlign w:val="center"/>
          </w:tcPr>
          <w:p w14:paraId="664F2F8D" w14:textId="77777777" w:rsidR="00B77EA3" w:rsidRPr="0082484A" w:rsidRDefault="00B77EA3" w:rsidP="00B77EA3">
            <w:pPr>
              <w:spacing w:before="0" w:line="240" w:lineRule="auto"/>
              <w:contextualSpacing/>
              <w:jc w:val="center"/>
              <w:rPr>
                <w:sz w:val="22"/>
                <w:szCs w:val="22"/>
              </w:rPr>
            </w:pPr>
            <w:r w:rsidRPr="0082484A">
              <w:rPr>
                <w:sz w:val="22"/>
                <w:szCs w:val="22"/>
              </w:rPr>
              <w:t>2.0480</w:t>
            </w:r>
          </w:p>
        </w:tc>
        <w:tc>
          <w:tcPr>
            <w:tcW w:w="1134" w:type="dxa"/>
            <w:tcBorders>
              <w:top w:val="nil"/>
              <w:left w:val="nil"/>
              <w:bottom w:val="nil"/>
              <w:right w:val="nil"/>
            </w:tcBorders>
            <w:shd w:val="clear" w:color="auto" w:fill="FFFFFF"/>
            <w:tcMar>
              <w:left w:w="67" w:type="dxa"/>
              <w:right w:w="67" w:type="dxa"/>
            </w:tcMar>
            <w:vAlign w:val="center"/>
          </w:tcPr>
          <w:p w14:paraId="06E02FE5"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19A2321"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429901" w14:textId="77777777" w:rsidR="00B77EA3" w:rsidRPr="0082484A" w:rsidRDefault="00B77EA3" w:rsidP="00B77EA3">
            <w:pPr>
              <w:spacing w:before="0" w:line="240" w:lineRule="auto"/>
              <w:contextualSpacing/>
              <w:jc w:val="center"/>
              <w:rPr>
                <w:sz w:val="22"/>
                <w:szCs w:val="22"/>
              </w:rPr>
            </w:pPr>
          </w:p>
        </w:tc>
      </w:tr>
      <w:tr w:rsidR="00B77EA3" w:rsidRPr="0082484A" w14:paraId="5815368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F3A391E" w14:textId="77777777" w:rsidR="00B77EA3" w:rsidRPr="0082484A" w:rsidRDefault="00B77EA3" w:rsidP="00B77EA3">
            <w:pPr>
              <w:spacing w:before="0" w:line="240" w:lineRule="auto"/>
              <w:contextualSpacing/>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7ADE581"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54A42C9" w14:textId="77777777" w:rsidR="00B77EA3" w:rsidRPr="0082484A" w:rsidRDefault="00B77EA3" w:rsidP="00B77EA3">
            <w:pPr>
              <w:spacing w:before="0" w:line="240" w:lineRule="auto"/>
              <w:contextualSpacing/>
              <w:jc w:val="center"/>
              <w:rPr>
                <w:sz w:val="22"/>
                <w:szCs w:val="22"/>
              </w:rPr>
            </w:pPr>
            <w:r w:rsidRPr="0082484A">
              <w:rPr>
                <w:sz w:val="22"/>
                <w:szCs w:val="22"/>
              </w:rPr>
              <w:t>-0.0267</w:t>
            </w:r>
          </w:p>
        </w:tc>
        <w:tc>
          <w:tcPr>
            <w:tcW w:w="1134" w:type="dxa"/>
            <w:tcBorders>
              <w:top w:val="nil"/>
              <w:left w:val="nil"/>
              <w:bottom w:val="nil"/>
              <w:right w:val="nil"/>
            </w:tcBorders>
            <w:shd w:val="clear" w:color="auto" w:fill="FFFFFF"/>
            <w:tcMar>
              <w:left w:w="67" w:type="dxa"/>
              <w:right w:w="67" w:type="dxa"/>
            </w:tcMar>
            <w:vAlign w:val="center"/>
          </w:tcPr>
          <w:p w14:paraId="0CF0BFFC" w14:textId="77777777" w:rsidR="00B77EA3" w:rsidRPr="0082484A" w:rsidRDefault="00B77EA3" w:rsidP="00B77EA3">
            <w:pPr>
              <w:spacing w:before="0" w:line="240" w:lineRule="auto"/>
              <w:contextualSpacing/>
              <w:jc w:val="center"/>
              <w:rPr>
                <w:sz w:val="22"/>
                <w:szCs w:val="22"/>
              </w:rPr>
            </w:pPr>
            <w:r w:rsidRPr="0082484A">
              <w:rPr>
                <w:sz w:val="22"/>
                <w:szCs w:val="22"/>
              </w:rPr>
              <w:t>0.0187</w:t>
            </w:r>
          </w:p>
        </w:tc>
        <w:tc>
          <w:tcPr>
            <w:tcW w:w="1134" w:type="dxa"/>
            <w:tcBorders>
              <w:top w:val="nil"/>
              <w:left w:val="nil"/>
              <w:bottom w:val="nil"/>
              <w:right w:val="nil"/>
            </w:tcBorders>
            <w:shd w:val="clear" w:color="auto" w:fill="FFFFFF"/>
            <w:tcMar>
              <w:left w:w="67" w:type="dxa"/>
              <w:right w:w="67" w:type="dxa"/>
            </w:tcMar>
            <w:vAlign w:val="center"/>
          </w:tcPr>
          <w:p w14:paraId="0B01EB69" w14:textId="77777777" w:rsidR="00B77EA3" w:rsidRPr="0082484A" w:rsidRDefault="00B77EA3" w:rsidP="00B77EA3">
            <w:pPr>
              <w:spacing w:before="0" w:line="240" w:lineRule="auto"/>
              <w:contextualSpacing/>
              <w:jc w:val="center"/>
              <w:rPr>
                <w:sz w:val="22"/>
                <w:szCs w:val="22"/>
              </w:rPr>
            </w:pPr>
            <w:r w:rsidRPr="0082484A">
              <w:rPr>
                <w:sz w:val="22"/>
                <w:szCs w:val="22"/>
              </w:rPr>
              <w:t>0.9737</w:t>
            </w:r>
          </w:p>
        </w:tc>
        <w:tc>
          <w:tcPr>
            <w:tcW w:w="1134" w:type="dxa"/>
            <w:tcBorders>
              <w:top w:val="nil"/>
              <w:left w:val="nil"/>
              <w:bottom w:val="nil"/>
              <w:right w:val="nil"/>
            </w:tcBorders>
            <w:shd w:val="clear" w:color="auto" w:fill="FFFFFF"/>
            <w:tcMar>
              <w:left w:w="67" w:type="dxa"/>
              <w:right w:w="67" w:type="dxa"/>
            </w:tcMar>
            <w:vAlign w:val="center"/>
          </w:tcPr>
          <w:p w14:paraId="63B0CBD9" w14:textId="77777777" w:rsidR="00B77EA3" w:rsidRPr="0082484A" w:rsidRDefault="00B77EA3" w:rsidP="00B77EA3">
            <w:pPr>
              <w:spacing w:before="0" w:line="240" w:lineRule="auto"/>
              <w:contextualSpacing/>
              <w:jc w:val="center"/>
              <w:rPr>
                <w:sz w:val="22"/>
                <w:szCs w:val="22"/>
              </w:rPr>
            </w:pPr>
            <w:r w:rsidRPr="0082484A">
              <w:rPr>
                <w:sz w:val="22"/>
                <w:szCs w:val="22"/>
              </w:rPr>
              <w:t>0.9337</w:t>
            </w:r>
          </w:p>
        </w:tc>
        <w:tc>
          <w:tcPr>
            <w:tcW w:w="1134" w:type="dxa"/>
            <w:tcBorders>
              <w:top w:val="nil"/>
              <w:left w:val="nil"/>
              <w:bottom w:val="nil"/>
              <w:right w:val="nil"/>
            </w:tcBorders>
            <w:shd w:val="clear" w:color="auto" w:fill="FFFFFF"/>
            <w:tcMar>
              <w:left w:w="67" w:type="dxa"/>
              <w:right w:w="67" w:type="dxa"/>
            </w:tcMar>
            <w:vAlign w:val="center"/>
          </w:tcPr>
          <w:p w14:paraId="10892039" w14:textId="77777777" w:rsidR="00B77EA3" w:rsidRPr="0082484A" w:rsidRDefault="00B77EA3" w:rsidP="00B77EA3">
            <w:pPr>
              <w:spacing w:before="0" w:line="240" w:lineRule="auto"/>
              <w:contextualSpacing/>
              <w:jc w:val="center"/>
              <w:rPr>
                <w:sz w:val="22"/>
                <w:szCs w:val="22"/>
              </w:rPr>
            </w:pPr>
            <w:r w:rsidRPr="0082484A">
              <w:rPr>
                <w:sz w:val="22"/>
                <w:szCs w:val="22"/>
              </w:rPr>
              <w:t>1.0154</w:t>
            </w:r>
          </w:p>
        </w:tc>
        <w:tc>
          <w:tcPr>
            <w:tcW w:w="1134" w:type="dxa"/>
            <w:tcBorders>
              <w:top w:val="nil"/>
              <w:left w:val="nil"/>
              <w:bottom w:val="nil"/>
              <w:right w:val="nil"/>
            </w:tcBorders>
            <w:shd w:val="clear" w:color="auto" w:fill="FFFFFF"/>
            <w:tcMar>
              <w:left w:w="67" w:type="dxa"/>
              <w:right w:w="67" w:type="dxa"/>
            </w:tcMar>
            <w:vAlign w:val="center"/>
          </w:tcPr>
          <w:p w14:paraId="77A5DCC2" w14:textId="77777777" w:rsidR="00B77EA3" w:rsidRPr="0082484A" w:rsidRDefault="00B77EA3" w:rsidP="00B77EA3">
            <w:pPr>
              <w:spacing w:before="0" w:line="240" w:lineRule="auto"/>
              <w:contextualSpacing/>
              <w:jc w:val="center"/>
              <w:rPr>
                <w:sz w:val="22"/>
                <w:szCs w:val="22"/>
              </w:rPr>
            </w:pPr>
            <w:r w:rsidRPr="0082484A">
              <w:rPr>
                <w:sz w:val="22"/>
                <w:szCs w:val="22"/>
              </w:rPr>
              <w:t>2.03</w:t>
            </w:r>
          </w:p>
        </w:tc>
        <w:tc>
          <w:tcPr>
            <w:tcW w:w="567" w:type="dxa"/>
            <w:tcBorders>
              <w:top w:val="nil"/>
              <w:left w:val="nil"/>
              <w:bottom w:val="nil"/>
              <w:right w:val="nil"/>
            </w:tcBorders>
            <w:shd w:val="clear" w:color="auto" w:fill="FFFFFF"/>
            <w:tcMar>
              <w:left w:w="67" w:type="dxa"/>
              <w:right w:w="67" w:type="dxa"/>
            </w:tcMar>
            <w:vAlign w:val="center"/>
          </w:tcPr>
          <w:p w14:paraId="3112E534"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CEFD6EE" w14:textId="77777777" w:rsidR="00B77EA3" w:rsidRPr="0082484A" w:rsidRDefault="00B77EA3" w:rsidP="00B77EA3">
            <w:pPr>
              <w:spacing w:before="0" w:line="240" w:lineRule="auto"/>
              <w:contextualSpacing/>
              <w:jc w:val="center"/>
              <w:rPr>
                <w:sz w:val="22"/>
                <w:szCs w:val="22"/>
              </w:rPr>
            </w:pPr>
            <w:r w:rsidRPr="0082484A">
              <w:rPr>
                <w:sz w:val="22"/>
                <w:szCs w:val="22"/>
              </w:rPr>
              <w:t>0.1543</w:t>
            </w:r>
          </w:p>
        </w:tc>
      </w:tr>
      <w:tr w:rsidR="00B77EA3" w:rsidRPr="0082484A" w14:paraId="4DFC30A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DA09F3" w14:textId="77777777" w:rsidR="00B77EA3" w:rsidRPr="0082484A" w:rsidRDefault="00B77EA3" w:rsidP="00B77EA3">
            <w:pPr>
              <w:spacing w:before="0" w:line="240" w:lineRule="auto"/>
              <w:contextualSpacing/>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07BC8380"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60D7F45" w14:textId="77777777" w:rsidR="00B77EA3" w:rsidRPr="0082484A" w:rsidRDefault="00B77EA3" w:rsidP="00B77EA3">
            <w:pPr>
              <w:spacing w:before="0" w:line="240" w:lineRule="auto"/>
              <w:contextualSpacing/>
              <w:jc w:val="center"/>
              <w:rPr>
                <w:sz w:val="22"/>
                <w:szCs w:val="22"/>
              </w:rPr>
            </w:pPr>
            <w:r w:rsidRPr="0082484A">
              <w:rPr>
                <w:sz w:val="22"/>
                <w:szCs w:val="22"/>
              </w:rPr>
              <w:t>0.0191</w:t>
            </w:r>
          </w:p>
        </w:tc>
        <w:tc>
          <w:tcPr>
            <w:tcW w:w="1134" w:type="dxa"/>
            <w:tcBorders>
              <w:top w:val="nil"/>
              <w:left w:val="nil"/>
              <w:bottom w:val="nil"/>
              <w:right w:val="nil"/>
            </w:tcBorders>
            <w:shd w:val="clear" w:color="auto" w:fill="FFFFFF"/>
            <w:tcMar>
              <w:left w:w="67" w:type="dxa"/>
              <w:right w:w="67" w:type="dxa"/>
            </w:tcMar>
            <w:vAlign w:val="center"/>
          </w:tcPr>
          <w:p w14:paraId="2ED855A1" w14:textId="77777777" w:rsidR="00B77EA3" w:rsidRPr="0082484A" w:rsidRDefault="00B77EA3" w:rsidP="00B77EA3">
            <w:pPr>
              <w:spacing w:before="0" w:line="240" w:lineRule="auto"/>
              <w:contextualSpacing/>
              <w:jc w:val="center"/>
              <w:rPr>
                <w:sz w:val="22"/>
                <w:szCs w:val="22"/>
              </w:rPr>
            </w:pPr>
            <w:r w:rsidRPr="0082484A">
              <w:rPr>
                <w:sz w:val="22"/>
                <w:szCs w:val="22"/>
              </w:rPr>
              <w:t>0.0115</w:t>
            </w:r>
          </w:p>
        </w:tc>
        <w:tc>
          <w:tcPr>
            <w:tcW w:w="1134" w:type="dxa"/>
            <w:tcBorders>
              <w:top w:val="nil"/>
              <w:left w:val="nil"/>
              <w:bottom w:val="nil"/>
              <w:right w:val="nil"/>
            </w:tcBorders>
            <w:shd w:val="clear" w:color="auto" w:fill="FFFFFF"/>
            <w:tcMar>
              <w:left w:w="67" w:type="dxa"/>
              <w:right w:w="67" w:type="dxa"/>
            </w:tcMar>
            <w:vAlign w:val="center"/>
          </w:tcPr>
          <w:p w14:paraId="3C59D9FB" w14:textId="77777777" w:rsidR="00B77EA3" w:rsidRPr="0082484A" w:rsidRDefault="00B77EA3" w:rsidP="00B77EA3">
            <w:pPr>
              <w:spacing w:before="0" w:line="240" w:lineRule="auto"/>
              <w:contextualSpacing/>
              <w:jc w:val="center"/>
              <w:rPr>
                <w:sz w:val="22"/>
                <w:szCs w:val="22"/>
              </w:rPr>
            </w:pPr>
            <w:r w:rsidRPr="0082484A">
              <w:rPr>
                <w:sz w:val="22"/>
                <w:szCs w:val="22"/>
              </w:rPr>
              <w:t>1.0193</w:t>
            </w:r>
          </w:p>
        </w:tc>
        <w:tc>
          <w:tcPr>
            <w:tcW w:w="1134" w:type="dxa"/>
            <w:tcBorders>
              <w:top w:val="nil"/>
              <w:left w:val="nil"/>
              <w:bottom w:val="nil"/>
              <w:right w:val="nil"/>
            </w:tcBorders>
            <w:shd w:val="clear" w:color="auto" w:fill="FFFFFF"/>
            <w:tcMar>
              <w:left w:w="67" w:type="dxa"/>
              <w:right w:w="67" w:type="dxa"/>
            </w:tcMar>
            <w:vAlign w:val="center"/>
          </w:tcPr>
          <w:p w14:paraId="5E0C3984" w14:textId="77777777" w:rsidR="00B77EA3" w:rsidRPr="0082484A" w:rsidRDefault="00B77EA3" w:rsidP="00B77EA3">
            <w:pPr>
              <w:spacing w:before="0" w:line="240" w:lineRule="auto"/>
              <w:contextualSpacing/>
              <w:jc w:val="center"/>
              <w:rPr>
                <w:sz w:val="22"/>
                <w:szCs w:val="22"/>
              </w:rPr>
            </w:pPr>
            <w:r w:rsidRPr="0082484A">
              <w:rPr>
                <w:sz w:val="22"/>
                <w:szCs w:val="22"/>
              </w:rPr>
              <w:t>0.9933</w:t>
            </w:r>
          </w:p>
        </w:tc>
        <w:tc>
          <w:tcPr>
            <w:tcW w:w="1134" w:type="dxa"/>
            <w:tcBorders>
              <w:top w:val="nil"/>
              <w:left w:val="nil"/>
              <w:bottom w:val="nil"/>
              <w:right w:val="nil"/>
            </w:tcBorders>
            <w:shd w:val="clear" w:color="auto" w:fill="FFFFFF"/>
            <w:tcMar>
              <w:left w:w="67" w:type="dxa"/>
              <w:right w:w="67" w:type="dxa"/>
            </w:tcMar>
            <w:vAlign w:val="center"/>
          </w:tcPr>
          <w:p w14:paraId="160753CC" w14:textId="77777777" w:rsidR="00B77EA3" w:rsidRPr="0082484A" w:rsidRDefault="00B77EA3" w:rsidP="00B77EA3">
            <w:pPr>
              <w:spacing w:before="0" w:line="240" w:lineRule="auto"/>
              <w:contextualSpacing/>
              <w:jc w:val="center"/>
              <w:rPr>
                <w:sz w:val="22"/>
                <w:szCs w:val="22"/>
              </w:rPr>
            </w:pPr>
            <w:r w:rsidRPr="0082484A">
              <w:rPr>
                <w:sz w:val="22"/>
                <w:szCs w:val="22"/>
              </w:rPr>
              <w:t>1.0460</w:t>
            </w:r>
          </w:p>
        </w:tc>
        <w:tc>
          <w:tcPr>
            <w:tcW w:w="1134" w:type="dxa"/>
            <w:tcBorders>
              <w:top w:val="nil"/>
              <w:left w:val="nil"/>
              <w:bottom w:val="nil"/>
              <w:right w:val="nil"/>
            </w:tcBorders>
            <w:shd w:val="clear" w:color="auto" w:fill="FFFFFF"/>
            <w:tcMar>
              <w:left w:w="67" w:type="dxa"/>
              <w:right w:w="67" w:type="dxa"/>
            </w:tcMar>
            <w:vAlign w:val="center"/>
          </w:tcPr>
          <w:p w14:paraId="32268098" w14:textId="77777777" w:rsidR="00B77EA3" w:rsidRPr="0082484A" w:rsidRDefault="00B77EA3" w:rsidP="00B77EA3">
            <w:pPr>
              <w:spacing w:before="0" w:line="240" w:lineRule="auto"/>
              <w:contextualSpacing/>
              <w:jc w:val="center"/>
              <w:rPr>
                <w:sz w:val="22"/>
                <w:szCs w:val="22"/>
              </w:rPr>
            </w:pPr>
            <w:r w:rsidRPr="0082484A">
              <w:rPr>
                <w:sz w:val="22"/>
                <w:szCs w:val="22"/>
              </w:rPr>
              <w:t>2.75</w:t>
            </w:r>
          </w:p>
        </w:tc>
        <w:tc>
          <w:tcPr>
            <w:tcW w:w="567" w:type="dxa"/>
            <w:tcBorders>
              <w:top w:val="nil"/>
              <w:left w:val="nil"/>
              <w:bottom w:val="nil"/>
              <w:right w:val="nil"/>
            </w:tcBorders>
            <w:shd w:val="clear" w:color="auto" w:fill="FFFFFF"/>
            <w:tcMar>
              <w:left w:w="67" w:type="dxa"/>
              <w:right w:w="67" w:type="dxa"/>
            </w:tcMar>
            <w:vAlign w:val="center"/>
          </w:tcPr>
          <w:p w14:paraId="0A2005A3"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84FD75" w14:textId="77777777" w:rsidR="00B77EA3" w:rsidRPr="0082484A" w:rsidRDefault="00B77EA3" w:rsidP="00B77EA3">
            <w:pPr>
              <w:spacing w:before="0" w:line="240" w:lineRule="auto"/>
              <w:contextualSpacing/>
              <w:jc w:val="center"/>
              <w:rPr>
                <w:sz w:val="22"/>
                <w:szCs w:val="22"/>
              </w:rPr>
            </w:pPr>
            <w:r w:rsidRPr="0082484A">
              <w:rPr>
                <w:sz w:val="22"/>
                <w:szCs w:val="22"/>
              </w:rPr>
              <w:t>0.0970</w:t>
            </w:r>
          </w:p>
        </w:tc>
      </w:tr>
      <w:tr w:rsidR="00B77EA3" w:rsidRPr="0082484A" w14:paraId="07F899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E3EEAE" w14:textId="77777777" w:rsidR="00B77EA3" w:rsidRPr="0082484A" w:rsidRDefault="00B77EA3" w:rsidP="00B77EA3">
            <w:pPr>
              <w:spacing w:before="0" w:line="240" w:lineRule="auto"/>
              <w:contextualSpacing/>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69486BE4"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A5FEC23" w14:textId="77777777" w:rsidR="00B77EA3" w:rsidRPr="0082484A" w:rsidRDefault="00B77EA3" w:rsidP="00B77EA3">
            <w:pPr>
              <w:spacing w:before="0" w:line="240" w:lineRule="auto"/>
              <w:contextualSpacing/>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6CF2BA2D" w14:textId="77777777" w:rsidR="00B77EA3" w:rsidRPr="0082484A" w:rsidRDefault="00B77EA3" w:rsidP="00B77EA3">
            <w:pPr>
              <w:spacing w:before="0" w:line="240" w:lineRule="auto"/>
              <w:contextualSpacing/>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36DD4AC8" w14:textId="77777777" w:rsidR="00B77EA3" w:rsidRPr="0082484A" w:rsidRDefault="00B77EA3" w:rsidP="00B77EA3">
            <w:pPr>
              <w:spacing w:before="0" w:line="240" w:lineRule="auto"/>
              <w:contextualSpacing/>
              <w:jc w:val="center"/>
              <w:rPr>
                <w:sz w:val="22"/>
                <w:szCs w:val="22"/>
              </w:rPr>
            </w:pPr>
            <w:r w:rsidRPr="0082484A">
              <w:rPr>
                <w:sz w:val="22"/>
                <w:szCs w:val="22"/>
              </w:rPr>
              <w:t>1.0024</w:t>
            </w:r>
          </w:p>
        </w:tc>
        <w:tc>
          <w:tcPr>
            <w:tcW w:w="1134" w:type="dxa"/>
            <w:tcBorders>
              <w:top w:val="nil"/>
              <w:left w:val="nil"/>
              <w:bottom w:val="nil"/>
              <w:right w:val="nil"/>
            </w:tcBorders>
            <w:shd w:val="clear" w:color="auto" w:fill="FFFFFF"/>
            <w:tcMar>
              <w:left w:w="67" w:type="dxa"/>
              <w:right w:w="67" w:type="dxa"/>
            </w:tcMar>
            <w:vAlign w:val="center"/>
          </w:tcPr>
          <w:p w14:paraId="628AAD00" w14:textId="77777777" w:rsidR="00B77EA3" w:rsidRPr="0082484A" w:rsidRDefault="00B77EA3" w:rsidP="00B77EA3">
            <w:pPr>
              <w:spacing w:before="0" w:line="240" w:lineRule="auto"/>
              <w:contextualSpacing/>
              <w:jc w:val="center"/>
              <w:rPr>
                <w:sz w:val="22"/>
                <w:szCs w:val="22"/>
              </w:rPr>
            </w:pPr>
            <w:r w:rsidRPr="0082484A">
              <w:rPr>
                <w:sz w:val="22"/>
                <w:szCs w:val="22"/>
              </w:rPr>
              <w:t>0.9959</w:t>
            </w:r>
          </w:p>
        </w:tc>
        <w:tc>
          <w:tcPr>
            <w:tcW w:w="1134" w:type="dxa"/>
            <w:tcBorders>
              <w:top w:val="nil"/>
              <w:left w:val="nil"/>
              <w:bottom w:val="nil"/>
              <w:right w:val="nil"/>
            </w:tcBorders>
            <w:shd w:val="clear" w:color="auto" w:fill="FFFFFF"/>
            <w:tcMar>
              <w:left w:w="67" w:type="dxa"/>
              <w:right w:w="67" w:type="dxa"/>
            </w:tcMar>
            <w:vAlign w:val="center"/>
          </w:tcPr>
          <w:p w14:paraId="7D1BCABD" w14:textId="77777777" w:rsidR="00B77EA3" w:rsidRPr="0082484A" w:rsidRDefault="00B77EA3" w:rsidP="00B77EA3">
            <w:pPr>
              <w:spacing w:before="0" w:line="240" w:lineRule="auto"/>
              <w:contextualSpacing/>
              <w:jc w:val="center"/>
              <w:rPr>
                <w:sz w:val="22"/>
                <w:szCs w:val="22"/>
              </w:rPr>
            </w:pPr>
            <w:r w:rsidRPr="0082484A">
              <w:rPr>
                <w:sz w:val="22"/>
                <w:szCs w:val="22"/>
              </w:rPr>
              <w:t>1.0089</w:t>
            </w:r>
          </w:p>
        </w:tc>
        <w:tc>
          <w:tcPr>
            <w:tcW w:w="1134" w:type="dxa"/>
            <w:tcBorders>
              <w:top w:val="nil"/>
              <w:left w:val="nil"/>
              <w:bottom w:val="nil"/>
              <w:right w:val="nil"/>
            </w:tcBorders>
            <w:shd w:val="clear" w:color="auto" w:fill="FFFFFF"/>
            <w:tcMar>
              <w:left w:w="67" w:type="dxa"/>
              <w:right w:w="67" w:type="dxa"/>
            </w:tcMar>
            <w:vAlign w:val="center"/>
          </w:tcPr>
          <w:p w14:paraId="2E3DAA86" w14:textId="77777777" w:rsidR="00B77EA3" w:rsidRPr="0082484A" w:rsidRDefault="00B77EA3" w:rsidP="00B77EA3">
            <w:pPr>
              <w:spacing w:before="0" w:line="240" w:lineRule="auto"/>
              <w:contextualSpacing/>
              <w:jc w:val="center"/>
              <w:rPr>
                <w:sz w:val="22"/>
                <w:szCs w:val="22"/>
              </w:rPr>
            </w:pPr>
            <w:r w:rsidRPr="0082484A">
              <w:rPr>
                <w:sz w:val="22"/>
                <w:szCs w:val="22"/>
              </w:rPr>
              <w:t>0.66</w:t>
            </w:r>
          </w:p>
        </w:tc>
        <w:tc>
          <w:tcPr>
            <w:tcW w:w="567" w:type="dxa"/>
            <w:tcBorders>
              <w:top w:val="nil"/>
              <w:left w:val="nil"/>
              <w:bottom w:val="nil"/>
              <w:right w:val="nil"/>
            </w:tcBorders>
            <w:shd w:val="clear" w:color="auto" w:fill="FFFFFF"/>
            <w:tcMar>
              <w:left w:w="67" w:type="dxa"/>
              <w:right w:w="67" w:type="dxa"/>
            </w:tcMar>
            <w:vAlign w:val="center"/>
          </w:tcPr>
          <w:p w14:paraId="0EC3A5E2"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BF825B" w14:textId="77777777" w:rsidR="00B77EA3" w:rsidRPr="0082484A" w:rsidRDefault="00B77EA3" w:rsidP="00B77EA3">
            <w:pPr>
              <w:spacing w:before="0" w:line="240" w:lineRule="auto"/>
              <w:contextualSpacing/>
              <w:jc w:val="center"/>
              <w:rPr>
                <w:sz w:val="22"/>
                <w:szCs w:val="22"/>
              </w:rPr>
            </w:pPr>
            <w:r w:rsidRPr="0082484A">
              <w:rPr>
                <w:sz w:val="22"/>
                <w:szCs w:val="22"/>
              </w:rPr>
              <w:t>0.4167</w:t>
            </w:r>
          </w:p>
        </w:tc>
      </w:tr>
      <w:tr w:rsidR="00B77EA3" w:rsidRPr="0082484A" w14:paraId="43A59BB6"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7321968" w14:textId="77777777" w:rsidR="00B77EA3" w:rsidRPr="0082484A" w:rsidRDefault="00B77EA3" w:rsidP="00B77EA3">
            <w:pPr>
              <w:spacing w:before="0" w:line="240" w:lineRule="auto"/>
              <w:contextualSpacing/>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8058EE1"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8470BB4" w14:textId="77777777" w:rsidR="00B77EA3" w:rsidRPr="0082484A" w:rsidRDefault="00B77EA3" w:rsidP="00B77EA3">
            <w:pPr>
              <w:spacing w:before="0" w:line="240" w:lineRule="auto"/>
              <w:contextualSpacing/>
              <w:jc w:val="center"/>
              <w:rPr>
                <w:sz w:val="22"/>
                <w:szCs w:val="22"/>
              </w:rPr>
            </w:pPr>
            <w:r w:rsidRPr="0082484A">
              <w:rPr>
                <w:sz w:val="22"/>
                <w:szCs w:val="22"/>
              </w:rPr>
              <w:t>0.0676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898DA8C" w14:textId="77777777" w:rsidR="00B77EA3" w:rsidRPr="0082484A" w:rsidRDefault="00B77EA3" w:rsidP="00B77EA3">
            <w:pPr>
              <w:spacing w:before="0" w:line="240" w:lineRule="auto"/>
              <w:contextualSpacing/>
              <w:jc w:val="center"/>
              <w:rPr>
                <w:sz w:val="22"/>
                <w:szCs w:val="22"/>
              </w:rPr>
            </w:pPr>
            <w:r w:rsidRPr="0082484A">
              <w:rPr>
                <w:sz w:val="22"/>
                <w:szCs w:val="22"/>
              </w:rPr>
              <w:t>0.0929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B0504C0" w14:textId="77777777" w:rsidR="00B77EA3" w:rsidRPr="0082484A" w:rsidRDefault="00B77EA3" w:rsidP="00B77EA3">
            <w:pPr>
              <w:spacing w:before="0" w:line="240" w:lineRule="auto"/>
              <w:contextualSpacing/>
              <w:jc w:val="center"/>
              <w:rPr>
                <w:sz w:val="22"/>
                <w:szCs w:val="22"/>
              </w:rPr>
            </w:pPr>
            <w:r w:rsidRPr="0082484A">
              <w:rPr>
                <w:sz w:val="22"/>
                <w:szCs w:val="22"/>
              </w:rPr>
              <w:t>1.0699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94160F" w14:textId="77777777" w:rsidR="00B77EA3" w:rsidRPr="0082484A" w:rsidRDefault="00B77EA3" w:rsidP="00B77EA3">
            <w:pPr>
              <w:spacing w:before="0" w:line="240" w:lineRule="auto"/>
              <w:contextualSpacing/>
              <w:jc w:val="center"/>
              <w:rPr>
                <w:sz w:val="22"/>
                <w:szCs w:val="22"/>
              </w:rPr>
            </w:pPr>
            <w:r w:rsidRPr="0082484A">
              <w:rPr>
                <w:sz w:val="22"/>
                <w:szCs w:val="22"/>
              </w:rPr>
              <w:t>0.8688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E1F3542" w14:textId="77777777" w:rsidR="00B77EA3" w:rsidRPr="0082484A" w:rsidRDefault="00B77EA3" w:rsidP="00B77EA3">
            <w:pPr>
              <w:spacing w:before="0" w:line="240" w:lineRule="auto"/>
              <w:contextualSpacing/>
              <w:jc w:val="center"/>
              <w:rPr>
                <w:sz w:val="22"/>
                <w:szCs w:val="22"/>
              </w:rPr>
            </w:pPr>
            <w:r w:rsidRPr="0082484A">
              <w:rPr>
                <w:sz w:val="22"/>
                <w:szCs w:val="22"/>
              </w:rPr>
              <w:t>1.3176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E4B0FD4" w14:textId="77777777" w:rsidR="00B77EA3" w:rsidRPr="0082484A" w:rsidRDefault="00B77EA3" w:rsidP="00B77EA3">
            <w:pPr>
              <w:spacing w:before="0" w:line="240" w:lineRule="auto"/>
              <w:contextualSpacing/>
              <w:jc w:val="center"/>
              <w:rPr>
                <w:sz w:val="22"/>
                <w:szCs w:val="22"/>
              </w:rPr>
            </w:pPr>
            <w:r w:rsidRPr="0082484A">
              <w:rPr>
                <w:sz w:val="22"/>
                <w:szCs w:val="22"/>
              </w:rPr>
              <w:t>0.53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0AAEC3E"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835D126" w14:textId="77777777" w:rsidR="00B77EA3" w:rsidRPr="0082484A" w:rsidRDefault="00B77EA3" w:rsidP="00B77EA3">
            <w:pPr>
              <w:spacing w:before="0" w:line="240" w:lineRule="auto"/>
              <w:contextualSpacing/>
              <w:jc w:val="center"/>
              <w:rPr>
                <w:sz w:val="22"/>
                <w:szCs w:val="22"/>
              </w:rPr>
            </w:pPr>
            <w:r w:rsidRPr="0082484A">
              <w:rPr>
                <w:sz w:val="22"/>
                <w:szCs w:val="22"/>
              </w:rPr>
              <w:t>0.4667</w:t>
            </w:r>
          </w:p>
        </w:tc>
      </w:tr>
    </w:tbl>
    <w:p w14:paraId="4353672A" w14:textId="77777777" w:rsidR="00B77EA3" w:rsidRPr="0082484A" w:rsidRDefault="00B77EA3" w:rsidP="00B77EA3">
      <w:pPr>
        <w:spacing w:before="0" w:line="240" w:lineRule="auto"/>
        <w:rPr>
          <w:bCs/>
          <w:sz w:val="22"/>
          <w:szCs w:val="22"/>
        </w:rPr>
      </w:pPr>
      <w:r w:rsidRPr="0082484A">
        <w:rPr>
          <w:bCs/>
          <w:sz w:val="22"/>
          <w:szCs w:val="22"/>
        </w:rPr>
        <w:t>The estimated number needed to treat for one patient with Type 2 diabetes to receive all recommended processes of care (excluding eye screening) in the previous 12 months is 15</w:t>
      </w:r>
      <w:r w:rsidRPr="0082484A">
        <w:rPr>
          <w:bCs/>
          <w:sz w:val="22"/>
          <w:szCs w:val="22"/>
          <w:vertAlign w:val="superscript"/>
        </w:rPr>
        <w:t xml:space="preserve"> a</w:t>
      </w:r>
    </w:p>
    <w:p w14:paraId="71A98C1F" w14:textId="77777777" w:rsidR="00B77EA3" w:rsidRPr="0082484A" w:rsidRDefault="00B77EA3" w:rsidP="00B77EA3">
      <w:pPr>
        <w:spacing w:before="0" w:after="160" w:line="259" w:lineRule="auto"/>
        <w:rPr>
          <w:sz w:val="22"/>
          <w:szCs w:val="22"/>
        </w:rPr>
      </w:pPr>
      <w:r w:rsidRPr="0082484A">
        <w:rPr>
          <w:sz w:val="22"/>
          <w:szCs w:val="22"/>
        </w:rPr>
        <w:br w:type="page"/>
      </w:r>
    </w:p>
    <w:p w14:paraId="1071879D" w14:textId="6A519D20" w:rsidR="00B77EA3" w:rsidRPr="0082484A" w:rsidRDefault="00B77EA3" w:rsidP="00B77EA3">
      <w:pPr>
        <w:spacing w:before="0" w:line="240" w:lineRule="auto"/>
        <w:rPr>
          <w:bCs/>
          <w:sz w:val="22"/>
          <w:szCs w:val="22"/>
        </w:rPr>
      </w:pPr>
      <w:bookmarkStart w:id="104" w:name="_Ref502917939"/>
      <w:bookmarkStart w:id="105" w:name="_Toc8728101"/>
      <w:bookmarkStart w:id="106" w:name="_Toc19526756"/>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27</w:t>
      </w:r>
      <w:r w:rsidRPr="0082484A">
        <w:rPr>
          <w:bCs/>
          <w:noProof/>
          <w:sz w:val="22"/>
          <w:szCs w:val="22"/>
        </w:rPr>
        <w:fldChar w:fldCharType="end"/>
      </w:r>
      <w:bookmarkEnd w:id="104"/>
      <w:r w:rsidRPr="0082484A">
        <w:rPr>
          <w:bCs/>
          <w:sz w:val="22"/>
          <w:szCs w:val="22"/>
        </w:rPr>
        <w:t>: Secondary outcome for Trial 1: Prescribing a traditional oral NSAID or low-dose aspirin in patients with a history of peptic ulceration without co-prescription of gastro-protection (WP4A)</w:t>
      </w:r>
      <w:r w:rsidRPr="0082484A">
        <w:rPr>
          <w:bCs/>
          <w:sz w:val="22"/>
          <w:szCs w:val="22"/>
          <w:vertAlign w:val="superscript"/>
        </w:rPr>
        <w:t xml:space="preserve"> a</w:t>
      </w:r>
      <w:bookmarkEnd w:id="105"/>
      <w:bookmarkEnd w:id="106"/>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51BCD638"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6E6C395F"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8E1D936"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B56D57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472E4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EC879D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BF82C8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AD088E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D204A7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AD6E8C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1AC802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314138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7306D3"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BD9AD6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48DD75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-0.0480</w:t>
            </w:r>
          </w:p>
        </w:tc>
        <w:tc>
          <w:tcPr>
            <w:tcW w:w="1134" w:type="dxa"/>
            <w:tcBorders>
              <w:top w:val="nil"/>
              <w:left w:val="nil"/>
              <w:bottom w:val="nil"/>
              <w:right w:val="nil"/>
            </w:tcBorders>
            <w:shd w:val="clear" w:color="auto" w:fill="FFFFFF"/>
            <w:tcMar>
              <w:left w:w="67" w:type="dxa"/>
              <w:right w:w="67" w:type="dxa"/>
            </w:tcMar>
            <w:vAlign w:val="center"/>
          </w:tcPr>
          <w:p w14:paraId="72F359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0.2969</w:t>
            </w:r>
          </w:p>
        </w:tc>
        <w:tc>
          <w:tcPr>
            <w:tcW w:w="1134" w:type="dxa"/>
            <w:tcBorders>
              <w:top w:val="nil"/>
              <w:left w:val="nil"/>
              <w:bottom w:val="nil"/>
              <w:right w:val="nil"/>
            </w:tcBorders>
            <w:shd w:val="clear" w:color="auto" w:fill="FFFFFF"/>
            <w:tcMar>
              <w:left w:w="67" w:type="dxa"/>
              <w:right w:w="67" w:type="dxa"/>
            </w:tcMar>
            <w:vAlign w:val="center"/>
          </w:tcPr>
          <w:p w14:paraId="7CC6BE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0.9532</w:t>
            </w:r>
          </w:p>
        </w:tc>
        <w:tc>
          <w:tcPr>
            <w:tcW w:w="1134" w:type="dxa"/>
            <w:tcBorders>
              <w:top w:val="nil"/>
              <w:left w:val="nil"/>
              <w:bottom w:val="nil"/>
              <w:right w:val="nil"/>
            </w:tcBorders>
            <w:shd w:val="clear" w:color="auto" w:fill="FFFFFF"/>
            <w:tcMar>
              <w:left w:w="67" w:type="dxa"/>
              <w:right w:w="67" w:type="dxa"/>
            </w:tcMar>
            <w:vAlign w:val="center"/>
          </w:tcPr>
          <w:p w14:paraId="6F8F53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0.4880</w:t>
            </w:r>
          </w:p>
        </w:tc>
        <w:tc>
          <w:tcPr>
            <w:tcW w:w="1134" w:type="dxa"/>
            <w:tcBorders>
              <w:top w:val="nil"/>
              <w:left w:val="nil"/>
              <w:bottom w:val="nil"/>
              <w:right w:val="nil"/>
            </w:tcBorders>
            <w:shd w:val="clear" w:color="auto" w:fill="FFFFFF"/>
            <w:tcMar>
              <w:left w:w="67" w:type="dxa"/>
              <w:right w:w="67" w:type="dxa"/>
            </w:tcMar>
            <w:vAlign w:val="center"/>
          </w:tcPr>
          <w:p w14:paraId="6883AB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1.8619</w:t>
            </w:r>
          </w:p>
        </w:tc>
        <w:tc>
          <w:tcPr>
            <w:tcW w:w="1134" w:type="dxa"/>
            <w:tcBorders>
              <w:top w:val="nil"/>
              <w:left w:val="nil"/>
              <w:bottom w:val="nil"/>
              <w:right w:val="nil"/>
            </w:tcBorders>
            <w:shd w:val="clear" w:color="auto" w:fill="FFFFFF"/>
            <w:tcMar>
              <w:left w:w="67" w:type="dxa"/>
              <w:right w:w="67" w:type="dxa"/>
            </w:tcMar>
            <w:vAlign w:val="center"/>
          </w:tcPr>
          <w:p w14:paraId="1E4898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621726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D2A19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0.8718</w:t>
            </w:r>
          </w:p>
        </w:tc>
      </w:tr>
      <w:tr w:rsidR="00B77EA3" w:rsidRPr="0082484A" w14:paraId="738B65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43D455B"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D9A99C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F0B8D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0.0776</w:t>
            </w:r>
          </w:p>
        </w:tc>
        <w:tc>
          <w:tcPr>
            <w:tcW w:w="1134" w:type="dxa"/>
            <w:tcBorders>
              <w:top w:val="nil"/>
              <w:left w:val="nil"/>
              <w:bottom w:val="nil"/>
              <w:right w:val="nil"/>
            </w:tcBorders>
            <w:shd w:val="clear" w:color="auto" w:fill="FFFFFF"/>
            <w:tcMar>
              <w:left w:w="67" w:type="dxa"/>
              <w:right w:w="67" w:type="dxa"/>
            </w:tcMar>
            <w:vAlign w:val="center"/>
          </w:tcPr>
          <w:p w14:paraId="594C48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0.2906</w:t>
            </w:r>
          </w:p>
        </w:tc>
        <w:tc>
          <w:tcPr>
            <w:tcW w:w="1134" w:type="dxa"/>
            <w:tcBorders>
              <w:top w:val="nil"/>
              <w:left w:val="nil"/>
              <w:bottom w:val="nil"/>
              <w:right w:val="nil"/>
            </w:tcBorders>
            <w:shd w:val="clear" w:color="auto" w:fill="FFFFFF"/>
            <w:tcMar>
              <w:left w:w="67" w:type="dxa"/>
              <w:right w:w="67" w:type="dxa"/>
            </w:tcMar>
            <w:vAlign w:val="center"/>
          </w:tcPr>
          <w:p w14:paraId="5E9534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1.0807</w:t>
            </w:r>
          </w:p>
        </w:tc>
        <w:tc>
          <w:tcPr>
            <w:tcW w:w="1134" w:type="dxa"/>
            <w:tcBorders>
              <w:top w:val="nil"/>
              <w:left w:val="nil"/>
              <w:bottom w:val="nil"/>
              <w:right w:val="nil"/>
            </w:tcBorders>
            <w:shd w:val="clear" w:color="auto" w:fill="FFFFFF"/>
            <w:tcMar>
              <w:left w:w="67" w:type="dxa"/>
              <w:right w:w="67" w:type="dxa"/>
            </w:tcMar>
            <w:vAlign w:val="center"/>
          </w:tcPr>
          <w:p w14:paraId="1D1E7F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0.5612</w:t>
            </w:r>
          </w:p>
        </w:tc>
        <w:tc>
          <w:tcPr>
            <w:tcW w:w="1134" w:type="dxa"/>
            <w:tcBorders>
              <w:top w:val="nil"/>
              <w:left w:val="nil"/>
              <w:bottom w:val="nil"/>
              <w:right w:val="nil"/>
            </w:tcBorders>
            <w:shd w:val="clear" w:color="auto" w:fill="FFFFFF"/>
            <w:tcMar>
              <w:left w:w="67" w:type="dxa"/>
              <w:right w:w="67" w:type="dxa"/>
            </w:tcMar>
            <w:vAlign w:val="center"/>
          </w:tcPr>
          <w:p w14:paraId="360BC8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2.0812</w:t>
            </w:r>
          </w:p>
        </w:tc>
        <w:tc>
          <w:tcPr>
            <w:tcW w:w="1134" w:type="dxa"/>
            <w:tcBorders>
              <w:top w:val="nil"/>
              <w:left w:val="nil"/>
              <w:bottom w:val="nil"/>
              <w:right w:val="nil"/>
            </w:tcBorders>
            <w:shd w:val="clear" w:color="auto" w:fill="FFFFFF"/>
            <w:tcMar>
              <w:left w:w="67" w:type="dxa"/>
              <w:right w:w="67" w:type="dxa"/>
            </w:tcMar>
            <w:vAlign w:val="center"/>
          </w:tcPr>
          <w:p w14:paraId="7D0479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w:t>
            </w:r>
          </w:p>
        </w:tc>
        <w:tc>
          <w:tcPr>
            <w:tcW w:w="567" w:type="dxa"/>
            <w:tcBorders>
              <w:top w:val="nil"/>
              <w:left w:val="nil"/>
              <w:bottom w:val="nil"/>
              <w:right w:val="nil"/>
            </w:tcBorders>
            <w:shd w:val="clear" w:color="auto" w:fill="FFFFFF"/>
            <w:tcMar>
              <w:left w:w="67" w:type="dxa"/>
              <w:right w:w="67" w:type="dxa"/>
            </w:tcMar>
            <w:vAlign w:val="center"/>
          </w:tcPr>
          <w:p w14:paraId="2FB3F5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D4E6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0.7896</w:t>
            </w:r>
          </w:p>
        </w:tc>
      </w:tr>
      <w:tr w:rsidR="00B77EA3" w:rsidRPr="0082484A" w14:paraId="33A3779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5CE6AAE"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1ADF680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7A5E3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-0.0148</w:t>
            </w:r>
          </w:p>
        </w:tc>
        <w:tc>
          <w:tcPr>
            <w:tcW w:w="1134" w:type="dxa"/>
            <w:tcBorders>
              <w:top w:val="nil"/>
              <w:left w:val="nil"/>
              <w:bottom w:val="nil"/>
              <w:right w:val="nil"/>
            </w:tcBorders>
            <w:shd w:val="clear" w:color="auto" w:fill="FFFFFF"/>
            <w:tcMar>
              <w:left w:w="67" w:type="dxa"/>
              <w:right w:w="67" w:type="dxa"/>
            </w:tcMar>
            <w:vAlign w:val="center"/>
          </w:tcPr>
          <w:p w14:paraId="021775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0.0104</w:t>
            </w:r>
          </w:p>
        </w:tc>
        <w:tc>
          <w:tcPr>
            <w:tcW w:w="1134" w:type="dxa"/>
            <w:tcBorders>
              <w:top w:val="nil"/>
              <w:left w:val="nil"/>
              <w:bottom w:val="nil"/>
              <w:right w:val="nil"/>
            </w:tcBorders>
            <w:shd w:val="clear" w:color="auto" w:fill="FFFFFF"/>
            <w:tcMar>
              <w:left w:w="67" w:type="dxa"/>
              <w:right w:w="67" w:type="dxa"/>
            </w:tcMar>
            <w:vAlign w:val="center"/>
          </w:tcPr>
          <w:p w14:paraId="58FE1B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0.9853</w:t>
            </w:r>
          </w:p>
        </w:tc>
        <w:tc>
          <w:tcPr>
            <w:tcW w:w="1134" w:type="dxa"/>
            <w:tcBorders>
              <w:top w:val="nil"/>
              <w:left w:val="nil"/>
              <w:bottom w:val="nil"/>
              <w:right w:val="nil"/>
            </w:tcBorders>
            <w:shd w:val="clear" w:color="auto" w:fill="FFFFFF"/>
            <w:tcMar>
              <w:left w:w="67" w:type="dxa"/>
              <w:right w:w="67" w:type="dxa"/>
            </w:tcMar>
            <w:vAlign w:val="center"/>
          </w:tcPr>
          <w:p w14:paraId="277D1E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0.9624</w:t>
            </w:r>
          </w:p>
        </w:tc>
        <w:tc>
          <w:tcPr>
            <w:tcW w:w="1134" w:type="dxa"/>
            <w:tcBorders>
              <w:top w:val="nil"/>
              <w:left w:val="nil"/>
              <w:bottom w:val="nil"/>
              <w:right w:val="nil"/>
            </w:tcBorders>
            <w:shd w:val="clear" w:color="auto" w:fill="FFFFFF"/>
            <w:tcMar>
              <w:left w:w="67" w:type="dxa"/>
              <w:right w:w="67" w:type="dxa"/>
            </w:tcMar>
            <w:vAlign w:val="center"/>
          </w:tcPr>
          <w:p w14:paraId="060CD5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1.0088</w:t>
            </w:r>
          </w:p>
        </w:tc>
        <w:tc>
          <w:tcPr>
            <w:tcW w:w="1134" w:type="dxa"/>
            <w:tcBorders>
              <w:top w:val="nil"/>
              <w:left w:val="nil"/>
              <w:bottom w:val="nil"/>
              <w:right w:val="nil"/>
            </w:tcBorders>
            <w:shd w:val="clear" w:color="auto" w:fill="FFFFFF"/>
            <w:tcMar>
              <w:left w:w="67" w:type="dxa"/>
              <w:right w:w="67" w:type="dxa"/>
            </w:tcMar>
            <w:vAlign w:val="center"/>
          </w:tcPr>
          <w:p w14:paraId="35745A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2.01</w:t>
            </w:r>
          </w:p>
        </w:tc>
        <w:tc>
          <w:tcPr>
            <w:tcW w:w="567" w:type="dxa"/>
            <w:tcBorders>
              <w:top w:val="nil"/>
              <w:left w:val="nil"/>
              <w:bottom w:val="nil"/>
              <w:right w:val="nil"/>
            </w:tcBorders>
            <w:shd w:val="clear" w:color="auto" w:fill="FFFFFF"/>
            <w:tcMar>
              <w:left w:w="67" w:type="dxa"/>
              <w:right w:w="67" w:type="dxa"/>
            </w:tcMar>
            <w:vAlign w:val="center"/>
          </w:tcPr>
          <w:p w14:paraId="4BB8CA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B2F60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0.1576</w:t>
            </w:r>
          </w:p>
        </w:tc>
      </w:tr>
      <w:tr w:rsidR="00B77EA3" w:rsidRPr="0082484A" w14:paraId="3DFAD52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30BBDF"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5A41AD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3A5EF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6FD10D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4201EB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1.0009</w:t>
            </w:r>
          </w:p>
        </w:tc>
        <w:tc>
          <w:tcPr>
            <w:tcW w:w="1134" w:type="dxa"/>
            <w:tcBorders>
              <w:top w:val="nil"/>
              <w:left w:val="nil"/>
              <w:bottom w:val="nil"/>
              <w:right w:val="nil"/>
            </w:tcBorders>
            <w:shd w:val="clear" w:color="auto" w:fill="FFFFFF"/>
            <w:tcMar>
              <w:left w:w="67" w:type="dxa"/>
              <w:right w:w="67" w:type="dxa"/>
            </w:tcMar>
            <w:vAlign w:val="center"/>
          </w:tcPr>
          <w:p w14:paraId="5EA65C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0.9895</w:t>
            </w:r>
          </w:p>
        </w:tc>
        <w:tc>
          <w:tcPr>
            <w:tcW w:w="1134" w:type="dxa"/>
            <w:tcBorders>
              <w:top w:val="nil"/>
              <w:left w:val="nil"/>
              <w:bottom w:val="nil"/>
              <w:right w:val="nil"/>
            </w:tcBorders>
            <w:shd w:val="clear" w:color="auto" w:fill="FFFFFF"/>
            <w:tcMar>
              <w:left w:w="67" w:type="dxa"/>
              <w:right w:w="67" w:type="dxa"/>
            </w:tcMar>
            <w:vAlign w:val="center"/>
          </w:tcPr>
          <w:p w14:paraId="2F3A82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1.0124</w:t>
            </w:r>
          </w:p>
        </w:tc>
        <w:tc>
          <w:tcPr>
            <w:tcW w:w="1134" w:type="dxa"/>
            <w:tcBorders>
              <w:top w:val="nil"/>
              <w:left w:val="nil"/>
              <w:bottom w:val="nil"/>
              <w:right w:val="nil"/>
            </w:tcBorders>
            <w:shd w:val="clear" w:color="auto" w:fill="FFFFFF"/>
            <w:tcMar>
              <w:left w:w="67" w:type="dxa"/>
              <w:right w:w="67" w:type="dxa"/>
            </w:tcMar>
            <w:vAlign w:val="center"/>
          </w:tcPr>
          <w:p w14:paraId="72B958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4B8DB8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E72E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0.8604</w:t>
            </w:r>
          </w:p>
        </w:tc>
      </w:tr>
      <w:tr w:rsidR="00B77EA3" w:rsidRPr="0082484A" w14:paraId="4B0F823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CFDD8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371A1B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9569D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-0.3576</w:t>
            </w:r>
          </w:p>
        </w:tc>
        <w:tc>
          <w:tcPr>
            <w:tcW w:w="1134" w:type="dxa"/>
            <w:tcBorders>
              <w:top w:val="nil"/>
              <w:left w:val="nil"/>
              <w:bottom w:val="nil"/>
              <w:right w:val="nil"/>
            </w:tcBorders>
            <w:shd w:val="clear" w:color="auto" w:fill="FFFFFF"/>
            <w:tcMar>
              <w:left w:w="67" w:type="dxa"/>
              <w:right w:w="67" w:type="dxa"/>
            </w:tcMar>
            <w:vAlign w:val="center"/>
          </w:tcPr>
          <w:p w14:paraId="3AE579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0.6097</w:t>
            </w:r>
          </w:p>
        </w:tc>
        <w:tc>
          <w:tcPr>
            <w:tcW w:w="1134" w:type="dxa"/>
            <w:tcBorders>
              <w:top w:val="nil"/>
              <w:left w:val="nil"/>
              <w:bottom w:val="nil"/>
              <w:right w:val="nil"/>
            </w:tcBorders>
            <w:shd w:val="clear" w:color="auto" w:fill="FFFFFF"/>
            <w:tcMar>
              <w:left w:w="67" w:type="dxa"/>
              <w:right w:w="67" w:type="dxa"/>
            </w:tcMar>
            <w:vAlign w:val="center"/>
          </w:tcPr>
          <w:p w14:paraId="1083D3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0.6994</w:t>
            </w:r>
          </w:p>
        </w:tc>
        <w:tc>
          <w:tcPr>
            <w:tcW w:w="1134" w:type="dxa"/>
            <w:tcBorders>
              <w:top w:val="nil"/>
              <w:left w:val="nil"/>
              <w:bottom w:val="nil"/>
              <w:right w:val="nil"/>
            </w:tcBorders>
            <w:shd w:val="clear" w:color="auto" w:fill="FFFFFF"/>
            <w:tcMar>
              <w:left w:w="67" w:type="dxa"/>
              <w:right w:w="67" w:type="dxa"/>
            </w:tcMar>
            <w:vAlign w:val="center"/>
          </w:tcPr>
          <w:p w14:paraId="2C5ED4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0.1769</w:t>
            </w:r>
          </w:p>
        </w:tc>
        <w:tc>
          <w:tcPr>
            <w:tcW w:w="1134" w:type="dxa"/>
            <w:tcBorders>
              <w:top w:val="nil"/>
              <w:left w:val="nil"/>
              <w:bottom w:val="nil"/>
              <w:right w:val="nil"/>
            </w:tcBorders>
            <w:shd w:val="clear" w:color="auto" w:fill="FFFFFF"/>
            <w:tcMar>
              <w:left w:w="67" w:type="dxa"/>
              <w:right w:w="67" w:type="dxa"/>
            </w:tcMar>
            <w:vAlign w:val="center"/>
          </w:tcPr>
          <w:p w14:paraId="4D0CE5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2.7657</w:t>
            </w:r>
          </w:p>
        </w:tc>
        <w:tc>
          <w:tcPr>
            <w:tcW w:w="1134" w:type="dxa"/>
            <w:tcBorders>
              <w:top w:val="nil"/>
              <w:left w:val="nil"/>
              <w:bottom w:val="nil"/>
              <w:right w:val="nil"/>
            </w:tcBorders>
            <w:shd w:val="clear" w:color="auto" w:fill="FFFFFF"/>
            <w:tcMar>
              <w:left w:w="67" w:type="dxa"/>
              <w:right w:w="67" w:type="dxa"/>
            </w:tcMar>
            <w:vAlign w:val="center"/>
          </w:tcPr>
          <w:p w14:paraId="02C7E6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w:t>
            </w:r>
          </w:p>
        </w:tc>
        <w:tc>
          <w:tcPr>
            <w:tcW w:w="567" w:type="dxa"/>
            <w:tcBorders>
              <w:top w:val="nil"/>
              <w:left w:val="nil"/>
              <w:bottom w:val="nil"/>
              <w:right w:val="nil"/>
            </w:tcBorders>
            <w:shd w:val="clear" w:color="auto" w:fill="FFFFFF"/>
            <w:tcMar>
              <w:left w:w="67" w:type="dxa"/>
              <w:right w:w="67" w:type="dxa"/>
            </w:tcMar>
            <w:vAlign w:val="center"/>
          </w:tcPr>
          <w:p w14:paraId="49EFBF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A341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0.2851</w:t>
            </w:r>
          </w:p>
        </w:tc>
      </w:tr>
      <w:tr w:rsidR="00B77EA3" w:rsidRPr="0082484A" w14:paraId="20A96D3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D02AA3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A48784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93A87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-1.9795</w:t>
            </w:r>
          </w:p>
        </w:tc>
        <w:tc>
          <w:tcPr>
            <w:tcW w:w="1134" w:type="dxa"/>
            <w:tcBorders>
              <w:top w:val="nil"/>
              <w:left w:val="nil"/>
              <w:bottom w:val="nil"/>
              <w:right w:val="nil"/>
            </w:tcBorders>
            <w:shd w:val="clear" w:color="auto" w:fill="FFFFFF"/>
            <w:tcMar>
              <w:left w:w="67" w:type="dxa"/>
              <w:right w:w="67" w:type="dxa"/>
            </w:tcMar>
            <w:vAlign w:val="center"/>
          </w:tcPr>
          <w:p w14:paraId="45670F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1.2474</w:t>
            </w:r>
          </w:p>
        </w:tc>
        <w:tc>
          <w:tcPr>
            <w:tcW w:w="1134" w:type="dxa"/>
            <w:tcBorders>
              <w:top w:val="nil"/>
              <w:left w:val="nil"/>
              <w:bottom w:val="nil"/>
              <w:right w:val="nil"/>
            </w:tcBorders>
            <w:shd w:val="clear" w:color="auto" w:fill="FFFFFF"/>
            <w:tcMar>
              <w:left w:w="67" w:type="dxa"/>
              <w:right w:w="67" w:type="dxa"/>
            </w:tcMar>
            <w:vAlign w:val="center"/>
          </w:tcPr>
          <w:p w14:paraId="1DBBA4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0.1381</w:t>
            </w:r>
          </w:p>
        </w:tc>
        <w:tc>
          <w:tcPr>
            <w:tcW w:w="1134" w:type="dxa"/>
            <w:tcBorders>
              <w:top w:val="nil"/>
              <w:left w:val="nil"/>
              <w:bottom w:val="nil"/>
              <w:right w:val="nil"/>
            </w:tcBorders>
            <w:shd w:val="clear" w:color="auto" w:fill="FFFFFF"/>
            <w:tcMar>
              <w:left w:w="67" w:type="dxa"/>
              <w:right w:w="67" w:type="dxa"/>
            </w:tcMar>
            <w:vAlign w:val="center"/>
          </w:tcPr>
          <w:p w14:paraId="42AA46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0.0083</w:t>
            </w:r>
          </w:p>
        </w:tc>
        <w:tc>
          <w:tcPr>
            <w:tcW w:w="1134" w:type="dxa"/>
            <w:tcBorders>
              <w:top w:val="nil"/>
              <w:left w:val="nil"/>
              <w:bottom w:val="nil"/>
              <w:right w:val="nil"/>
            </w:tcBorders>
            <w:shd w:val="clear" w:color="auto" w:fill="FFFFFF"/>
            <w:tcMar>
              <w:left w:w="67" w:type="dxa"/>
              <w:right w:w="67" w:type="dxa"/>
            </w:tcMar>
            <w:vAlign w:val="center"/>
          </w:tcPr>
          <w:p w14:paraId="19678C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2.3012</w:t>
            </w:r>
          </w:p>
        </w:tc>
        <w:tc>
          <w:tcPr>
            <w:tcW w:w="1134" w:type="dxa"/>
            <w:tcBorders>
              <w:top w:val="nil"/>
              <w:left w:val="nil"/>
              <w:bottom w:val="nil"/>
              <w:right w:val="nil"/>
            </w:tcBorders>
            <w:shd w:val="clear" w:color="auto" w:fill="FFFFFF"/>
            <w:tcMar>
              <w:left w:w="67" w:type="dxa"/>
              <w:right w:w="67" w:type="dxa"/>
            </w:tcMar>
            <w:vAlign w:val="center"/>
          </w:tcPr>
          <w:p w14:paraId="347BA4A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6685FC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2E34B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DE2CE7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ED049F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7B2B19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D54E4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-0.5326</w:t>
            </w:r>
          </w:p>
        </w:tc>
        <w:tc>
          <w:tcPr>
            <w:tcW w:w="1134" w:type="dxa"/>
            <w:tcBorders>
              <w:top w:val="nil"/>
              <w:left w:val="nil"/>
              <w:bottom w:val="nil"/>
              <w:right w:val="nil"/>
            </w:tcBorders>
            <w:shd w:val="clear" w:color="auto" w:fill="FFFFFF"/>
            <w:tcMar>
              <w:left w:w="67" w:type="dxa"/>
              <w:right w:w="67" w:type="dxa"/>
            </w:tcMar>
            <w:vAlign w:val="center"/>
          </w:tcPr>
          <w:p w14:paraId="1CC61E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0.5000</w:t>
            </w:r>
          </w:p>
        </w:tc>
        <w:tc>
          <w:tcPr>
            <w:tcW w:w="1134" w:type="dxa"/>
            <w:tcBorders>
              <w:top w:val="nil"/>
              <w:left w:val="nil"/>
              <w:bottom w:val="nil"/>
              <w:right w:val="nil"/>
            </w:tcBorders>
            <w:shd w:val="clear" w:color="auto" w:fill="FFFFFF"/>
            <w:tcMar>
              <w:left w:w="67" w:type="dxa"/>
              <w:right w:w="67" w:type="dxa"/>
            </w:tcMar>
            <w:vAlign w:val="center"/>
          </w:tcPr>
          <w:p w14:paraId="777FBE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0.5871</w:t>
            </w:r>
          </w:p>
        </w:tc>
        <w:tc>
          <w:tcPr>
            <w:tcW w:w="1134" w:type="dxa"/>
            <w:tcBorders>
              <w:top w:val="nil"/>
              <w:left w:val="nil"/>
              <w:bottom w:val="nil"/>
              <w:right w:val="nil"/>
            </w:tcBorders>
            <w:shd w:val="clear" w:color="auto" w:fill="FFFFFF"/>
            <w:tcMar>
              <w:left w:w="67" w:type="dxa"/>
              <w:right w:w="67" w:type="dxa"/>
            </w:tcMar>
            <w:vAlign w:val="center"/>
          </w:tcPr>
          <w:p w14:paraId="7AB714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0.1901</w:t>
            </w:r>
          </w:p>
        </w:tc>
        <w:tc>
          <w:tcPr>
            <w:tcW w:w="1134" w:type="dxa"/>
            <w:tcBorders>
              <w:top w:val="nil"/>
              <w:left w:val="nil"/>
              <w:bottom w:val="nil"/>
              <w:right w:val="nil"/>
            </w:tcBorders>
            <w:shd w:val="clear" w:color="auto" w:fill="FFFFFF"/>
            <w:tcMar>
              <w:left w:w="67" w:type="dxa"/>
              <w:right w:w="67" w:type="dxa"/>
            </w:tcMar>
            <w:vAlign w:val="center"/>
          </w:tcPr>
          <w:p w14:paraId="5C8E28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1.8128</w:t>
            </w:r>
          </w:p>
        </w:tc>
        <w:tc>
          <w:tcPr>
            <w:tcW w:w="1134" w:type="dxa"/>
            <w:tcBorders>
              <w:top w:val="nil"/>
              <w:left w:val="nil"/>
              <w:bottom w:val="nil"/>
              <w:right w:val="nil"/>
            </w:tcBorders>
            <w:shd w:val="clear" w:color="auto" w:fill="FFFFFF"/>
            <w:tcMar>
              <w:left w:w="67" w:type="dxa"/>
              <w:right w:w="67" w:type="dxa"/>
            </w:tcMar>
            <w:vAlign w:val="center"/>
          </w:tcPr>
          <w:p w14:paraId="54B8EB4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26A6E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DE014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FFEB84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117796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C98696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0FCB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-0.5493</w:t>
            </w:r>
          </w:p>
        </w:tc>
        <w:tc>
          <w:tcPr>
            <w:tcW w:w="1134" w:type="dxa"/>
            <w:tcBorders>
              <w:top w:val="nil"/>
              <w:left w:val="nil"/>
              <w:bottom w:val="nil"/>
              <w:right w:val="nil"/>
            </w:tcBorders>
            <w:shd w:val="clear" w:color="auto" w:fill="FFFFFF"/>
            <w:tcMar>
              <w:left w:w="67" w:type="dxa"/>
              <w:right w:w="67" w:type="dxa"/>
            </w:tcMar>
            <w:vAlign w:val="center"/>
          </w:tcPr>
          <w:p w14:paraId="0EEE05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0.6688</w:t>
            </w:r>
          </w:p>
        </w:tc>
        <w:tc>
          <w:tcPr>
            <w:tcW w:w="1134" w:type="dxa"/>
            <w:tcBorders>
              <w:top w:val="nil"/>
              <w:left w:val="nil"/>
              <w:bottom w:val="nil"/>
              <w:right w:val="nil"/>
            </w:tcBorders>
            <w:shd w:val="clear" w:color="auto" w:fill="FFFFFF"/>
            <w:tcMar>
              <w:left w:w="67" w:type="dxa"/>
              <w:right w:w="67" w:type="dxa"/>
            </w:tcMar>
            <w:vAlign w:val="center"/>
          </w:tcPr>
          <w:p w14:paraId="5C4EF2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0.5773</w:t>
            </w:r>
          </w:p>
        </w:tc>
        <w:tc>
          <w:tcPr>
            <w:tcW w:w="1134" w:type="dxa"/>
            <w:tcBorders>
              <w:top w:val="nil"/>
              <w:left w:val="nil"/>
              <w:bottom w:val="nil"/>
              <w:right w:val="nil"/>
            </w:tcBorders>
            <w:shd w:val="clear" w:color="auto" w:fill="FFFFFF"/>
            <w:tcMar>
              <w:left w:w="67" w:type="dxa"/>
              <w:right w:w="67" w:type="dxa"/>
            </w:tcMar>
            <w:vAlign w:val="center"/>
          </w:tcPr>
          <w:p w14:paraId="5BC699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0.1278</w:t>
            </w:r>
          </w:p>
        </w:tc>
        <w:tc>
          <w:tcPr>
            <w:tcW w:w="1134" w:type="dxa"/>
            <w:tcBorders>
              <w:top w:val="nil"/>
              <w:left w:val="nil"/>
              <w:bottom w:val="nil"/>
              <w:right w:val="nil"/>
            </w:tcBorders>
            <w:shd w:val="clear" w:color="auto" w:fill="FFFFFF"/>
            <w:tcMar>
              <w:left w:w="67" w:type="dxa"/>
              <w:right w:w="67" w:type="dxa"/>
            </w:tcMar>
            <w:vAlign w:val="center"/>
          </w:tcPr>
          <w:p w14:paraId="6CF28E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2.6085</w:t>
            </w:r>
          </w:p>
        </w:tc>
        <w:tc>
          <w:tcPr>
            <w:tcW w:w="1134" w:type="dxa"/>
            <w:tcBorders>
              <w:top w:val="nil"/>
              <w:left w:val="nil"/>
              <w:bottom w:val="nil"/>
              <w:right w:val="nil"/>
            </w:tcBorders>
            <w:shd w:val="clear" w:color="auto" w:fill="FFFFFF"/>
            <w:tcMar>
              <w:left w:w="67" w:type="dxa"/>
              <w:right w:w="67" w:type="dxa"/>
            </w:tcMar>
            <w:vAlign w:val="center"/>
          </w:tcPr>
          <w:p w14:paraId="306145E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C29C4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AF2644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DDCDCB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9EFB77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C5DEA8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9FB33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-2.5093</w:t>
            </w:r>
          </w:p>
        </w:tc>
        <w:tc>
          <w:tcPr>
            <w:tcW w:w="1134" w:type="dxa"/>
            <w:tcBorders>
              <w:top w:val="nil"/>
              <w:left w:val="nil"/>
              <w:bottom w:val="nil"/>
              <w:right w:val="nil"/>
            </w:tcBorders>
            <w:shd w:val="clear" w:color="auto" w:fill="FFFFFF"/>
            <w:tcMar>
              <w:left w:w="67" w:type="dxa"/>
              <w:right w:w="67" w:type="dxa"/>
            </w:tcMar>
            <w:vAlign w:val="center"/>
          </w:tcPr>
          <w:p w14:paraId="55021B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1.0408</w:t>
            </w:r>
          </w:p>
        </w:tc>
        <w:tc>
          <w:tcPr>
            <w:tcW w:w="1134" w:type="dxa"/>
            <w:tcBorders>
              <w:top w:val="nil"/>
              <w:left w:val="nil"/>
              <w:bottom w:val="nil"/>
              <w:right w:val="nil"/>
            </w:tcBorders>
            <w:shd w:val="clear" w:color="auto" w:fill="FFFFFF"/>
            <w:tcMar>
              <w:left w:w="67" w:type="dxa"/>
              <w:right w:w="67" w:type="dxa"/>
            </w:tcMar>
            <w:vAlign w:val="center"/>
          </w:tcPr>
          <w:p w14:paraId="4CEE72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0.0813</w:t>
            </w:r>
          </w:p>
        </w:tc>
        <w:tc>
          <w:tcPr>
            <w:tcW w:w="1134" w:type="dxa"/>
            <w:tcBorders>
              <w:top w:val="nil"/>
              <w:left w:val="nil"/>
              <w:bottom w:val="nil"/>
              <w:right w:val="nil"/>
            </w:tcBorders>
            <w:shd w:val="clear" w:color="auto" w:fill="FFFFFF"/>
            <w:tcMar>
              <w:left w:w="67" w:type="dxa"/>
              <w:right w:w="67" w:type="dxa"/>
            </w:tcMar>
            <w:vAlign w:val="center"/>
          </w:tcPr>
          <w:p w14:paraId="72987C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0.0078</w:t>
            </w:r>
          </w:p>
        </w:tc>
        <w:tc>
          <w:tcPr>
            <w:tcW w:w="1134" w:type="dxa"/>
            <w:tcBorders>
              <w:top w:val="nil"/>
              <w:left w:val="nil"/>
              <w:bottom w:val="nil"/>
              <w:right w:val="nil"/>
            </w:tcBorders>
            <w:shd w:val="clear" w:color="auto" w:fill="FFFFFF"/>
            <w:tcMar>
              <w:left w:w="67" w:type="dxa"/>
              <w:right w:w="67" w:type="dxa"/>
            </w:tcMar>
            <w:vAlign w:val="center"/>
          </w:tcPr>
          <w:p w14:paraId="5EEC7F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0.8502</w:t>
            </w:r>
          </w:p>
        </w:tc>
        <w:tc>
          <w:tcPr>
            <w:tcW w:w="1134" w:type="dxa"/>
            <w:tcBorders>
              <w:top w:val="nil"/>
              <w:left w:val="nil"/>
              <w:bottom w:val="nil"/>
              <w:right w:val="nil"/>
            </w:tcBorders>
            <w:shd w:val="clear" w:color="auto" w:fill="FFFFFF"/>
            <w:tcMar>
              <w:left w:w="67" w:type="dxa"/>
              <w:right w:w="67" w:type="dxa"/>
            </w:tcMar>
            <w:vAlign w:val="center"/>
          </w:tcPr>
          <w:p w14:paraId="31D1412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3BE1FD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D808F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65AAC8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D0C7BC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F446B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49F6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0.1568</w:t>
            </w:r>
          </w:p>
        </w:tc>
        <w:tc>
          <w:tcPr>
            <w:tcW w:w="1134" w:type="dxa"/>
            <w:tcBorders>
              <w:top w:val="nil"/>
              <w:left w:val="nil"/>
              <w:bottom w:val="nil"/>
              <w:right w:val="nil"/>
            </w:tcBorders>
            <w:shd w:val="clear" w:color="auto" w:fill="FFFFFF"/>
            <w:tcMar>
              <w:left w:w="67" w:type="dxa"/>
              <w:right w:w="67" w:type="dxa"/>
            </w:tcMar>
            <w:vAlign w:val="center"/>
          </w:tcPr>
          <w:p w14:paraId="30734D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0.8638</w:t>
            </w:r>
          </w:p>
        </w:tc>
        <w:tc>
          <w:tcPr>
            <w:tcW w:w="1134" w:type="dxa"/>
            <w:tcBorders>
              <w:top w:val="nil"/>
              <w:left w:val="nil"/>
              <w:bottom w:val="nil"/>
              <w:right w:val="nil"/>
            </w:tcBorders>
            <w:shd w:val="clear" w:color="auto" w:fill="FFFFFF"/>
            <w:tcMar>
              <w:left w:w="67" w:type="dxa"/>
              <w:right w:w="67" w:type="dxa"/>
            </w:tcMar>
            <w:vAlign w:val="center"/>
          </w:tcPr>
          <w:p w14:paraId="5280D7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1.1697</w:t>
            </w:r>
          </w:p>
        </w:tc>
        <w:tc>
          <w:tcPr>
            <w:tcW w:w="1134" w:type="dxa"/>
            <w:tcBorders>
              <w:top w:val="nil"/>
              <w:left w:val="nil"/>
              <w:bottom w:val="nil"/>
              <w:right w:val="nil"/>
            </w:tcBorders>
            <w:shd w:val="clear" w:color="auto" w:fill="FFFFFF"/>
            <w:tcMar>
              <w:left w:w="67" w:type="dxa"/>
              <w:right w:w="67" w:type="dxa"/>
            </w:tcMar>
            <w:vAlign w:val="center"/>
          </w:tcPr>
          <w:p w14:paraId="33CEF1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0.1668</w:t>
            </w:r>
          </w:p>
        </w:tc>
        <w:tc>
          <w:tcPr>
            <w:tcW w:w="1134" w:type="dxa"/>
            <w:tcBorders>
              <w:top w:val="nil"/>
              <w:left w:val="nil"/>
              <w:bottom w:val="nil"/>
              <w:right w:val="nil"/>
            </w:tcBorders>
            <w:shd w:val="clear" w:color="auto" w:fill="FFFFFF"/>
            <w:tcMar>
              <w:left w:w="67" w:type="dxa"/>
              <w:right w:w="67" w:type="dxa"/>
            </w:tcMar>
            <w:vAlign w:val="center"/>
          </w:tcPr>
          <w:p w14:paraId="251810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8.2039</w:t>
            </w:r>
          </w:p>
        </w:tc>
        <w:tc>
          <w:tcPr>
            <w:tcW w:w="1134" w:type="dxa"/>
            <w:tcBorders>
              <w:top w:val="nil"/>
              <w:left w:val="nil"/>
              <w:bottom w:val="nil"/>
              <w:right w:val="nil"/>
            </w:tcBorders>
            <w:shd w:val="clear" w:color="auto" w:fill="FFFFFF"/>
            <w:tcMar>
              <w:left w:w="67" w:type="dxa"/>
              <w:right w:w="67" w:type="dxa"/>
            </w:tcMar>
            <w:vAlign w:val="center"/>
          </w:tcPr>
          <w:p w14:paraId="2748FFC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68972C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205DF7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D95C0E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F9977C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950B1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9D796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-0.6501</w:t>
            </w:r>
          </w:p>
        </w:tc>
        <w:tc>
          <w:tcPr>
            <w:tcW w:w="1134" w:type="dxa"/>
            <w:tcBorders>
              <w:top w:val="nil"/>
              <w:left w:val="nil"/>
              <w:bottom w:val="nil"/>
              <w:right w:val="nil"/>
            </w:tcBorders>
            <w:shd w:val="clear" w:color="auto" w:fill="FFFFFF"/>
            <w:tcMar>
              <w:left w:w="67" w:type="dxa"/>
              <w:right w:w="67" w:type="dxa"/>
            </w:tcMar>
            <w:vAlign w:val="center"/>
          </w:tcPr>
          <w:p w14:paraId="1EC6AC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0.6171</w:t>
            </w:r>
          </w:p>
        </w:tc>
        <w:tc>
          <w:tcPr>
            <w:tcW w:w="1134" w:type="dxa"/>
            <w:tcBorders>
              <w:top w:val="nil"/>
              <w:left w:val="nil"/>
              <w:bottom w:val="nil"/>
              <w:right w:val="nil"/>
            </w:tcBorders>
            <w:shd w:val="clear" w:color="auto" w:fill="FFFFFF"/>
            <w:tcMar>
              <w:left w:w="67" w:type="dxa"/>
              <w:right w:w="67" w:type="dxa"/>
            </w:tcMar>
            <w:vAlign w:val="center"/>
          </w:tcPr>
          <w:p w14:paraId="46C4B0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0.5220</w:t>
            </w:r>
          </w:p>
        </w:tc>
        <w:tc>
          <w:tcPr>
            <w:tcW w:w="1134" w:type="dxa"/>
            <w:tcBorders>
              <w:top w:val="nil"/>
              <w:left w:val="nil"/>
              <w:bottom w:val="nil"/>
              <w:right w:val="nil"/>
            </w:tcBorders>
            <w:shd w:val="clear" w:color="auto" w:fill="FFFFFF"/>
            <w:tcMar>
              <w:left w:w="67" w:type="dxa"/>
              <w:right w:w="67" w:type="dxa"/>
            </w:tcMar>
            <w:vAlign w:val="center"/>
          </w:tcPr>
          <w:p w14:paraId="02B780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0.1298</w:t>
            </w:r>
          </w:p>
        </w:tc>
        <w:tc>
          <w:tcPr>
            <w:tcW w:w="1134" w:type="dxa"/>
            <w:tcBorders>
              <w:top w:val="nil"/>
              <w:left w:val="nil"/>
              <w:bottom w:val="nil"/>
              <w:right w:val="nil"/>
            </w:tcBorders>
            <w:shd w:val="clear" w:color="auto" w:fill="FFFFFF"/>
            <w:tcMar>
              <w:left w:w="67" w:type="dxa"/>
              <w:right w:w="67" w:type="dxa"/>
            </w:tcMar>
            <w:vAlign w:val="center"/>
          </w:tcPr>
          <w:p w14:paraId="54CC5A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2.0988</w:t>
            </w:r>
          </w:p>
        </w:tc>
        <w:tc>
          <w:tcPr>
            <w:tcW w:w="1134" w:type="dxa"/>
            <w:tcBorders>
              <w:top w:val="nil"/>
              <w:left w:val="nil"/>
              <w:bottom w:val="nil"/>
              <w:right w:val="nil"/>
            </w:tcBorders>
            <w:shd w:val="clear" w:color="auto" w:fill="FFFFFF"/>
            <w:tcMar>
              <w:left w:w="67" w:type="dxa"/>
              <w:right w:w="67" w:type="dxa"/>
            </w:tcMar>
            <w:vAlign w:val="center"/>
          </w:tcPr>
          <w:p w14:paraId="3EBB84B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ADEF34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28281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DB08D0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166EF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AC5FD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7E567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0.0339</w:t>
            </w:r>
          </w:p>
        </w:tc>
        <w:tc>
          <w:tcPr>
            <w:tcW w:w="1134" w:type="dxa"/>
            <w:tcBorders>
              <w:top w:val="nil"/>
              <w:left w:val="nil"/>
              <w:bottom w:val="nil"/>
              <w:right w:val="nil"/>
            </w:tcBorders>
            <w:shd w:val="clear" w:color="auto" w:fill="FFFFFF"/>
            <w:tcMar>
              <w:left w:w="67" w:type="dxa"/>
              <w:right w:w="67" w:type="dxa"/>
            </w:tcMar>
            <w:vAlign w:val="center"/>
          </w:tcPr>
          <w:p w14:paraId="26C4C7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0.7959</w:t>
            </w:r>
          </w:p>
        </w:tc>
        <w:tc>
          <w:tcPr>
            <w:tcW w:w="1134" w:type="dxa"/>
            <w:tcBorders>
              <w:top w:val="nil"/>
              <w:left w:val="nil"/>
              <w:bottom w:val="nil"/>
              <w:right w:val="nil"/>
            </w:tcBorders>
            <w:shd w:val="clear" w:color="auto" w:fill="FFFFFF"/>
            <w:tcMar>
              <w:left w:w="67" w:type="dxa"/>
              <w:right w:w="67" w:type="dxa"/>
            </w:tcMar>
            <w:vAlign w:val="center"/>
          </w:tcPr>
          <w:p w14:paraId="6632E9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1.0345</w:t>
            </w:r>
          </w:p>
        </w:tc>
        <w:tc>
          <w:tcPr>
            <w:tcW w:w="1134" w:type="dxa"/>
            <w:tcBorders>
              <w:top w:val="nil"/>
              <w:left w:val="nil"/>
              <w:bottom w:val="nil"/>
              <w:right w:val="nil"/>
            </w:tcBorders>
            <w:shd w:val="clear" w:color="auto" w:fill="FFFFFF"/>
            <w:tcMar>
              <w:left w:w="67" w:type="dxa"/>
              <w:right w:w="67" w:type="dxa"/>
            </w:tcMar>
            <w:vAlign w:val="center"/>
          </w:tcPr>
          <w:p w14:paraId="4A22A9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0.1719</w:t>
            </w:r>
          </w:p>
        </w:tc>
        <w:tc>
          <w:tcPr>
            <w:tcW w:w="1134" w:type="dxa"/>
            <w:tcBorders>
              <w:top w:val="nil"/>
              <w:left w:val="nil"/>
              <w:bottom w:val="nil"/>
              <w:right w:val="nil"/>
            </w:tcBorders>
            <w:shd w:val="clear" w:color="auto" w:fill="FFFFFF"/>
            <w:tcMar>
              <w:left w:w="67" w:type="dxa"/>
              <w:right w:w="67" w:type="dxa"/>
            </w:tcMar>
            <w:vAlign w:val="center"/>
          </w:tcPr>
          <w:p w14:paraId="2ED34C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6.2264</w:t>
            </w:r>
          </w:p>
        </w:tc>
        <w:tc>
          <w:tcPr>
            <w:tcW w:w="1134" w:type="dxa"/>
            <w:tcBorders>
              <w:top w:val="nil"/>
              <w:left w:val="nil"/>
              <w:bottom w:val="nil"/>
              <w:right w:val="nil"/>
            </w:tcBorders>
            <w:shd w:val="clear" w:color="auto" w:fill="FFFFFF"/>
            <w:tcMar>
              <w:left w:w="67" w:type="dxa"/>
              <w:right w:w="67" w:type="dxa"/>
            </w:tcMar>
            <w:vAlign w:val="center"/>
          </w:tcPr>
          <w:p w14:paraId="7B1872A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3F3166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B068C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16937C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1E631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CC294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C5813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-1.1459</w:t>
            </w:r>
          </w:p>
        </w:tc>
        <w:tc>
          <w:tcPr>
            <w:tcW w:w="1134" w:type="dxa"/>
            <w:tcBorders>
              <w:top w:val="nil"/>
              <w:left w:val="nil"/>
              <w:bottom w:val="nil"/>
              <w:right w:val="nil"/>
            </w:tcBorders>
            <w:shd w:val="clear" w:color="auto" w:fill="FFFFFF"/>
            <w:tcMar>
              <w:left w:w="67" w:type="dxa"/>
              <w:right w:w="67" w:type="dxa"/>
            </w:tcMar>
            <w:vAlign w:val="center"/>
          </w:tcPr>
          <w:p w14:paraId="59F41A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0.6415</w:t>
            </w:r>
          </w:p>
        </w:tc>
        <w:tc>
          <w:tcPr>
            <w:tcW w:w="1134" w:type="dxa"/>
            <w:tcBorders>
              <w:top w:val="nil"/>
              <w:left w:val="nil"/>
              <w:bottom w:val="nil"/>
              <w:right w:val="nil"/>
            </w:tcBorders>
            <w:shd w:val="clear" w:color="auto" w:fill="FFFFFF"/>
            <w:tcMar>
              <w:left w:w="67" w:type="dxa"/>
              <w:right w:w="67" w:type="dxa"/>
            </w:tcMar>
            <w:vAlign w:val="center"/>
          </w:tcPr>
          <w:p w14:paraId="04BB35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0.3179</w:t>
            </w:r>
          </w:p>
        </w:tc>
        <w:tc>
          <w:tcPr>
            <w:tcW w:w="1134" w:type="dxa"/>
            <w:tcBorders>
              <w:top w:val="nil"/>
              <w:left w:val="nil"/>
              <w:bottom w:val="nil"/>
              <w:right w:val="nil"/>
            </w:tcBorders>
            <w:shd w:val="clear" w:color="auto" w:fill="FFFFFF"/>
            <w:tcMar>
              <w:left w:w="67" w:type="dxa"/>
              <w:right w:w="67" w:type="dxa"/>
            </w:tcMar>
            <w:vAlign w:val="center"/>
          </w:tcPr>
          <w:p w14:paraId="1D0012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0.0748</w:t>
            </w:r>
          </w:p>
        </w:tc>
        <w:tc>
          <w:tcPr>
            <w:tcW w:w="1134" w:type="dxa"/>
            <w:tcBorders>
              <w:top w:val="nil"/>
              <w:left w:val="nil"/>
              <w:bottom w:val="nil"/>
              <w:right w:val="nil"/>
            </w:tcBorders>
            <w:shd w:val="clear" w:color="auto" w:fill="FFFFFF"/>
            <w:tcMar>
              <w:left w:w="67" w:type="dxa"/>
              <w:right w:w="67" w:type="dxa"/>
            </w:tcMar>
            <w:vAlign w:val="center"/>
          </w:tcPr>
          <w:p w14:paraId="26DADE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1.3510</w:t>
            </w:r>
          </w:p>
        </w:tc>
        <w:tc>
          <w:tcPr>
            <w:tcW w:w="1134" w:type="dxa"/>
            <w:tcBorders>
              <w:top w:val="nil"/>
              <w:left w:val="nil"/>
              <w:bottom w:val="nil"/>
              <w:right w:val="nil"/>
            </w:tcBorders>
            <w:shd w:val="clear" w:color="auto" w:fill="FFFFFF"/>
            <w:tcMar>
              <w:left w:w="67" w:type="dxa"/>
              <w:right w:w="67" w:type="dxa"/>
            </w:tcMar>
            <w:vAlign w:val="center"/>
          </w:tcPr>
          <w:p w14:paraId="3598D2E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DF3E7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6CE3B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B13AE9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C8CB125"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C749D9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0CEE9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0.1332</w:t>
            </w:r>
          </w:p>
        </w:tc>
        <w:tc>
          <w:tcPr>
            <w:tcW w:w="1134" w:type="dxa"/>
            <w:tcBorders>
              <w:top w:val="nil"/>
              <w:left w:val="nil"/>
              <w:bottom w:val="nil"/>
              <w:right w:val="nil"/>
            </w:tcBorders>
            <w:shd w:val="clear" w:color="auto" w:fill="FFFFFF"/>
            <w:tcMar>
              <w:left w:w="67" w:type="dxa"/>
              <w:right w:w="67" w:type="dxa"/>
            </w:tcMar>
            <w:vAlign w:val="center"/>
          </w:tcPr>
          <w:p w14:paraId="6CE185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0.0468</w:t>
            </w:r>
          </w:p>
        </w:tc>
        <w:tc>
          <w:tcPr>
            <w:tcW w:w="1134" w:type="dxa"/>
            <w:tcBorders>
              <w:top w:val="nil"/>
              <w:left w:val="nil"/>
              <w:bottom w:val="nil"/>
              <w:right w:val="nil"/>
            </w:tcBorders>
            <w:shd w:val="clear" w:color="auto" w:fill="FFFFFF"/>
            <w:tcMar>
              <w:left w:w="67" w:type="dxa"/>
              <w:right w:w="67" w:type="dxa"/>
            </w:tcMar>
            <w:vAlign w:val="center"/>
          </w:tcPr>
          <w:p w14:paraId="22CE7F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1.1424</w:t>
            </w:r>
          </w:p>
        </w:tc>
        <w:tc>
          <w:tcPr>
            <w:tcW w:w="1134" w:type="dxa"/>
            <w:tcBorders>
              <w:top w:val="nil"/>
              <w:left w:val="nil"/>
              <w:bottom w:val="nil"/>
              <w:right w:val="nil"/>
            </w:tcBorders>
            <w:shd w:val="clear" w:color="auto" w:fill="FFFFFF"/>
            <w:tcMar>
              <w:left w:w="67" w:type="dxa"/>
              <w:right w:w="67" w:type="dxa"/>
            </w:tcMar>
            <w:vAlign w:val="center"/>
          </w:tcPr>
          <w:p w14:paraId="66ECA1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1.0281</w:t>
            </w:r>
          </w:p>
        </w:tc>
        <w:tc>
          <w:tcPr>
            <w:tcW w:w="1134" w:type="dxa"/>
            <w:tcBorders>
              <w:top w:val="nil"/>
              <w:left w:val="nil"/>
              <w:bottom w:val="nil"/>
              <w:right w:val="nil"/>
            </w:tcBorders>
            <w:shd w:val="clear" w:color="auto" w:fill="FFFFFF"/>
            <w:tcMar>
              <w:left w:w="67" w:type="dxa"/>
              <w:right w:w="67" w:type="dxa"/>
            </w:tcMar>
            <w:vAlign w:val="center"/>
          </w:tcPr>
          <w:p w14:paraId="1F01BF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1.2695</w:t>
            </w:r>
          </w:p>
        </w:tc>
        <w:tc>
          <w:tcPr>
            <w:tcW w:w="1134" w:type="dxa"/>
            <w:tcBorders>
              <w:top w:val="nil"/>
              <w:left w:val="nil"/>
              <w:bottom w:val="nil"/>
              <w:right w:val="nil"/>
            </w:tcBorders>
            <w:shd w:val="clear" w:color="auto" w:fill="FFFFFF"/>
            <w:tcMar>
              <w:left w:w="67" w:type="dxa"/>
              <w:right w:w="67" w:type="dxa"/>
            </w:tcMar>
            <w:vAlign w:val="center"/>
          </w:tcPr>
          <w:p w14:paraId="211BC6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8.11</w:t>
            </w:r>
          </w:p>
        </w:tc>
        <w:tc>
          <w:tcPr>
            <w:tcW w:w="567" w:type="dxa"/>
            <w:tcBorders>
              <w:top w:val="nil"/>
              <w:left w:val="nil"/>
              <w:bottom w:val="nil"/>
              <w:right w:val="nil"/>
            </w:tcBorders>
            <w:shd w:val="clear" w:color="auto" w:fill="FFFFFF"/>
            <w:tcMar>
              <w:left w:w="67" w:type="dxa"/>
              <w:right w:w="67" w:type="dxa"/>
            </w:tcMar>
            <w:vAlign w:val="center"/>
          </w:tcPr>
          <w:p w14:paraId="41A096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BBE3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0.0048</w:t>
            </w:r>
          </w:p>
        </w:tc>
      </w:tr>
      <w:tr w:rsidR="00B77EA3" w:rsidRPr="0082484A" w14:paraId="0AA221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1ECCAC"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519EC44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2DC40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669769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0.0242</w:t>
            </w:r>
          </w:p>
        </w:tc>
        <w:tc>
          <w:tcPr>
            <w:tcW w:w="1134" w:type="dxa"/>
            <w:tcBorders>
              <w:top w:val="nil"/>
              <w:left w:val="nil"/>
              <w:bottom w:val="nil"/>
              <w:right w:val="nil"/>
            </w:tcBorders>
            <w:shd w:val="clear" w:color="auto" w:fill="FFFFFF"/>
            <w:tcMar>
              <w:left w:w="67" w:type="dxa"/>
              <w:right w:w="67" w:type="dxa"/>
            </w:tcMar>
            <w:vAlign w:val="center"/>
          </w:tcPr>
          <w:p w14:paraId="59B060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0.9974</w:t>
            </w:r>
          </w:p>
        </w:tc>
        <w:tc>
          <w:tcPr>
            <w:tcW w:w="1134" w:type="dxa"/>
            <w:tcBorders>
              <w:top w:val="nil"/>
              <w:left w:val="nil"/>
              <w:bottom w:val="nil"/>
              <w:right w:val="nil"/>
            </w:tcBorders>
            <w:shd w:val="clear" w:color="auto" w:fill="FFFFFF"/>
            <w:tcMar>
              <w:left w:w="67" w:type="dxa"/>
              <w:right w:w="67" w:type="dxa"/>
            </w:tcMar>
            <w:vAlign w:val="center"/>
          </w:tcPr>
          <w:p w14:paraId="5E76F0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0.9444</w:t>
            </w:r>
          </w:p>
        </w:tc>
        <w:tc>
          <w:tcPr>
            <w:tcW w:w="1134" w:type="dxa"/>
            <w:tcBorders>
              <w:top w:val="nil"/>
              <w:left w:val="nil"/>
              <w:bottom w:val="nil"/>
              <w:right w:val="nil"/>
            </w:tcBorders>
            <w:shd w:val="clear" w:color="auto" w:fill="FFFFFF"/>
            <w:tcMar>
              <w:left w:w="67" w:type="dxa"/>
              <w:right w:w="67" w:type="dxa"/>
            </w:tcMar>
            <w:vAlign w:val="center"/>
          </w:tcPr>
          <w:p w14:paraId="13FFCD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1.0533</w:t>
            </w:r>
          </w:p>
        </w:tc>
        <w:tc>
          <w:tcPr>
            <w:tcW w:w="1134" w:type="dxa"/>
            <w:tcBorders>
              <w:top w:val="nil"/>
              <w:left w:val="nil"/>
              <w:bottom w:val="nil"/>
              <w:right w:val="nil"/>
            </w:tcBorders>
            <w:shd w:val="clear" w:color="auto" w:fill="FFFFFF"/>
            <w:tcMar>
              <w:left w:w="67" w:type="dxa"/>
              <w:right w:w="67" w:type="dxa"/>
            </w:tcMar>
            <w:vAlign w:val="center"/>
          </w:tcPr>
          <w:p w14:paraId="5773AF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0C2597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2710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0.9130</w:t>
            </w:r>
          </w:p>
        </w:tc>
      </w:tr>
      <w:tr w:rsidR="00B77EA3" w:rsidRPr="0082484A" w14:paraId="03FD4C9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8E7F902"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64888F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7BBFB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-0.0146</w:t>
            </w:r>
          </w:p>
        </w:tc>
        <w:tc>
          <w:tcPr>
            <w:tcW w:w="1134" w:type="dxa"/>
            <w:tcBorders>
              <w:top w:val="nil"/>
              <w:left w:val="nil"/>
              <w:bottom w:val="nil"/>
              <w:right w:val="nil"/>
            </w:tcBorders>
            <w:shd w:val="clear" w:color="auto" w:fill="FFFFFF"/>
            <w:tcMar>
              <w:left w:w="67" w:type="dxa"/>
              <w:right w:w="67" w:type="dxa"/>
            </w:tcMar>
            <w:vAlign w:val="center"/>
          </w:tcPr>
          <w:p w14:paraId="31A929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0.0079</w:t>
            </w:r>
          </w:p>
        </w:tc>
        <w:tc>
          <w:tcPr>
            <w:tcW w:w="1134" w:type="dxa"/>
            <w:tcBorders>
              <w:top w:val="nil"/>
              <w:left w:val="nil"/>
              <w:bottom w:val="nil"/>
              <w:right w:val="nil"/>
            </w:tcBorders>
            <w:shd w:val="clear" w:color="auto" w:fill="FFFFFF"/>
            <w:tcMar>
              <w:left w:w="67" w:type="dxa"/>
              <w:right w:w="67" w:type="dxa"/>
            </w:tcMar>
            <w:vAlign w:val="center"/>
          </w:tcPr>
          <w:p w14:paraId="41B6DB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0.9855</w:t>
            </w:r>
          </w:p>
        </w:tc>
        <w:tc>
          <w:tcPr>
            <w:tcW w:w="1134" w:type="dxa"/>
            <w:tcBorders>
              <w:top w:val="nil"/>
              <w:left w:val="nil"/>
              <w:bottom w:val="nil"/>
              <w:right w:val="nil"/>
            </w:tcBorders>
            <w:shd w:val="clear" w:color="auto" w:fill="FFFFFF"/>
            <w:tcMar>
              <w:left w:w="67" w:type="dxa"/>
              <w:right w:w="67" w:type="dxa"/>
            </w:tcMar>
            <w:vAlign w:val="center"/>
          </w:tcPr>
          <w:p w14:paraId="1F0203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0.9681</w:t>
            </w:r>
          </w:p>
        </w:tc>
        <w:tc>
          <w:tcPr>
            <w:tcW w:w="1134" w:type="dxa"/>
            <w:tcBorders>
              <w:top w:val="nil"/>
              <w:left w:val="nil"/>
              <w:bottom w:val="nil"/>
              <w:right w:val="nil"/>
            </w:tcBorders>
            <w:shd w:val="clear" w:color="auto" w:fill="FFFFFF"/>
            <w:tcMar>
              <w:left w:w="67" w:type="dxa"/>
              <w:right w:w="67" w:type="dxa"/>
            </w:tcMar>
            <w:vAlign w:val="center"/>
          </w:tcPr>
          <w:p w14:paraId="2B4FA5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1.0032</w:t>
            </w:r>
          </w:p>
        </w:tc>
        <w:tc>
          <w:tcPr>
            <w:tcW w:w="1134" w:type="dxa"/>
            <w:tcBorders>
              <w:top w:val="nil"/>
              <w:left w:val="nil"/>
              <w:bottom w:val="nil"/>
              <w:right w:val="nil"/>
            </w:tcBorders>
            <w:shd w:val="clear" w:color="auto" w:fill="FFFFFF"/>
            <w:tcMar>
              <w:left w:w="67" w:type="dxa"/>
              <w:right w:w="67" w:type="dxa"/>
            </w:tcMar>
            <w:vAlign w:val="center"/>
          </w:tcPr>
          <w:p w14:paraId="298AE3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3.42</w:t>
            </w:r>
          </w:p>
        </w:tc>
        <w:tc>
          <w:tcPr>
            <w:tcW w:w="567" w:type="dxa"/>
            <w:tcBorders>
              <w:top w:val="nil"/>
              <w:left w:val="nil"/>
              <w:bottom w:val="nil"/>
              <w:right w:val="nil"/>
            </w:tcBorders>
            <w:shd w:val="clear" w:color="auto" w:fill="FFFFFF"/>
            <w:tcMar>
              <w:left w:w="67" w:type="dxa"/>
              <w:right w:w="67" w:type="dxa"/>
            </w:tcMar>
            <w:vAlign w:val="center"/>
          </w:tcPr>
          <w:p w14:paraId="50372A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6154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0.0655</w:t>
            </w:r>
          </w:p>
        </w:tc>
      </w:tr>
      <w:tr w:rsidR="00B77EA3" w:rsidRPr="0082484A" w14:paraId="75725CCF"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276F82F0"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7BFEFB5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FFE18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-0.1450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1F4ED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C4050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A5596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0.5212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06A69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1.4357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D5013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3FE2B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8D103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0.5193</w:t>
            </w:r>
          </w:p>
        </w:tc>
      </w:tr>
    </w:tbl>
    <w:p w14:paraId="3F5F5E25" w14:textId="77777777" w:rsidR="00B77EA3" w:rsidRPr="0082484A" w:rsidRDefault="00B77EA3" w:rsidP="00B77EA3">
      <w:pPr>
        <w:spacing w:before="0" w:after="160" w:line="259" w:lineRule="auto"/>
        <w:rPr>
          <w:sz w:val="22"/>
          <w:szCs w:val="22"/>
        </w:rPr>
      </w:pPr>
      <w:r w:rsidRPr="0082484A">
        <w:rPr>
          <w:sz w:val="22"/>
          <w:szCs w:val="22"/>
          <w:vertAlign w:val="superscript"/>
        </w:rPr>
        <w:t>a</w:t>
      </w:r>
      <w:r w:rsidRPr="0082484A">
        <w:rPr>
          <w:sz w:val="22"/>
          <w:szCs w:val="22"/>
        </w:rPr>
        <w:t xml:space="preserve"> The estimated number needed to treat to prevent one patient being prescribed a traditional oral NSAID or low-dose aspirin in patients with a history of peptic ulceration without co-prescription of gastro-protection is 125 </w:t>
      </w:r>
      <w:r w:rsidRPr="0082484A">
        <w:rPr>
          <w:sz w:val="22"/>
          <w:szCs w:val="22"/>
        </w:rPr>
        <w:br w:type="page"/>
      </w:r>
    </w:p>
    <w:p w14:paraId="48AB8F7A" w14:textId="03934624" w:rsidR="00B77EA3" w:rsidRPr="0082484A" w:rsidRDefault="00B77EA3" w:rsidP="00B77EA3">
      <w:pPr>
        <w:spacing w:before="0" w:line="240" w:lineRule="auto"/>
        <w:rPr>
          <w:bCs/>
          <w:sz w:val="22"/>
          <w:szCs w:val="22"/>
        </w:rPr>
      </w:pPr>
      <w:bookmarkStart w:id="107" w:name="_Ref502917940"/>
      <w:bookmarkStart w:id="108" w:name="_Toc8728102"/>
      <w:bookmarkStart w:id="109" w:name="_Toc19526757"/>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28</w:t>
      </w:r>
      <w:r w:rsidRPr="0082484A">
        <w:rPr>
          <w:bCs/>
          <w:noProof/>
          <w:sz w:val="22"/>
          <w:szCs w:val="22"/>
        </w:rPr>
        <w:fldChar w:fldCharType="end"/>
      </w:r>
      <w:bookmarkEnd w:id="107"/>
      <w:r w:rsidRPr="0082484A">
        <w:rPr>
          <w:bCs/>
          <w:sz w:val="22"/>
          <w:szCs w:val="22"/>
        </w:rPr>
        <w:t>: Secondary outcome for Trial 1: Prescribing a traditional oral NSAID in patients aged 75 years or over without co-prescription of gastro-protection (WP4A)</w:t>
      </w:r>
      <w:r w:rsidRPr="0082484A">
        <w:rPr>
          <w:bCs/>
          <w:sz w:val="22"/>
          <w:szCs w:val="22"/>
          <w:vertAlign w:val="superscript"/>
        </w:rPr>
        <w:t xml:space="preserve"> a</w:t>
      </w:r>
      <w:bookmarkEnd w:id="108"/>
      <w:bookmarkEnd w:id="109"/>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3EDC293F"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8AC1395"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C783A47"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B60BF7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9CF91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60CB32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42E50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158CD9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6D37BA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A3BD48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454A8C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FF70C9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F2723E4"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B9898A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6825FD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0.0723</w:t>
            </w:r>
          </w:p>
        </w:tc>
        <w:tc>
          <w:tcPr>
            <w:tcW w:w="1134" w:type="dxa"/>
            <w:tcBorders>
              <w:top w:val="nil"/>
              <w:left w:val="nil"/>
              <w:bottom w:val="nil"/>
              <w:right w:val="nil"/>
            </w:tcBorders>
            <w:shd w:val="clear" w:color="auto" w:fill="FFFFFF"/>
            <w:tcMar>
              <w:left w:w="67" w:type="dxa"/>
              <w:right w:w="67" w:type="dxa"/>
            </w:tcMar>
            <w:vAlign w:val="center"/>
          </w:tcPr>
          <w:p w14:paraId="146EFA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0.2023</w:t>
            </w:r>
          </w:p>
        </w:tc>
        <w:tc>
          <w:tcPr>
            <w:tcW w:w="1134" w:type="dxa"/>
            <w:tcBorders>
              <w:top w:val="nil"/>
              <w:left w:val="nil"/>
              <w:bottom w:val="nil"/>
              <w:right w:val="nil"/>
            </w:tcBorders>
            <w:shd w:val="clear" w:color="auto" w:fill="FFFFFF"/>
            <w:tcMar>
              <w:left w:w="67" w:type="dxa"/>
              <w:right w:w="67" w:type="dxa"/>
            </w:tcMar>
            <w:vAlign w:val="center"/>
          </w:tcPr>
          <w:p w14:paraId="00812F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1.0750</w:t>
            </w:r>
          </w:p>
        </w:tc>
        <w:tc>
          <w:tcPr>
            <w:tcW w:w="1134" w:type="dxa"/>
            <w:tcBorders>
              <w:top w:val="nil"/>
              <w:left w:val="nil"/>
              <w:bottom w:val="nil"/>
              <w:right w:val="nil"/>
            </w:tcBorders>
            <w:shd w:val="clear" w:color="auto" w:fill="FFFFFF"/>
            <w:tcMar>
              <w:left w:w="67" w:type="dxa"/>
              <w:right w:w="67" w:type="dxa"/>
            </w:tcMar>
            <w:vAlign w:val="center"/>
          </w:tcPr>
          <w:p w14:paraId="76FE70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0.6827</w:t>
            </w:r>
          </w:p>
        </w:tc>
        <w:tc>
          <w:tcPr>
            <w:tcW w:w="1134" w:type="dxa"/>
            <w:tcBorders>
              <w:top w:val="nil"/>
              <w:left w:val="nil"/>
              <w:bottom w:val="nil"/>
              <w:right w:val="nil"/>
            </w:tcBorders>
            <w:shd w:val="clear" w:color="auto" w:fill="FFFFFF"/>
            <w:tcMar>
              <w:left w:w="67" w:type="dxa"/>
              <w:right w:w="67" w:type="dxa"/>
            </w:tcMar>
            <w:vAlign w:val="center"/>
          </w:tcPr>
          <w:p w14:paraId="1A4139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1.6927</w:t>
            </w:r>
          </w:p>
        </w:tc>
        <w:tc>
          <w:tcPr>
            <w:tcW w:w="1134" w:type="dxa"/>
            <w:tcBorders>
              <w:top w:val="nil"/>
              <w:left w:val="nil"/>
              <w:bottom w:val="nil"/>
              <w:right w:val="nil"/>
            </w:tcBorders>
            <w:shd w:val="clear" w:color="auto" w:fill="FFFFFF"/>
            <w:tcMar>
              <w:left w:w="67" w:type="dxa"/>
              <w:right w:w="67" w:type="dxa"/>
            </w:tcMar>
            <w:vAlign w:val="center"/>
          </w:tcPr>
          <w:p w14:paraId="5334CF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w:t>
            </w:r>
          </w:p>
        </w:tc>
        <w:tc>
          <w:tcPr>
            <w:tcW w:w="567" w:type="dxa"/>
            <w:tcBorders>
              <w:top w:val="nil"/>
              <w:left w:val="nil"/>
              <w:bottom w:val="nil"/>
              <w:right w:val="nil"/>
            </w:tcBorders>
            <w:shd w:val="clear" w:color="auto" w:fill="FFFFFF"/>
            <w:tcMar>
              <w:left w:w="67" w:type="dxa"/>
              <w:right w:w="67" w:type="dxa"/>
            </w:tcMar>
            <w:vAlign w:val="center"/>
          </w:tcPr>
          <w:p w14:paraId="2C0670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0EFC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0.7207</w:t>
            </w:r>
          </w:p>
        </w:tc>
      </w:tr>
      <w:tr w:rsidR="00B77EA3" w:rsidRPr="0082484A" w14:paraId="2E4F5F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3AA9D4C"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3615F7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799890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-0.1311</w:t>
            </w:r>
          </w:p>
        </w:tc>
        <w:tc>
          <w:tcPr>
            <w:tcW w:w="1134" w:type="dxa"/>
            <w:tcBorders>
              <w:top w:val="nil"/>
              <w:left w:val="nil"/>
              <w:bottom w:val="nil"/>
              <w:right w:val="nil"/>
            </w:tcBorders>
            <w:shd w:val="clear" w:color="auto" w:fill="FFFFFF"/>
            <w:tcMar>
              <w:left w:w="67" w:type="dxa"/>
              <w:right w:w="67" w:type="dxa"/>
            </w:tcMar>
            <w:vAlign w:val="center"/>
          </w:tcPr>
          <w:p w14:paraId="6CE5CB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0.1350</w:t>
            </w:r>
          </w:p>
        </w:tc>
        <w:tc>
          <w:tcPr>
            <w:tcW w:w="1134" w:type="dxa"/>
            <w:tcBorders>
              <w:top w:val="nil"/>
              <w:left w:val="nil"/>
              <w:bottom w:val="nil"/>
              <w:right w:val="nil"/>
            </w:tcBorders>
            <w:shd w:val="clear" w:color="auto" w:fill="FFFFFF"/>
            <w:tcMar>
              <w:left w:w="67" w:type="dxa"/>
              <w:right w:w="67" w:type="dxa"/>
            </w:tcMar>
            <w:vAlign w:val="center"/>
          </w:tcPr>
          <w:p w14:paraId="46C061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0.8771</w:t>
            </w:r>
          </w:p>
        </w:tc>
        <w:tc>
          <w:tcPr>
            <w:tcW w:w="1134" w:type="dxa"/>
            <w:tcBorders>
              <w:top w:val="nil"/>
              <w:left w:val="nil"/>
              <w:bottom w:val="nil"/>
              <w:right w:val="nil"/>
            </w:tcBorders>
            <w:shd w:val="clear" w:color="auto" w:fill="FFFFFF"/>
            <w:tcMar>
              <w:left w:w="67" w:type="dxa"/>
              <w:right w:w="67" w:type="dxa"/>
            </w:tcMar>
            <w:vAlign w:val="center"/>
          </w:tcPr>
          <w:p w14:paraId="5D65AE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0.6479</w:t>
            </w:r>
          </w:p>
        </w:tc>
        <w:tc>
          <w:tcPr>
            <w:tcW w:w="1134" w:type="dxa"/>
            <w:tcBorders>
              <w:top w:val="nil"/>
              <w:left w:val="nil"/>
              <w:bottom w:val="nil"/>
              <w:right w:val="nil"/>
            </w:tcBorders>
            <w:shd w:val="clear" w:color="auto" w:fill="FFFFFF"/>
            <w:tcMar>
              <w:left w:w="67" w:type="dxa"/>
              <w:right w:w="67" w:type="dxa"/>
            </w:tcMar>
            <w:vAlign w:val="center"/>
          </w:tcPr>
          <w:p w14:paraId="20F25D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1.1874</w:t>
            </w:r>
          </w:p>
        </w:tc>
        <w:tc>
          <w:tcPr>
            <w:tcW w:w="1134" w:type="dxa"/>
            <w:tcBorders>
              <w:top w:val="nil"/>
              <w:left w:val="nil"/>
              <w:bottom w:val="nil"/>
              <w:right w:val="nil"/>
            </w:tcBorders>
            <w:shd w:val="clear" w:color="auto" w:fill="FFFFFF"/>
            <w:tcMar>
              <w:left w:w="67" w:type="dxa"/>
              <w:right w:w="67" w:type="dxa"/>
            </w:tcMar>
            <w:vAlign w:val="center"/>
          </w:tcPr>
          <w:p w14:paraId="0CFBE1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w:t>
            </w:r>
          </w:p>
        </w:tc>
        <w:tc>
          <w:tcPr>
            <w:tcW w:w="567" w:type="dxa"/>
            <w:tcBorders>
              <w:top w:val="nil"/>
              <w:left w:val="nil"/>
              <w:bottom w:val="nil"/>
              <w:right w:val="nil"/>
            </w:tcBorders>
            <w:shd w:val="clear" w:color="auto" w:fill="FFFFFF"/>
            <w:tcMar>
              <w:left w:w="67" w:type="dxa"/>
              <w:right w:w="67" w:type="dxa"/>
            </w:tcMar>
            <w:vAlign w:val="center"/>
          </w:tcPr>
          <w:p w14:paraId="360438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B0372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0.3315</w:t>
            </w:r>
          </w:p>
        </w:tc>
      </w:tr>
      <w:tr w:rsidR="00B77EA3" w:rsidRPr="0082484A" w14:paraId="0A70A3F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60B9868"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75E2AB24"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3CC6A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-0.0304</w:t>
            </w:r>
          </w:p>
        </w:tc>
        <w:tc>
          <w:tcPr>
            <w:tcW w:w="1134" w:type="dxa"/>
            <w:tcBorders>
              <w:top w:val="nil"/>
              <w:left w:val="nil"/>
              <w:bottom w:val="nil"/>
              <w:right w:val="nil"/>
            </w:tcBorders>
            <w:shd w:val="clear" w:color="auto" w:fill="FFFFFF"/>
            <w:tcMar>
              <w:left w:w="67" w:type="dxa"/>
              <w:right w:w="67" w:type="dxa"/>
            </w:tcMar>
            <w:vAlign w:val="center"/>
          </w:tcPr>
          <w:p w14:paraId="2418FC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0.0154</w:t>
            </w:r>
          </w:p>
        </w:tc>
        <w:tc>
          <w:tcPr>
            <w:tcW w:w="1134" w:type="dxa"/>
            <w:tcBorders>
              <w:top w:val="nil"/>
              <w:left w:val="nil"/>
              <w:bottom w:val="nil"/>
              <w:right w:val="nil"/>
            </w:tcBorders>
            <w:shd w:val="clear" w:color="auto" w:fill="FFFFFF"/>
            <w:tcMar>
              <w:left w:w="67" w:type="dxa"/>
              <w:right w:w="67" w:type="dxa"/>
            </w:tcMar>
            <w:vAlign w:val="center"/>
          </w:tcPr>
          <w:p w14:paraId="6DA153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0.9700</w:t>
            </w:r>
          </w:p>
        </w:tc>
        <w:tc>
          <w:tcPr>
            <w:tcW w:w="1134" w:type="dxa"/>
            <w:tcBorders>
              <w:top w:val="nil"/>
              <w:left w:val="nil"/>
              <w:bottom w:val="nil"/>
              <w:right w:val="nil"/>
            </w:tcBorders>
            <w:shd w:val="clear" w:color="auto" w:fill="FFFFFF"/>
            <w:tcMar>
              <w:left w:w="67" w:type="dxa"/>
              <w:right w:w="67" w:type="dxa"/>
            </w:tcMar>
            <w:vAlign w:val="center"/>
          </w:tcPr>
          <w:p w14:paraId="60FE14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0.9370</w:t>
            </w:r>
          </w:p>
        </w:tc>
        <w:tc>
          <w:tcPr>
            <w:tcW w:w="1134" w:type="dxa"/>
            <w:tcBorders>
              <w:top w:val="nil"/>
              <w:left w:val="nil"/>
              <w:bottom w:val="nil"/>
              <w:right w:val="nil"/>
            </w:tcBorders>
            <w:shd w:val="clear" w:color="auto" w:fill="FFFFFF"/>
            <w:tcMar>
              <w:left w:w="67" w:type="dxa"/>
              <w:right w:w="67" w:type="dxa"/>
            </w:tcMar>
            <w:vAlign w:val="center"/>
          </w:tcPr>
          <w:p w14:paraId="0E6E80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1.0042</w:t>
            </w:r>
          </w:p>
        </w:tc>
        <w:tc>
          <w:tcPr>
            <w:tcW w:w="1134" w:type="dxa"/>
            <w:tcBorders>
              <w:top w:val="nil"/>
              <w:left w:val="nil"/>
              <w:bottom w:val="nil"/>
              <w:right w:val="nil"/>
            </w:tcBorders>
            <w:shd w:val="clear" w:color="auto" w:fill="FFFFFF"/>
            <w:tcMar>
              <w:left w:w="67" w:type="dxa"/>
              <w:right w:w="67" w:type="dxa"/>
            </w:tcMar>
            <w:vAlign w:val="center"/>
          </w:tcPr>
          <w:p w14:paraId="403495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3.89</w:t>
            </w:r>
          </w:p>
        </w:tc>
        <w:tc>
          <w:tcPr>
            <w:tcW w:w="567" w:type="dxa"/>
            <w:tcBorders>
              <w:top w:val="nil"/>
              <w:left w:val="nil"/>
              <w:bottom w:val="nil"/>
              <w:right w:val="nil"/>
            </w:tcBorders>
            <w:shd w:val="clear" w:color="auto" w:fill="FFFFFF"/>
            <w:tcMar>
              <w:left w:w="67" w:type="dxa"/>
              <w:right w:w="67" w:type="dxa"/>
            </w:tcMar>
            <w:vAlign w:val="center"/>
          </w:tcPr>
          <w:p w14:paraId="3C4F6A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DBA98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0.0487</w:t>
            </w:r>
          </w:p>
        </w:tc>
      </w:tr>
      <w:tr w:rsidR="00B77EA3" w:rsidRPr="0082484A" w14:paraId="0E4802E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E4E780C"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36024D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A7367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18663A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0.0034</w:t>
            </w:r>
          </w:p>
        </w:tc>
        <w:tc>
          <w:tcPr>
            <w:tcW w:w="1134" w:type="dxa"/>
            <w:tcBorders>
              <w:top w:val="nil"/>
              <w:left w:val="nil"/>
              <w:bottom w:val="nil"/>
              <w:right w:val="nil"/>
            </w:tcBorders>
            <w:shd w:val="clear" w:color="auto" w:fill="FFFFFF"/>
            <w:tcMar>
              <w:left w:w="67" w:type="dxa"/>
              <w:right w:w="67" w:type="dxa"/>
            </w:tcMar>
            <w:vAlign w:val="center"/>
          </w:tcPr>
          <w:p w14:paraId="24ED66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0.9977</w:t>
            </w:r>
          </w:p>
        </w:tc>
        <w:tc>
          <w:tcPr>
            <w:tcW w:w="1134" w:type="dxa"/>
            <w:tcBorders>
              <w:top w:val="nil"/>
              <w:left w:val="nil"/>
              <w:bottom w:val="nil"/>
              <w:right w:val="nil"/>
            </w:tcBorders>
            <w:shd w:val="clear" w:color="auto" w:fill="FFFFFF"/>
            <w:tcMar>
              <w:left w:w="67" w:type="dxa"/>
              <w:right w:w="67" w:type="dxa"/>
            </w:tcMar>
            <w:vAlign w:val="center"/>
          </w:tcPr>
          <w:p w14:paraId="427140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0.9900</w:t>
            </w:r>
          </w:p>
        </w:tc>
        <w:tc>
          <w:tcPr>
            <w:tcW w:w="1134" w:type="dxa"/>
            <w:tcBorders>
              <w:top w:val="nil"/>
              <w:left w:val="nil"/>
              <w:bottom w:val="nil"/>
              <w:right w:val="nil"/>
            </w:tcBorders>
            <w:shd w:val="clear" w:color="auto" w:fill="FFFFFF"/>
            <w:tcMar>
              <w:left w:w="67" w:type="dxa"/>
              <w:right w:w="67" w:type="dxa"/>
            </w:tcMar>
            <w:vAlign w:val="center"/>
          </w:tcPr>
          <w:p w14:paraId="0DC8A7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1.0053</w:t>
            </w:r>
          </w:p>
        </w:tc>
        <w:tc>
          <w:tcPr>
            <w:tcW w:w="1134" w:type="dxa"/>
            <w:tcBorders>
              <w:top w:val="nil"/>
              <w:left w:val="nil"/>
              <w:bottom w:val="nil"/>
              <w:right w:val="nil"/>
            </w:tcBorders>
            <w:shd w:val="clear" w:color="auto" w:fill="FFFFFF"/>
            <w:tcMar>
              <w:left w:w="67" w:type="dxa"/>
              <w:right w:w="67" w:type="dxa"/>
            </w:tcMar>
            <w:vAlign w:val="center"/>
          </w:tcPr>
          <w:p w14:paraId="65DBD7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w:t>
            </w:r>
          </w:p>
        </w:tc>
        <w:tc>
          <w:tcPr>
            <w:tcW w:w="567" w:type="dxa"/>
            <w:tcBorders>
              <w:top w:val="nil"/>
              <w:left w:val="nil"/>
              <w:bottom w:val="nil"/>
              <w:right w:val="nil"/>
            </w:tcBorders>
            <w:shd w:val="clear" w:color="auto" w:fill="FFFFFF"/>
            <w:tcMar>
              <w:left w:w="67" w:type="dxa"/>
              <w:right w:w="67" w:type="dxa"/>
            </w:tcMar>
            <w:vAlign w:val="center"/>
          </w:tcPr>
          <w:p w14:paraId="3DD4B4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2082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0.4915</w:t>
            </w:r>
          </w:p>
        </w:tc>
      </w:tr>
      <w:tr w:rsidR="00B77EA3" w:rsidRPr="0082484A" w14:paraId="1A1F5AC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BA3B2A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0A8C7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BC51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0.1267</w:t>
            </w:r>
          </w:p>
        </w:tc>
        <w:tc>
          <w:tcPr>
            <w:tcW w:w="1134" w:type="dxa"/>
            <w:tcBorders>
              <w:top w:val="nil"/>
              <w:left w:val="nil"/>
              <w:bottom w:val="nil"/>
              <w:right w:val="nil"/>
            </w:tcBorders>
            <w:shd w:val="clear" w:color="auto" w:fill="FFFFFF"/>
            <w:tcMar>
              <w:left w:w="67" w:type="dxa"/>
              <w:right w:w="67" w:type="dxa"/>
            </w:tcMar>
            <w:vAlign w:val="center"/>
          </w:tcPr>
          <w:p w14:paraId="489A2C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0.4358</w:t>
            </w:r>
          </w:p>
        </w:tc>
        <w:tc>
          <w:tcPr>
            <w:tcW w:w="1134" w:type="dxa"/>
            <w:tcBorders>
              <w:top w:val="nil"/>
              <w:left w:val="nil"/>
              <w:bottom w:val="nil"/>
              <w:right w:val="nil"/>
            </w:tcBorders>
            <w:shd w:val="clear" w:color="auto" w:fill="FFFFFF"/>
            <w:tcMar>
              <w:left w:w="67" w:type="dxa"/>
              <w:right w:w="67" w:type="dxa"/>
            </w:tcMar>
            <w:vAlign w:val="center"/>
          </w:tcPr>
          <w:p w14:paraId="5D9FFE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1.1351</w:t>
            </w:r>
          </w:p>
        </w:tc>
        <w:tc>
          <w:tcPr>
            <w:tcW w:w="1134" w:type="dxa"/>
            <w:tcBorders>
              <w:top w:val="nil"/>
              <w:left w:val="nil"/>
              <w:bottom w:val="nil"/>
              <w:right w:val="nil"/>
            </w:tcBorders>
            <w:shd w:val="clear" w:color="auto" w:fill="FFFFFF"/>
            <w:tcMar>
              <w:left w:w="67" w:type="dxa"/>
              <w:right w:w="67" w:type="dxa"/>
            </w:tcMar>
            <w:vAlign w:val="center"/>
          </w:tcPr>
          <w:p w14:paraId="5DE79C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0.4268</w:t>
            </w:r>
          </w:p>
        </w:tc>
        <w:tc>
          <w:tcPr>
            <w:tcW w:w="1134" w:type="dxa"/>
            <w:tcBorders>
              <w:top w:val="nil"/>
              <w:left w:val="nil"/>
              <w:bottom w:val="nil"/>
              <w:right w:val="nil"/>
            </w:tcBorders>
            <w:shd w:val="clear" w:color="auto" w:fill="FFFFFF"/>
            <w:tcMar>
              <w:left w:w="67" w:type="dxa"/>
              <w:right w:w="67" w:type="dxa"/>
            </w:tcMar>
            <w:vAlign w:val="center"/>
          </w:tcPr>
          <w:p w14:paraId="196900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3.0186</w:t>
            </w:r>
          </w:p>
        </w:tc>
        <w:tc>
          <w:tcPr>
            <w:tcW w:w="1134" w:type="dxa"/>
            <w:tcBorders>
              <w:top w:val="nil"/>
              <w:left w:val="nil"/>
              <w:bottom w:val="nil"/>
              <w:right w:val="nil"/>
            </w:tcBorders>
            <w:shd w:val="clear" w:color="auto" w:fill="FFFFFF"/>
            <w:tcMar>
              <w:left w:w="67" w:type="dxa"/>
              <w:right w:w="67" w:type="dxa"/>
            </w:tcMar>
            <w:vAlign w:val="center"/>
          </w:tcPr>
          <w:p w14:paraId="6C4EA8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w:t>
            </w:r>
          </w:p>
        </w:tc>
        <w:tc>
          <w:tcPr>
            <w:tcW w:w="567" w:type="dxa"/>
            <w:tcBorders>
              <w:top w:val="nil"/>
              <w:left w:val="nil"/>
              <w:bottom w:val="nil"/>
              <w:right w:val="nil"/>
            </w:tcBorders>
            <w:shd w:val="clear" w:color="auto" w:fill="FFFFFF"/>
            <w:tcMar>
              <w:left w:w="67" w:type="dxa"/>
              <w:right w:w="67" w:type="dxa"/>
            </w:tcMar>
            <w:vAlign w:val="center"/>
          </w:tcPr>
          <w:p w14:paraId="20B485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6D09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0.6958</w:t>
            </w:r>
          </w:p>
        </w:tc>
      </w:tr>
      <w:tr w:rsidR="00B77EA3" w:rsidRPr="0082484A" w14:paraId="7A98ADD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E9ECF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C35934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E60F8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0.6362</w:t>
            </w:r>
          </w:p>
        </w:tc>
        <w:tc>
          <w:tcPr>
            <w:tcW w:w="1134" w:type="dxa"/>
            <w:tcBorders>
              <w:top w:val="nil"/>
              <w:left w:val="nil"/>
              <w:bottom w:val="nil"/>
              <w:right w:val="nil"/>
            </w:tcBorders>
            <w:shd w:val="clear" w:color="auto" w:fill="FFFFFF"/>
            <w:tcMar>
              <w:left w:w="67" w:type="dxa"/>
              <w:right w:w="67" w:type="dxa"/>
            </w:tcMar>
            <w:vAlign w:val="center"/>
          </w:tcPr>
          <w:p w14:paraId="693090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0.5577</w:t>
            </w:r>
          </w:p>
        </w:tc>
        <w:tc>
          <w:tcPr>
            <w:tcW w:w="1134" w:type="dxa"/>
            <w:tcBorders>
              <w:top w:val="nil"/>
              <w:left w:val="nil"/>
              <w:bottom w:val="nil"/>
              <w:right w:val="nil"/>
            </w:tcBorders>
            <w:shd w:val="clear" w:color="auto" w:fill="FFFFFF"/>
            <w:tcMar>
              <w:left w:w="67" w:type="dxa"/>
              <w:right w:w="67" w:type="dxa"/>
            </w:tcMar>
            <w:vAlign w:val="center"/>
          </w:tcPr>
          <w:p w14:paraId="07147F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1.8893</w:t>
            </w:r>
          </w:p>
        </w:tc>
        <w:tc>
          <w:tcPr>
            <w:tcW w:w="1134" w:type="dxa"/>
            <w:tcBorders>
              <w:top w:val="nil"/>
              <w:left w:val="nil"/>
              <w:bottom w:val="nil"/>
              <w:right w:val="nil"/>
            </w:tcBorders>
            <w:shd w:val="clear" w:color="auto" w:fill="FFFFFF"/>
            <w:tcMar>
              <w:left w:w="67" w:type="dxa"/>
              <w:right w:w="67" w:type="dxa"/>
            </w:tcMar>
            <w:vAlign w:val="center"/>
          </w:tcPr>
          <w:p w14:paraId="38692D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0.5403</w:t>
            </w:r>
          </w:p>
        </w:tc>
        <w:tc>
          <w:tcPr>
            <w:tcW w:w="1134" w:type="dxa"/>
            <w:tcBorders>
              <w:top w:val="nil"/>
              <w:left w:val="nil"/>
              <w:bottom w:val="nil"/>
              <w:right w:val="nil"/>
            </w:tcBorders>
            <w:shd w:val="clear" w:color="auto" w:fill="FFFFFF"/>
            <w:tcMar>
              <w:left w:w="67" w:type="dxa"/>
              <w:right w:w="67" w:type="dxa"/>
            </w:tcMar>
            <w:vAlign w:val="center"/>
          </w:tcPr>
          <w:p w14:paraId="360344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6.6056</w:t>
            </w:r>
          </w:p>
        </w:tc>
        <w:tc>
          <w:tcPr>
            <w:tcW w:w="1134" w:type="dxa"/>
            <w:tcBorders>
              <w:top w:val="nil"/>
              <w:left w:val="nil"/>
              <w:bottom w:val="nil"/>
              <w:right w:val="nil"/>
            </w:tcBorders>
            <w:shd w:val="clear" w:color="auto" w:fill="FFFFFF"/>
            <w:tcMar>
              <w:left w:w="67" w:type="dxa"/>
              <w:right w:w="67" w:type="dxa"/>
            </w:tcMar>
            <w:vAlign w:val="center"/>
          </w:tcPr>
          <w:p w14:paraId="36590AB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0FCE3D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BCEB3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461B31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E51090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5D47D8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3DF92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0.0288</w:t>
            </w:r>
          </w:p>
        </w:tc>
        <w:tc>
          <w:tcPr>
            <w:tcW w:w="1134" w:type="dxa"/>
            <w:tcBorders>
              <w:top w:val="nil"/>
              <w:left w:val="nil"/>
              <w:bottom w:val="nil"/>
              <w:right w:val="nil"/>
            </w:tcBorders>
            <w:shd w:val="clear" w:color="auto" w:fill="FFFFFF"/>
            <w:tcMar>
              <w:left w:w="67" w:type="dxa"/>
              <w:right w:w="67" w:type="dxa"/>
            </w:tcMar>
            <w:vAlign w:val="center"/>
          </w:tcPr>
          <w:p w14:paraId="03054E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0.3321</w:t>
            </w:r>
          </w:p>
        </w:tc>
        <w:tc>
          <w:tcPr>
            <w:tcW w:w="1134" w:type="dxa"/>
            <w:tcBorders>
              <w:top w:val="nil"/>
              <w:left w:val="nil"/>
              <w:bottom w:val="nil"/>
              <w:right w:val="nil"/>
            </w:tcBorders>
            <w:shd w:val="clear" w:color="auto" w:fill="FFFFFF"/>
            <w:tcMar>
              <w:left w:w="67" w:type="dxa"/>
              <w:right w:w="67" w:type="dxa"/>
            </w:tcMar>
            <w:vAlign w:val="center"/>
          </w:tcPr>
          <w:p w14:paraId="7DB402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1.0292</w:t>
            </w:r>
          </w:p>
        </w:tc>
        <w:tc>
          <w:tcPr>
            <w:tcW w:w="1134" w:type="dxa"/>
            <w:tcBorders>
              <w:top w:val="nil"/>
              <w:left w:val="nil"/>
              <w:bottom w:val="nil"/>
              <w:right w:val="nil"/>
            </w:tcBorders>
            <w:shd w:val="clear" w:color="auto" w:fill="FFFFFF"/>
            <w:tcMar>
              <w:left w:w="67" w:type="dxa"/>
              <w:right w:w="67" w:type="dxa"/>
            </w:tcMar>
            <w:vAlign w:val="center"/>
          </w:tcPr>
          <w:p w14:paraId="7DDA34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0.4884</w:t>
            </w:r>
          </w:p>
        </w:tc>
        <w:tc>
          <w:tcPr>
            <w:tcW w:w="1134" w:type="dxa"/>
            <w:tcBorders>
              <w:top w:val="nil"/>
              <w:left w:val="nil"/>
              <w:bottom w:val="nil"/>
              <w:right w:val="nil"/>
            </w:tcBorders>
            <w:shd w:val="clear" w:color="auto" w:fill="FFFFFF"/>
            <w:tcMar>
              <w:left w:w="67" w:type="dxa"/>
              <w:right w:w="67" w:type="dxa"/>
            </w:tcMar>
            <w:vAlign w:val="center"/>
          </w:tcPr>
          <w:p w14:paraId="370E9F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2.1689</w:t>
            </w:r>
          </w:p>
        </w:tc>
        <w:tc>
          <w:tcPr>
            <w:tcW w:w="1134" w:type="dxa"/>
            <w:tcBorders>
              <w:top w:val="nil"/>
              <w:left w:val="nil"/>
              <w:bottom w:val="nil"/>
              <w:right w:val="nil"/>
            </w:tcBorders>
            <w:shd w:val="clear" w:color="auto" w:fill="FFFFFF"/>
            <w:tcMar>
              <w:left w:w="67" w:type="dxa"/>
              <w:right w:w="67" w:type="dxa"/>
            </w:tcMar>
            <w:vAlign w:val="center"/>
          </w:tcPr>
          <w:p w14:paraId="46FE067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A4B2A7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A9279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23245B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31F3E6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0AA149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7E3D1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0.1369</w:t>
            </w:r>
          </w:p>
        </w:tc>
        <w:tc>
          <w:tcPr>
            <w:tcW w:w="1134" w:type="dxa"/>
            <w:tcBorders>
              <w:top w:val="nil"/>
              <w:left w:val="nil"/>
              <w:bottom w:val="nil"/>
              <w:right w:val="nil"/>
            </w:tcBorders>
            <w:shd w:val="clear" w:color="auto" w:fill="FFFFFF"/>
            <w:tcMar>
              <w:left w:w="67" w:type="dxa"/>
              <w:right w:w="67" w:type="dxa"/>
            </w:tcMar>
            <w:vAlign w:val="center"/>
          </w:tcPr>
          <w:p w14:paraId="69D69E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0.4200</w:t>
            </w:r>
          </w:p>
        </w:tc>
        <w:tc>
          <w:tcPr>
            <w:tcW w:w="1134" w:type="dxa"/>
            <w:tcBorders>
              <w:top w:val="nil"/>
              <w:left w:val="nil"/>
              <w:bottom w:val="nil"/>
              <w:right w:val="nil"/>
            </w:tcBorders>
            <w:shd w:val="clear" w:color="auto" w:fill="FFFFFF"/>
            <w:tcMar>
              <w:left w:w="67" w:type="dxa"/>
              <w:right w:w="67" w:type="dxa"/>
            </w:tcMar>
            <w:vAlign w:val="center"/>
          </w:tcPr>
          <w:p w14:paraId="698DA3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1.1467</w:t>
            </w:r>
          </w:p>
        </w:tc>
        <w:tc>
          <w:tcPr>
            <w:tcW w:w="1134" w:type="dxa"/>
            <w:tcBorders>
              <w:top w:val="nil"/>
              <w:left w:val="nil"/>
              <w:bottom w:val="nil"/>
              <w:right w:val="nil"/>
            </w:tcBorders>
            <w:shd w:val="clear" w:color="auto" w:fill="FFFFFF"/>
            <w:tcMar>
              <w:left w:w="67" w:type="dxa"/>
              <w:right w:w="67" w:type="dxa"/>
            </w:tcMar>
            <w:vAlign w:val="center"/>
          </w:tcPr>
          <w:p w14:paraId="79C441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0.4467</w:t>
            </w:r>
          </w:p>
        </w:tc>
        <w:tc>
          <w:tcPr>
            <w:tcW w:w="1134" w:type="dxa"/>
            <w:tcBorders>
              <w:top w:val="nil"/>
              <w:left w:val="nil"/>
              <w:bottom w:val="nil"/>
              <w:right w:val="nil"/>
            </w:tcBorders>
            <w:shd w:val="clear" w:color="auto" w:fill="FFFFFF"/>
            <w:tcMar>
              <w:left w:w="67" w:type="dxa"/>
              <w:right w:w="67" w:type="dxa"/>
            </w:tcMar>
            <w:vAlign w:val="center"/>
          </w:tcPr>
          <w:p w14:paraId="79210D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2.9437</w:t>
            </w:r>
          </w:p>
        </w:tc>
        <w:tc>
          <w:tcPr>
            <w:tcW w:w="1134" w:type="dxa"/>
            <w:tcBorders>
              <w:top w:val="nil"/>
              <w:left w:val="nil"/>
              <w:bottom w:val="nil"/>
              <w:right w:val="nil"/>
            </w:tcBorders>
            <w:shd w:val="clear" w:color="auto" w:fill="FFFFFF"/>
            <w:tcMar>
              <w:left w:w="67" w:type="dxa"/>
              <w:right w:w="67" w:type="dxa"/>
            </w:tcMar>
            <w:vAlign w:val="center"/>
          </w:tcPr>
          <w:p w14:paraId="041234A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97A3DA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9B69A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4D28E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DAAB53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F79A9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DF233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-0.0840</w:t>
            </w:r>
          </w:p>
        </w:tc>
        <w:tc>
          <w:tcPr>
            <w:tcW w:w="1134" w:type="dxa"/>
            <w:tcBorders>
              <w:top w:val="nil"/>
              <w:left w:val="nil"/>
              <w:bottom w:val="nil"/>
              <w:right w:val="nil"/>
            </w:tcBorders>
            <w:shd w:val="clear" w:color="auto" w:fill="FFFFFF"/>
            <w:tcMar>
              <w:left w:w="67" w:type="dxa"/>
              <w:right w:w="67" w:type="dxa"/>
            </w:tcMar>
            <w:vAlign w:val="center"/>
          </w:tcPr>
          <w:p w14:paraId="4FAF7D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0.4649</w:t>
            </w:r>
          </w:p>
        </w:tc>
        <w:tc>
          <w:tcPr>
            <w:tcW w:w="1134" w:type="dxa"/>
            <w:tcBorders>
              <w:top w:val="nil"/>
              <w:left w:val="nil"/>
              <w:bottom w:val="nil"/>
              <w:right w:val="nil"/>
            </w:tcBorders>
            <w:shd w:val="clear" w:color="auto" w:fill="FFFFFF"/>
            <w:tcMar>
              <w:left w:w="67" w:type="dxa"/>
              <w:right w:w="67" w:type="dxa"/>
            </w:tcMar>
            <w:vAlign w:val="center"/>
          </w:tcPr>
          <w:p w14:paraId="1A5BB4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0.9195</w:t>
            </w:r>
          </w:p>
        </w:tc>
        <w:tc>
          <w:tcPr>
            <w:tcW w:w="1134" w:type="dxa"/>
            <w:tcBorders>
              <w:top w:val="nil"/>
              <w:left w:val="nil"/>
              <w:bottom w:val="nil"/>
              <w:right w:val="nil"/>
            </w:tcBorders>
            <w:shd w:val="clear" w:color="auto" w:fill="FFFFFF"/>
            <w:tcMar>
              <w:left w:w="67" w:type="dxa"/>
              <w:right w:w="67" w:type="dxa"/>
            </w:tcMar>
            <w:vAlign w:val="center"/>
          </w:tcPr>
          <w:p w14:paraId="4B1A40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0.3239</w:t>
            </w:r>
          </w:p>
        </w:tc>
        <w:tc>
          <w:tcPr>
            <w:tcW w:w="1134" w:type="dxa"/>
            <w:tcBorders>
              <w:top w:val="nil"/>
              <w:left w:val="nil"/>
              <w:bottom w:val="nil"/>
              <w:right w:val="nil"/>
            </w:tcBorders>
            <w:shd w:val="clear" w:color="auto" w:fill="FFFFFF"/>
            <w:tcMar>
              <w:left w:w="67" w:type="dxa"/>
              <w:right w:w="67" w:type="dxa"/>
            </w:tcMar>
            <w:vAlign w:val="center"/>
          </w:tcPr>
          <w:p w14:paraId="491F2D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2.6103</w:t>
            </w:r>
          </w:p>
        </w:tc>
        <w:tc>
          <w:tcPr>
            <w:tcW w:w="1134" w:type="dxa"/>
            <w:tcBorders>
              <w:top w:val="nil"/>
              <w:left w:val="nil"/>
              <w:bottom w:val="nil"/>
              <w:right w:val="nil"/>
            </w:tcBorders>
            <w:shd w:val="clear" w:color="auto" w:fill="FFFFFF"/>
            <w:tcMar>
              <w:left w:w="67" w:type="dxa"/>
              <w:right w:w="67" w:type="dxa"/>
            </w:tcMar>
            <w:vAlign w:val="center"/>
          </w:tcPr>
          <w:p w14:paraId="4C1C346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12672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0BE49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635F15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C28158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CE47B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CA2EE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-0.2397</w:t>
            </w:r>
          </w:p>
        </w:tc>
        <w:tc>
          <w:tcPr>
            <w:tcW w:w="1134" w:type="dxa"/>
            <w:tcBorders>
              <w:top w:val="nil"/>
              <w:left w:val="nil"/>
              <w:bottom w:val="nil"/>
              <w:right w:val="nil"/>
            </w:tcBorders>
            <w:shd w:val="clear" w:color="auto" w:fill="FFFFFF"/>
            <w:tcMar>
              <w:left w:w="67" w:type="dxa"/>
              <w:right w:w="67" w:type="dxa"/>
            </w:tcMar>
            <w:vAlign w:val="center"/>
          </w:tcPr>
          <w:p w14:paraId="41B32A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0.5050</w:t>
            </w:r>
          </w:p>
        </w:tc>
        <w:tc>
          <w:tcPr>
            <w:tcW w:w="1134" w:type="dxa"/>
            <w:tcBorders>
              <w:top w:val="nil"/>
              <w:left w:val="nil"/>
              <w:bottom w:val="nil"/>
              <w:right w:val="nil"/>
            </w:tcBorders>
            <w:shd w:val="clear" w:color="auto" w:fill="FFFFFF"/>
            <w:tcMar>
              <w:left w:w="67" w:type="dxa"/>
              <w:right w:w="67" w:type="dxa"/>
            </w:tcMar>
            <w:vAlign w:val="center"/>
          </w:tcPr>
          <w:p w14:paraId="1160CF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0.7869</w:t>
            </w:r>
          </w:p>
        </w:tc>
        <w:tc>
          <w:tcPr>
            <w:tcW w:w="1134" w:type="dxa"/>
            <w:tcBorders>
              <w:top w:val="nil"/>
              <w:left w:val="nil"/>
              <w:bottom w:val="nil"/>
              <w:right w:val="nil"/>
            </w:tcBorders>
            <w:shd w:val="clear" w:color="auto" w:fill="FFFFFF"/>
            <w:tcMar>
              <w:left w:w="67" w:type="dxa"/>
              <w:right w:w="67" w:type="dxa"/>
            </w:tcMar>
            <w:vAlign w:val="center"/>
          </w:tcPr>
          <w:p w14:paraId="49F2E9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0.2533</w:t>
            </w:r>
          </w:p>
        </w:tc>
        <w:tc>
          <w:tcPr>
            <w:tcW w:w="1134" w:type="dxa"/>
            <w:tcBorders>
              <w:top w:val="nil"/>
              <w:left w:val="nil"/>
              <w:bottom w:val="nil"/>
              <w:right w:val="nil"/>
            </w:tcBorders>
            <w:shd w:val="clear" w:color="auto" w:fill="FFFFFF"/>
            <w:tcMar>
              <w:left w:w="67" w:type="dxa"/>
              <w:right w:w="67" w:type="dxa"/>
            </w:tcMar>
            <w:vAlign w:val="center"/>
          </w:tcPr>
          <w:p w14:paraId="06FA88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2.4442</w:t>
            </w:r>
          </w:p>
        </w:tc>
        <w:tc>
          <w:tcPr>
            <w:tcW w:w="1134" w:type="dxa"/>
            <w:tcBorders>
              <w:top w:val="nil"/>
              <w:left w:val="nil"/>
              <w:bottom w:val="nil"/>
              <w:right w:val="nil"/>
            </w:tcBorders>
            <w:shd w:val="clear" w:color="auto" w:fill="FFFFFF"/>
            <w:tcMar>
              <w:left w:w="67" w:type="dxa"/>
              <w:right w:w="67" w:type="dxa"/>
            </w:tcMar>
            <w:vAlign w:val="center"/>
          </w:tcPr>
          <w:p w14:paraId="5459587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2A3B95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0A8FA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D42130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E78176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027B0B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DB39A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-0.3695</w:t>
            </w:r>
          </w:p>
        </w:tc>
        <w:tc>
          <w:tcPr>
            <w:tcW w:w="1134" w:type="dxa"/>
            <w:tcBorders>
              <w:top w:val="nil"/>
              <w:left w:val="nil"/>
              <w:bottom w:val="nil"/>
              <w:right w:val="nil"/>
            </w:tcBorders>
            <w:shd w:val="clear" w:color="auto" w:fill="FFFFFF"/>
            <w:tcMar>
              <w:left w:w="67" w:type="dxa"/>
              <w:right w:w="67" w:type="dxa"/>
            </w:tcMar>
            <w:vAlign w:val="center"/>
          </w:tcPr>
          <w:p w14:paraId="4E380C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0.4450</w:t>
            </w:r>
          </w:p>
        </w:tc>
        <w:tc>
          <w:tcPr>
            <w:tcW w:w="1134" w:type="dxa"/>
            <w:tcBorders>
              <w:top w:val="nil"/>
              <w:left w:val="nil"/>
              <w:bottom w:val="nil"/>
              <w:right w:val="nil"/>
            </w:tcBorders>
            <w:shd w:val="clear" w:color="auto" w:fill="FFFFFF"/>
            <w:tcMar>
              <w:left w:w="67" w:type="dxa"/>
              <w:right w:w="67" w:type="dxa"/>
            </w:tcMar>
            <w:vAlign w:val="center"/>
          </w:tcPr>
          <w:p w14:paraId="574B5B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0.6911</w:t>
            </w:r>
          </w:p>
        </w:tc>
        <w:tc>
          <w:tcPr>
            <w:tcW w:w="1134" w:type="dxa"/>
            <w:tcBorders>
              <w:top w:val="nil"/>
              <w:left w:val="nil"/>
              <w:bottom w:val="nil"/>
              <w:right w:val="nil"/>
            </w:tcBorders>
            <w:shd w:val="clear" w:color="auto" w:fill="FFFFFF"/>
            <w:tcMar>
              <w:left w:w="67" w:type="dxa"/>
              <w:right w:w="67" w:type="dxa"/>
            </w:tcMar>
            <w:vAlign w:val="center"/>
          </w:tcPr>
          <w:p w14:paraId="00F5EA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0.2545</w:t>
            </w:r>
          </w:p>
        </w:tc>
        <w:tc>
          <w:tcPr>
            <w:tcW w:w="1134" w:type="dxa"/>
            <w:tcBorders>
              <w:top w:val="nil"/>
              <w:left w:val="nil"/>
              <w:bottom w:val="nil"/>
              <w:right w:val="nil"/>
            </w:tcBorders>
            <w:shd w:val="clear" w:color="auto" w:fill="FFFFFF"/>
            <w:tcMar>
              <w:left w:w="67" w:type="dxa"/>
              <w:right w:w="67" w:type="dxa"/>
            </w:tcMar>
            <w:vAlign w:val="center"/>
          </w:tcPr>
          <w:p w14:paraId="75229A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1.8762</w:t>
            </w:r>
          </w:p>
        </w:tc>
        <w:tc>
          <w:tcPr>
            <w:tcW w:w="1134" w:type="dxa"/>
            <w:tcBorders>
              <w:top w:val="nil"/>
              <w:left w:val="nil"/>
              <w:bottom w:val="nil"/>
              <w:right w:val="nil"/>
            </w:tcBorders>
            <w:shd w:val="clear" w:color="auto" w:fill="FFFFFF"/>
            <w:tcMar>
              <w:left w:w="67" w:type="dxa"/>
              <w:right w:w="67" w:type="dxa"/>
            </w:tcMar>
            <w:vAlign w:val="center"/>
          </w:tcPr>
          <w:p w14:paraId="4B92A1E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35AD02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DF00D7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C55125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E1E51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71E778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DB42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0.1299</w:t>
            </w:r>
          </w:p>
        </w:tc>
        <w:tc>
          <w:tcPr>
            <w:tcW w:w="1134" w:type="dxa"/>
            <w:tcBorders>
              <w:top w:val="nil"/>
              <w:left w:val="nil"/>
              <w:bottom w:val="nil"/>
              <w:right w:val="nil"/>
            </w:tcBorders>
            <w:shd w:val="clear" w:color="auto" w:fill="FFFFFF"/>
            <w:tcMar>
              <w:left w:w="67" w:type="dxa"/>
              <w:right w:w="67" w:type="dxa"/>
            </w:tcMar>
            <w:vAlign w:val="center"/>
          </w:tcPr>
          <w:p w14:paraId="649953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0.5340</w:t>
            </w:r>
          </w:p>
        </w:tc>
        <w:tc>
          <w:tcPr>
            <w:tcW w:w="1134" w:type="dxa"/>
            <w:tcBorders>
              <w:top w:val="nil"/>
              <w:left w:val="nil"/>
              <w:bottom w:val="nil"/>
              <w:right w:val="nil"/>
            </w:tcBorders>
            <w:shd w:val="clear" w:color="auto" w:fill="FFFFFF"/>
            <w:tcMar>
              <w:left w:w="67" w:type="dxa"/>
              <w:right w:w="67" w:type="dxa"/>
            </w:tcMar>
            <w:vAlign w:val="center"/>
          </w:tcPr>
          <w:p w14:paraId="6922EE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1.1387</w:t>
            </w:r>
          </w:p>
        </w:tc>
        <w:tc>
          <w:tcPr>
            <w:tcW w:w="1134" w:type="dxa"/>
            <w:tcBorders>
              <w:top w:val="nil"/>
              <w:left w:val="nil"/>
              <w:bottom w:val="nil"/>
              <w:right w:val="nil"/>
            </w:tcBorders>
            <w:shd w:val="clear" w:color="auto" w:fill="FFFFFF"/>
            <w:tcMar>
              <w:left w:w="67" w:type="dxa"/>
              <w:right w:w="67" w:type="dxa"/>
            </w:tcMar>
            <w:vAlign w:val="center"/>
          </w:tcPr>
          <w:p w14:paraId="7C17B2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0.3435</w:t>
            </w:r>
          </w:p>
        </w:tc>
        <w:tc>
          <w:tcPr>
            <w:tcW w:w="1134" w:type="dxa"/>
            <w:tcBorders>
              <w:top w:val="nil"/>
              <w:left w:val="nil"/>
              <w:bottom w:val="nil"/>
              <w:right w:val="nil"/>
            </w:tcBorders>
            <w:shd w:val="clear" w:color="auto" w:fill="FFFFFF"/>
            <w:tcMar>
              <w:left w:w="67" w:type="dxa"/>
              <w:right w:w="67" w:type="dxa"/>
            </w:tcMar>
            <w:vAlign w:val="center"/>
          </w:tcPr>
          <w:p w14:paraId="3426B7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3.7751</w:t>
            </w:r>
          </w:p>
        </w:tc>
        <w:tc>
          <w:tcPr>
            <w:tcW w:w="1134" w:type="dxa"/>
            <w:tcBorders>
              <w:top w:val="nil"/>
              <w:left w:val="nil"/>
              <w:bottom w:val="nil"/>
              <w:right w:val="nil"/>
            </w:tcBorders>
            <w:shd w:val="clear" w:color="auto" w:fill="FFFFFF"/>
            <w:tcMar>
              <w:left w:w="67" w:type="dxa"/>
              <w:right w:w="67" w:type="dxa"/>
            </w:tcMar>
            <w:vAlign w:val="center"/>
          </w:tcPr>
          <w:p w14:paraId="4C56D68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A714A1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7344C0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DE280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AE5C9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A23E34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DD2F8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-0.4781</w:t>
            </w:r>
          </w:p>
        </w:tc>
        <w:tc>
          <w:tcPr>
            <w:tcW w:w="1134" w:type="dxa"/>
            <w:tcBorders>
              <w:top w:val="nil"/>
              <w:left w:val="nil"/>
              <w:bottom w:val="nil"/>
              <w:right w:val="nil"/>
            </w:tcBorders>
            <w:shd w:val="clear" w:color="auto" w:fill="FFFFFF"/>
            <w:tcMar>
              <w:left w:w="67" w:type="dxa"/>
              <w:right w:w="67" w:type="dxa"/>
            </w:tcMar>
            <w:vAlign w:val="center"/>
          </w:tcPr>
          <w:p w14:paraId="218F76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0.4190</w:t>
            </w:r>
          </w:p>
        </w:tc>
        <w:tc>
          <w:tcPr>
            <w:tcW w:w="1134" w:type="dxa"/>
            <w:tcBorders>
              <w:top w:val="nil"/>
              <w:left w:val="nil"/>
              <w:bottom w:val="nil"/>
              <w:right w:val="nil"/>
            </w:tcBorders>
            <w:shd w:val="clear" w:color="auto" w:fill="FFFFFF"/>
            <w:tcMar>
              <w:left w:w="67" w:type="dxa"/>
              <w:right w:w="67" w:type="dxa"/>
            </w:tcMar>
            <w:vAlign w:val="center"/>
          </w:tcPr>
          <w:p w14:paraId="17B0E8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0.6200</w:t>
            </w:r>
          </w:p>
        </w:tc>
        <w:tc>
          <w:tcPr>
            <w:tcW w:w="1134" w:type="dxa"/>
            <w:tcBorders>
              <w:top w:val="nil"/>
              <w:left w:val="nil"/>
              <w:bottom w:val="nil"/>
              <w:right w:val="nil"/>
            </w:tcBorders>
            <w:shd w:val="clear" w:color="auto" w:fill="FFFFFF"/>
            <w:tcMar>
              <w:left w:w="67" w:type="dxa"/>
              <w:right w:w="67" w:type="dxa"/>
            </w:tcMar>
            <w:vAlign w:val="center"/>
          </w:tcPr>
          <w:p w14:paraId="78D83C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0.2421</w:t>
            </w:r>
          </w:p>
        </w:tc>
        <w:tc>
          <w:tcPr>
            <w:tcW w:w="1134" w:type="dxa"/>
            <w:tcBorders>
              <w:top w:val="nil"/>
              <w:left w:val="nil"/>
              <w:bottom w:val="nil"/>
              <w:right w:val="nil"/>
            </w:tcBorders>
            <w:shd w:val="clear" w:color="auto" w:fill="FFFFFF"/>
            <w:tcMar>
              <w:left w:w="67" w:type="dxa"/>
              <w:right w:w="67" w:type="dxa"/>
            </w:tcMar>
            <w:vAlign w:val="center"/>
          </w:tcPr>
          <w:p w14:paraId="1AA545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1.5880</w:t>
            </w:r>
          </w:p>
        </w:tc>
        <w:tc>
          <w:tcPr>
            <w:tcW w:w="1134" w:type="dxa"/>
            <w:tcBorders>
              <w:top w:val="nil"/>
              <w:left w:val="nil"/>
              <w:bottom w:val="nil"/>
              <w:right w:val="nil"/>
            </w:tcBorders>
            <w:shd w:val="clear" w:color="auto" w:fill="FFFFFF"/>
            <w:tcMar>
              <w:left w:w="67" w:type="dxa"/>
              <w:right w:w="67" w:type="dxa"/>
            </w:tcMar>
            <w:vAlign w:val="center"/>
          </w:tcPr>
          <w:p w14:paraId="5164786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66AF3A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126CB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E2477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564BEEA"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4FD0C9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AD816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0.0373</w:t>
            </w:r>
          </w:p>
        </w:tc>
        <w:tc>
          <w:tcPr>
            <w:tcW w:w="1134" w:type="dxa"/>
            <w:tcBorders>
              <w:top w:val="nil"/>
              <w:left w:val="nil"/>
              <w:bottom w:val="nil"/>
              <w:right w:val="nil"/>
            </w:tcBorders>
            <w:shd w:val="clear" w:color="auto" w:fill="FFFFFF"/>
            <w:tcMar>
              <w:left w:w="67" w:type="dxa"/>
              <w:right w:w="67" w:type="dxa"/>
            </w:tcMar>
            <w:vAlign w:val="center"/>
          </w:tcPr>
          <w:p w14:paraId="7EECC7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0.0257</w:t>
            </w:r>
          </w:p>
        </w:tc>
        <w:tc>
          <w:tcPr>
            <w:tcW w:w="1134" w:type="dxa"/>
            <w:tcBorders>
              <w:top w:val="nil"/>
              <w:left w:val="nil"/>
              <w:bottom w:val="nil"/>
              <w:right w:val="nil"/>
            </w:tcBorders>
            <w:shd w:val="clear" w:color="auto" w:fill="FFFFFF"/>
            <w:tcMar>
              <w:left w:w="67" w:type="dxa"/>
              <w:right w:w="67" w:type="dxa"/>
            </w:tcMar>
            <w:vAlign w:val="center"/>
          </w:tcPr>
          <w:p w14:paraId="5CB4CC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1.0380</w:t>
            </w:r>
          </w:p>
        </w:tc>
        <w:tc>
          <w:tcPr>
            <w:tcW w:w="1134" w:type="dxa"/>
            <w:tcBorders>
              <w:top w:val="nil"/>
              <w:left w:val="nil"/>
              <w:bottom w:val="nil"/>
              <w:right w:val="nil"/>
            </w:tcBorders>
            <w:shd w:val="clear" w:color="auto" w:fill="FFFFFF"/>
            <w:tcMar>
              <w:left w:w="67" w:type="dxa"/>
              <w:right w:w="67" w:type="dxa"/>
            </w:tcMar>
            <w:vAlign w:val="center"/>
          </w:tcPr>
          <w:p w14:paraId="1F1FD5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0.9799</w:t>
            </w:r>
          </w:p>
        </w:tc>
        <w:tc>
          <w:tcPr>
            <w:tcW w:w="1134" w:type="dxa"/>
            <w:tcBorders>
              <w:top w:val="nil"/>
              <w:left w:val="nil"/>
              <w:bottom w:val="nil"/>
              <w:right w:val="nil"/>
            </w:tcBorders>
            <w:shd w:val="clear" w:color="auto" w:fill="FFFFFF"/>
            <w:tcMar>
              <w:left w:w="67" w:type="dxa"/>
              <w:right w:w="67" w:type="dxa"/>
            </w:tcMar>
            <w:vAlign w:val="center"/>
          </w:tcPr>
          <w:p w14:paraId="2354B4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1.0995</w:t>
            </w:r>
          </w:p>
        </w:tc>
        <w:tc>
          <w:tcPr>
            <w:tcW w:w="1134" w:type="dxa"/>
            <w:tcBorders>
              <w:top w:val="nil"/>
              <w:left w:val="nil"/>
              <w:bottom w:val="nil"/>
              <w:right w:val="nil"/>
            </w:tcBorders>
            <w:shd w:val="clear" w:color="auto" w:fill="FFFFFF"/>
            <w:tcMar>
              <w:left w:w="67" w:type="dxa"/>
              <w:right w:w="67" w:type="dxa"/>
            </w:tcMar>
            <w:vAlign w:val="center"/>
          </w:tcPr>
          <w:p w14:paraId="039E43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2.11</w:t>
            </w:r>
          </w:p>
        </w:tc>
        <w:tc>
          <w:tcPr>
            <w:tcW w:w="567" w:type="dxa"/>
            <w:tcBorders>
              <w:top w:val="nil"/>
              <w:left w:val="nil"/>
              <w:bottom w:val="nil"/>
              <w:right w:val="nil"/>
            </w:tcBorders>
            <w:shd w:val="clear" w:color="auto" w:fill="FFFFFF"/>
            <w:tcMar>
              <w:left w:w="67" w:type="dxa"/>
              <w:right w:w="67" w:type="dxa"/>
            </w:tcMar>
            <w:vAlign w:val="center"/>
          </w:tcPr>
          <w:p w14:paraId="698BE4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6BAFA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0.1467</w:t>
            </w:r>
          </w:p>
        </w:tc>
      </w:tr>
      <w:tr w:rsidR="00B77EA3" w:rsidRPr="0082484A" w14:paraId="177CD64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7FF3FB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363D3B0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60E88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-0.0277</w:t>
            </w:r>
          </w:p>
        </w:tc>
        <w:tc>
          <w:tcPr>
            <w:tcW w:w="1134" w:type="dxa"/>
            <w:tcBorders>
              <w:top w:val="nil"/>
              <w:left w:val="nil"/>
              <w:bottom w:val="nil"/>
              <w:right w:val="nil"/>
            </w:tcBorders>
            <w:shd w:val="clear" w:color="auto" w:fill="FFFFFF"/>
            <w:tcMar>
              <w:left w:w="67" w:type="dxa"/>
              <w:right w:w="67" w:type="dxa"/>
            </w:tcMar>
            <w:vAlign w:val="center"/>
          </w:tcPr>
          <w:p w14:paraId="56858A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0.0163</w:t>
            </w:r>
          </w:p>
        </w:tc>
        <w:tc>
          <w:tcPr>
            <w:tcW w:w="1134" w:type="dxa"/>
            <w:tcBorders>
              <w:top w:val="nil"/>
              <w:left w:val="nil"/>
              <w:bottom w:val="nil"/>
              <w:right w:val="nil"/>
            </w:tcBorders>
            <w:shd w:val="clear" w:color="auto" w:fill="FFFFFF"/>
            <w:tcMar>
              <w:left w:w="67" w:type="dxa"/>
              <w:right w:w="67" w:type="dxa"/>
            </w:tcMar>
            <w:vAlign w:val="center"/>
          </w:tcPr>
          <w:p w14:paraId="5C2C8E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0.9727</w:t>
            </w:r>
          </w:p>
        </w:tc>
        <w:tc>
          <w:tcPr>
            <w:tcW w:w="1134" w:type="dxa"/>
            <w:tcBorders>
              <w:top w:val="nil"/>
              <w:left w:val="nil"/>
              <w:bottom w:val="nil"/>
              <w:right w:val="nil"/>
            </w:tcBorders>
            <w:shd w:val="clear" w:color="auto" w:fill="FFFFFF"/>
            <w:tcMar>
              <w:left w:w="67" w:type="dxa"/>
              <w:right w:w="67" w:type="dxa"/>
            </w:tcMar>
            <w:vAlign w:val="center"/>
          </w:tcPr>
          <w:p w14:paraId="34733F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0.9377</w:t>
            </w:r>
          </w:p>
        </w:tc>
        <w:tc>
          <w:tcPr>
            <w:tcW w:w="1134" w:type="dxa"/>
            <w:tcBorders>
              <w:top w:val="nil"/>
              <w:left w:val="nil"/>
              <w:bottom w:val="nil"/>
              <w:right w:val="nil"/>
            </w:tcBorders>
            <w:shd w:val="clear" w:color="auto" w:fill="FFFFFF"/>
            <w:tcMar>
              <w:left w:w="67" w:type="dxa"/>
              <w:right w:w="67" w:type="dxa"/>
            </w:tcMar>
            <w:vAlign w:val="center"/>
          </w:tcPr>
          <w:p w14:paraId="445B27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1.0089</w:t>
            </w:r>
          </w:p>
        </w:tc>
        <w:tc>
          <w:tcPr>
            <w:tcW w:w="1134" w:type="dxa"/>
            <w:tcBorders>
              <w:top w:val="nil"/>
              <w:left w:val="nil"/>
              <w:bottom w:val="nil"/>
              <w:right w:val="nil"/>
            </w:tcBorders>
            <w:shd w:val="clear" w:color="auto" w:fill="FFFFFF"/>
            <w:tcMar>
              <w:left w:w="67" w:type="dxa"/>
              <w:right w:w="67" w:type="dxa"/>
            </w:tcMar>
            <w:vAlign w:val="center"/>
          </w:tcPr>
          <w:p w14:paraId="77F9A5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2.88</w:t>
            </w:r>
          </w:p>
        </w:tc>
        <w:tc>
          <w:tcPr>
            <w:tcW w:w="567" w:type="dxa"/>
            <w:tcBorders>
              <w:top w:val="nil"/>
              <w:left w:val="nil"/>
              <w:bottom w:val="nil"/>
              <w:right w:val="nil"/>
            </w:tcBorders>
            <w:shd w:val="clear" w:color="auto" w:fill="FFFFFF"/>
            <w:tcMar>
              <w:left w:w="67" w:type="dxa"/>
              <w:right w:w="67" w:type="dxa"/>
            </w:tcMar>
            <w:vAlign w:val="center"/>
          </w:tcPr>
          <w:p w14:paraId="3F4E67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DDB0C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0.0898</w:t>
            </w:r>
          </w:p>
        </w:tc>
      </w:tr>
      <w:tr w:rsidR="00B77EA3" w:rsidRPr="0082484A" w14:paraId="31F2D04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B3490CC"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1AA3AE6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465E2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0.0058</w:t>
            </w:r>
          </w:p>
        </w:tc>
        <w:tc>
          <w:tcPr>
            <w:tcW w:w="1134" w:type="dxa"/>
            <w:tcBorders>
              <w:top w:val="nil"/>
              <w:left w:val="nil"/>
              <w:bottom w:val="nil"/>
              <w:right w:val="nil"/>
            </w:tcBorders>
            <w:shd w:val="clear" w:color="auto" w:fill="FFFFFF"/>
            <w:tcMar>
              <w:left w:w="67" w:type="dxa"/>
              <w:right w:w="67" w:type="dxa"/>
            </w:tcMar>
            <w:vAlign w:val="center"/>
          </w:tcPr>
          <w:p w14:paraId="23A9A7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0.0047</w:t>
            </w:r>
          </w:p>
        </w:tc>
        <w:tc>
          <w:tcPr>
            <w:tcW w:w="1134" w:type="dxa"/>
            <w:tcBorders>
              <w:top w:val="nil"/>
              <w:left w:val="nil"/>
              <w:bottom w:val="nil"/>
              <w:right w:val="nil"/>
            </w:tcBorders>
            <w:shd w:val="clear" w:color="auto" w:fill="FFFFFF"/>
            <w:tcMar>
              <w:left w:w="67" w:type="dxa"/>
              <w:right w:w="67" w:type="dxa"/>
            </w:tcMar>
            <w:vAlign w:val="center"/>
          </w:tcPr>
          <w:p w14:paraId="3E8A0A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1.0059</w:t>
            </w:r>
          </w:p>
        </w:tc>
        <w:tc>
          <w:tcPr>
            <w:tcW w:w="1134" w:type="dxa"/>
            <w:tcBorders>
              <w:top w:val="nil"/>
              <w:left w:val="nil"/>
              <w:bottom w:val="nil"/>
              <w:right w:val="nil"/>
            </w:tcBorders>
            <w:shd w:val="clear" w:color="auto" w:fill="FFFFFF"/>
            <w:tcMar>
              <w:left w:w="67" w:type="dxa"/>
              <w:right w:w="67" w:type="dxa"/>
            </w:tcMar>
            <w:vAlign w:val="center"/>
          </w:tcPr>
          <w:p w14:paraId="50C73F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0.9952</w:t>
            </w:r>
          </w:p>
        </w:tc>
        <w:tc>
          <w:tcPr>
            <w:tcW w:w="1134" w:type="dxa"/>
            <w:tcBorders>
              <w:top w:val="nil"/>
              <w:left w:val="nil"/>
              <w:bottom w:val="nil"/>
              <w:right w:val="nil"/>
            </w:tcBorders>
            <w:shd w:val="clear" w:color="auto" w:fill="FFFFFF"/>
            <w:tcMar>
              <w:left w:w="67" w:type="dxa"/>
              <w:right w:w="67" w:type="dxa"/>
            </w:tcMar>
            <w:vAlign w:val="center"/>
          </w:tcPr>
          <w:p w14:paraId="06D41A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1.0166</w:t>
            </w:r>
          </w:p>
        </w:tc>
        <w:tc>
          <w:tcPr>
            <w:tcW w:w="1134" w:type="dxa"/>
            <w:tcBorders>
              <w:top w:val="nil"/>
              <w:left w:val="nil"/>
              <w:bottom w:val="nil"/>
              <w:right w:val="nil"/>
            </w:tcBorders>
            <w:shd w:val="clear" w:color="auto" w:fill="FFFFFF"/>
            <w:tcMar>
              <w:left w:w="67" w:type="dxa"/>
              <w:right w:w="67" w:type="dxa"/>
            </w:tcMar>
            <w:vAlign w:val="center"/>
          </w:tcPr>
          <w:p w14:paraId="1218F7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1.52</w:t>
            </w:r>
          </w:p>
        </w:tc>
        <w:tc>
          <w:tcPr>
            <w:tcW w:w="567" w:type="dxa"/>
            <w:tcBorders>
              <w:top w:val="nil"/>
              <w:left w:val="nil"/>
              <w:bottom w:val="nil"/>
              <w:right w:val="nil"/>
            </w:tcBorders>
            <w:shd w:val="clear" w:color="auto" w:fill="FFFFFF"/>
            <w:tcMar>
              <w:left w:w="67" w:type="dxa"/>
              <w:right w:w="67" w:type="dxa"/>
            </w:tcMar>
            <w:vAlign w:val="center"/>
          </w:tcPr>
          <w:p w14:paraId="62C952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6586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0.2179</w:t>
            </w:r>
          </w:p>
        </w:tc>
      </w:tr>
      <w:tr w:rsidR="00B77EA3" w:rsidRPr="0082484A" w14:paraId="10D57629"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B2D1C64"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CA7180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15257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EF4C7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0.1437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F9E59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1.1424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8E208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0.8275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26EDB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1.5771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1EA3B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1F647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01CED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0.3545</w:t>
            </w:r>
          </w:p>
        </w:tc>
      </w:tr>
    </w:tbl>
    <w:p w14:paraId="6822C49B" w14:textId="77777777" w:rsidR="00B77EA3" w:rsidRPr="0082484A" w:rsidRDefault="00B77EA3" w:rsidP="00B77EA3">
      <w:pPr>
        <w:spacing w:before="0" w:after="160" w:line="259" w:lineRule="auto"/>
        <w:rPr>
          <w:sz w:val="22"/>
          <w:szCs w:val="22"/>
        </w:rPr>
      </w:pPr>
      <w:r w:rsidRPr="0082484A">
        <w:rPr>
          <w:sz w:val="22"/>
          <w:szCs w:val="22"/>
          <w:vertAlign w:val="superscript"/>
        </w:rPr>
        <w:t>a</w:t>
      </w:r>
      <w:r w:rsidRPr="0082484A">
        <w:rPr>
          <w:sz w:val="22"/>
          <w:szCs w:val="22"/>
        </w:rPr>
        <w:t xml:space="preserve"> The estimated number needed to treat to prevent one patient aged 75 years or over being prescribed a traditional oral NSAID without co-prescription of gastro-protection is -70 </w:t>
      </w:r>
      <w:r w:rsidRPr="0082484A">
        <w:rPr>
          <w:sz w:val="22"/>
          <w:szCs w:val="22"/>
        </w:rPr>
        <w:br w:type="page"/>
      </w:r>
    </w:p>
    <w:p w14:paraId="7DDD77B0" w14:textId="4D6ED3B1" w:rsidR="00B77EA3" w:rsidRPr="0082484A" w:rsidRDefault="00B77EA3" w:rsidP="00B77EA3">
      <w:pPr>
        <w:spacing w:before="0" w:line="240" w:lineRule="auto"/>
        <w:rPr>
          <w:bCs/>
          <w:sz w:val="22"/>
          <w:szCs w:val="22"/>
        </w:rPr>
      </w:pPr>
      <w:bookmarkStart w:id="110" w:name="_Ref502917945"/>
      <w:bookmarkStart w:id="111" w:name="_Toc8728103"/>
      <w:bookmarkStart w:id="112" w:name="_Toc19526758"/>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29</w:t>
      </w:r>
      <w:r w:rsidRPr="0082484A">
        <w:rPr>
          <w:bCs/>
          <w:noProof/>
          <w:sz w:val="22"/>
          <w:szCs w:val="22"/>
        </w:rPr>
        <w:fldChar w:fldCharType="end"/>
      </w:r>
      <w:bookmarkEnd w:id="110"/>
      <w:r w:rsidRPr="0082484A">
        <w:rPr>
          <w:bCs/>
          <w:sz w:val="22"/>
          <w:szCs w:val="22"/>
        </w:rPr>
        <w:t>: Secondary outcome for Trial 1: Prescribing of a traditional oral NSAID and aspirin in patients aged 65 years or over without co-prescription of gastro-protection (WP4A)</w:t>
      </w:r>
      <w:r w:rsidRPr="0082484A">
        <w:rPr>
          <w:bCs/>
          <w:sz w:val="22"/>
          <w:szCs w:val="22"/>
          <w:vertAlign w:val="superscript"/>
        </w:rPr>
        <w:t xml:space="preserve"> a</w:t>
      </w:r>
      <w:bookmarkEnd w:id="111"/>
      <w:bookmarkEnd w:id="112"/>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05BB6CFF"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44589FB"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ACB4383"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E9F6E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4B278C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DD12BB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C87AE4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C35B19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EB830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0E06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509D84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54F401C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512B83"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EFEEEE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151FAA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0.1249</w:t>
            </w:r>
          </w:p>
        </w:tc>
        <w:tc>
          <w:tcPr>
            <w:tcW w:w="1134" w:type="dxa"/>
            <w:tcBorders>
              <w:top w:val="nil"/>
              <w:left w:val="nil"/>
              <w:bottom w:val="nil"/>
              <w:right w:val="nil"/>
            </w:tcBorders>
            <w:shd w:val="clear" w:color="auto" w:fill="FFFFFF"/>
            <w:tcMar>
              <w:left w:w="67" w:type="dxa"/>
              <w:right w:w="67" w:type="dxa"/>
            </w:tcMar>
            <w:vAlign w:val="center"/>
          </w:tcPr>
          <w:p w14:paraId="7AE747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0.2857</w:t>
            </w:r>
          </w:p>
        </w:tc>
        <w:tc>
          <w:tcPr>
            <w:tcW w:w="1134" w:type="dxa"/>
            <w:tcBorders>
              <w:top w:val="nil"/>
              <w:left w:val="nil"/>
              <w:bottom w:val="nil"/>
              <w:right w:val="nil"/>
            </w:tcBorders>
            <w:shd w:val="clear" w:color="auto" w:fill="FFFFFF"/>
            <w:tcMar>
              <w:left w:w="67" w:type="dxa"/>
              <w:right w:w="67" w:type="dxa"/>
            </w:tcMar>
            <w:vAlign w:val="center"/>
          </w:tcPr>
          <w:p w14:paraId="15B922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1.1330</w:t>
            </w:r>
          </w:p>
        </w:tc>
        <w:tc>
          <w:tcPr>
            <w:tcW w:w="1134" w:type="dxa"/>
            <w:tcBorders>
              <w:top w:val="nil"/>
              <w:left w:val="nil"/>
              <w:bottom w:val="nil"/>
              <w:right w:val="nil"/>
            </w:tcBorders>
            <w:shd w:val="clear" w:color="auto" w:fill="FFFFFF"/>
            <w:tcMar>
              <w:left w:w="67" w:type="dxa"/>
              <w:right w:w="67" w:type="dxa"/>
            </w:tcMar>
            <w:vAlign w:val="center"/>
          </w:tcPr>
          <w:p w14:paraId="7A6357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0.5962</w:t>
            </w:r>
          </w:p>
        </w:tc>
        <w:tc>
          <w:tcPr>
            <w:tcW w:w="1134" w:type="dxa"/>
            <w:tcBorders>
              <w:top w:val="nil"/>
              <w:left w:val="nil"/>
              <w:bottom w:val="nil"/>
              <w:right w:val="nil"/>
            </w:tcBorders>
            <w:shd w:val="clear" w:color="auto" w:fill="FFFFFF"/>
            <w:tcMar>
              <w:left w:w="67" w:type="dxa"/>
              <w:right w:w="67" w:type="dxa"/>
            </w:tcMar>
            <w:vAlign w:val="center"/>
          </w:tcPr>
          <w:p w14:paraId="50284A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2.1532</w:t>
            </w:r>
          </w:p>
        </w:tc>
        <w:tc>
          <w:tcPr>
            <w:tcW w:w="1134" w:type="dxa"/>
            <w:tcBorders>
              <w:top w:val="nil"/>
              <w:left w:val="nil"/>
              <w:bottom w:val="nil"/>
              <w:right w:val="nil"/>
            </w:tcBorders>
            <w:shd w:val="clear" w:color="auto" w:fill="FFFFFF"/>
            <w:tcMar>
              <w:left w:w="67" w:type="dxa"/>
              <w:right w:w="67" w:type="dxa"/>
            </w:tcMar>
            <w:vAlign w:val="center"/>
          </w:tcPr>
          <w:p w14:paraId="34B2FD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w:t>
            </w:r>
          </w:p>
        </w:tc>
        <w:tc>
          <w:tcPr>
            <w:tcW w:w="567" w:type="dxa"/>
            <w:tcBorders>
              <w:top w:val="nil"/>
              <w:left w:val="nil"/>
              <w:bottom w:val="nil"/>
              <w:right w:val="nil"/>
            </w:tcBorders>
            <w:shd w:val="clear" w:color="auto" w:fill="FFFFFF"/>
            <w:tcMar>
              <w:left w:w="67" w:type="dxa"/>
              <w:right w:w="67" w:type="dxa"/>
            </w:tcMar>
            <w:vAlign w:val="center"/>
          </w:tcPr>
          <w:p w14:paraId="51B272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E09D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0.6622</w:t>
            </w:r>
          </w:p>
        </w:tc>
      </w:tr>
      <w:tr w:rsidR="00B77EA3" w:rsidRPr="0082484A" w14:paraId="22643E6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FF54E5E"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0CC378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657B05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-0.5003</w:t>
            </w:r>
          </w:p>
        </w:tc>
        <w:tc>
          <w:tcPr>
            <w:tcW w:w="1134" w:type="dxa"/>
            <w:tcBorders>
              <w:top w:val="nil"/>
              <w:left w:val="nil"/>
              <w:bottom w:val="nil"/>
              <w:right w:val="nil"/>
            </w:tcBorders>
            <w:shd w:val="clear" w:color="auto" w:fill="FFFFFF"/>
            <w:tcMar>
              <w:left w:w="67" w:type="dxa"/>
              <w:right w:w="67" w:type="dxa"/>
            </w:tcMar>
            <w:vAlign w:val="center"/>
          </w:tcPr>
          <w:p w14:paraId="3B9074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0.2093</w:t>
            </w:r>
          </w:p>
        </w:tc>
        <w:tc>
          <w:tcPr>
            <w:tcW w:w="1134" w:type="dxa"/>
            <w:tcBorders>
              <w:top w:val="nil"/>
              <w:left w:val="nil"/>
              <w:bottom w:val="nil"/>
              <w:right w:val="nil"/>
            </w:tcBorders>
            <w:shd w:val="clear" w:color="auto" w:fill="FFFFFF"/>
            <w:tcMar>
              <w:left w:w="67" w:type="dxa"/>
              <w:right w:w="67" w:type="dxa"/>
            </w:tcMar>
            <w:vAlign w:val="center"/>
          </w:tcPr>
          <w:p w14:paraId="2FD9AA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0.6064</w:t>
            </w:r>
          </w:p>
        </w:tc>
        <w:tc>
          <w:tcPr>
            <w:tcW w:w="1134" w:type="dxa"/>
            <w:tcBorders>
              <w:top w:val="nil"/>
              <w:left w:val="nil"/>
              <w:bottom w:val="nil"/>
              <w:right w:val="nil"/>
            </w:tcBorders>
            <w:shd w:val="clear" w:color="auto" w:fill="FFFFFF"/>
            <w:tcMar>
              <w:left w:w="67" w:type="dxa"/>
              <w:right w:w="67" w:type="dxa"/>
            </w:tcMar>
            <w:vAlign w:val="center"/>
          </w:tcPr>
          <w:p w14:paraId="4C6648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0.3788</w:t>
            </w:r>
          </w:p>
        </w:tc>
        <w:tc>
          <w:tcPr>
            <w:tcW w:w="1134" w:type="dxa"/>
            <w:tcBorders>
              <w:top w:val="nil"/>
              <w:left w:val="nil"/>
              <w:bottom w:val="nil"/>
              <w:right w:val="nil"/>
            </w:tcBorders>
            <w:shd w:val="clear" w:color="auto" w:fill="FFFFFF"/>
            <w:tcMar>
              <w:left w:w="67" w:type="dxa"/>
              <w:right w:w="67" w:type="dxa"/>
            </w:tcMar>
            <w:vAlign w:val="center"/>
          </w:tcPr>
          <w:p w14:paraId="0B086B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0.9706</w:t>
            </w:r>
          </w:p>
        </w:tc>
        <w:tc>
          <w:tcPr>
            <w:tcW w:w="1134" w:type="dxa"/>
            <w:tcBorders>
              <w:top w:val="nil"/>
              <w:left w:val="nil"/>
              <w:bottom w:val="nil"/>
              <w:right w:val="nil"/>
            </w:tcBorders>
            <w:shd w:val="clear" w:color="auto" w:fill="FFFFFF"/>
            <w:tcMar>
              <w:left w:w="67" w:type="dxa"/>
              <w:right w:w="67" w:type="dxa"/>
            </w:tcMar>
            <w:vAlign w:val="center"/>
          </w:tcPr>
          <w:p w14:paraId="5D1067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5.71</w:t>
            </w:r>
          </w:p>
        </w:tc>
        <w:tc>
          <w:tcPr>
            <w:tcW w:w="567" w:type="dxa"/>
            <w:tcBorders>
              <w:top w:val="nil"/>
              <w:left w:val="nil"/>
              <w:bottom w:val="nil"/>
              <w:right w:val="nil"/>
            </w:tcBorders>
            <w:shd w:val="clear" w:color="auto" w:fill="FFFFFF"/>
            <w:tcMar>
              <w:left w:w="67" w:type="dxa"/>
              <w:right w:w="67" w:type="dxa"/>
            </w:tcMar>
            <w:vAlign w:val="center"/>
          </w:tcPr>
          <w:p w14:paraId="595FE2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E90C1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0.0172</w:t>
            </w:r>
          </w:p>
        </w:tc>
      </w:tr>
      <w:tr w:rsidR="00B77EA3" w:rsidRPr="0082484A" w14:paraId="47EB473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B9F237"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4A8E2629"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A5AC8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-0.0155</w:t>
            </w:r>
          </w:p>
        </w:tc>
        <w:tc>
          <w:tcPr>
            <w:tcW w:w="1134" w:type="dxa"/>
            <w:tcBorders>
              <w:top w:val="nil"/>
              <w:left w:val="nil"/>
              <w:bottom w:val="nil"/>
              <w:right w:val="nil"/>
            </w:tcBorders>
            <w:shd w:val="clear" w:color="auto" w:fill="FFFFFF"/>
            <w:tcMar>
              <w:left w:w="67" w:type="dxa"/>
              <w:right w:w="67" w:type="dxa"/>
            </w:tcMar>
            <w:vAlign w:val="center"/>
          </w:tcPr>
          <w:p w14:paraId="17C0A1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0.0153</w:t>
            </w:r>
          </w:p>
        </w:tc>
        <w:tc>
          <w:tcPr>
            <w:tcW w:w="1134" w:type="dxa"/>
            <w:tcBorders>
              <w:top w:val="nil"/>
              <w:left w:val="nil"/>
              <w:bottom w:val="nil"/>
              <w:right w:val="nil"/>
            </w:tcBorders>
            <w:shd w:val="clear" w:color="auto" w:fill="FFFFFF"/>
            <w:tcMar>
              <w:left w:w="67" w:type="dxa"/>
              <w:right w:w="67" w:type="dxa"/>
            </w:tcMar>
            <w:vAlign w:val="center"/>
          </w:tcPr>
          <w:p w14:paraId="540947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0.9847</w:t>
            </w:r>
          </w:p>
        </w:tc>
        <w:tc>
          <w:tcPr>
            <w:tcW w:w="1134" w:type="dxa"/>
            <w:tcBorders>
              <w:top w:val="nil"/>
              <w:left w:val="nil"/>
              <w:bottom w:val="nil"/>
              <w:right w:val="nil"/>
            </w:tcBorders>
            <w:shd w:val="clear" w:color="auto" w:fill="FFFFFF"/>
            <w:tcMar>
              <w:left w:w="67" w:type="dxa"/>
              <w:right w:w="67" w:type="dxa"/>
            </w:tcMar>
            <w:vAlign w:val="center"/>
          </w:tcPr>
          <w:p w14:paraId="02F74F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0.9514</w:t>
            </w:r>
          </w:p>
        </w:tc>
        <w:tc>
          <w:tcPr>
            <w:tcW w:w="1134" w:type="dxa"/>
            <w:tcBorders>
              <w:top w:val="nil"/>
              <w:left w:val="nil"/>
              <w:bottom w:val="nil"/>
              <w:right w:val="nil"/>
            </w:tcBorders>
            <w:shd w:val="clear" w:color="auto" w:fill="FFFFFF"/>
            <w:tcMar>
              <w:left w:w="67" w:type="dxa"/>
              <w:right w:w="67" w:type="dxa"/>
            </w:tcMar>
            <w:vAlign w:val="center"/>
          </w:tcPr>
          <w:p w14:paraId="64A29E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1.0190</w:t>
            </w:r>
          </w:p>
        </w:tc>
        <w:tc>
          <w:tcPr>
            <w:tcW w:w="1134" w:type="dxa"/>
            <w:tcBorders>
              <w:top w:val="nil"/>
              <w:left w:val="nil"/>
              <w:bottom w:val="nil"/>
              <w:right w:val="nil"/>
            </w:tcBorders>
            <w:shd w:val="clear" w:color="auto" w:fill="FFFFFF"/>
            <w:tcMar>
              <w:left w:w="67" w:type="dxa"/>
              <w:right w:w="67" w:type="dxa"/>
            </w:tcMar>
            <w:vAlign w:val="center"/>
          </w:tcPr>
          <w:p w14:paraId="4D95E0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w:t>
            </w:r>
          </w:p>
        </w:tc>
        <w:tc>
          <w:tcPr>
            <w:tcW w:w="567" w:type="dxa"/>
            <w:tcBorders>
              <w:top w:val="nil"/>
              <w:left w:val="nil"/>
              <w:bottom w:val="nil"/>
              <w:right w:val="nil"/>
            </w:tcBorders>
            <w:shd w:val="clear" w:color="auto" w:fill="FFFFFF"/>
            <w:tcMar>
              <w:left w:w="67" w:type="dxa"/>
              <w:right w:w="67" w:type="dxa"/>
            </w:tcMar>
            <w:vAlign w:val="center"/>
          </w:tcPr>
          <w:p w14:paraId="09D8D4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56ED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0.3118</w:t>
            </w:r>
          </w:p>
        </w:tc>
      </w:tr>
      <w:tr w:rsidR="00B77EA3" w:rsidRPr="0082484A" w14:paraId="51346D2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8182E3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2B121DC"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06CCB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-0.0110</w:t>
            </w:r>
          </w:p>
        </w:tc>
        <w:tc>
          <w:tcPr>
            <w:tcW w:w="1134" w:type="dxa"/>
            <w:tcBorders>
              <w:top w:val="nil"/>
              <w:left w:val="nil"/>
              <w:bottom w:val="nil"/>
              <w:right w:val="nil"/>
            </w:tcBorders>
            <w:shd w:val="clear" w:color="auto" w:fill="FFFFFF"/>
            <w:tcMar>
              <w:left w:w="67" w:type="dxa"/>
              <w:right w:w="67" w:type="dxa"/>
            </w:tcMar>
            <w:vAlign w:val="center"/>
          </w:tcPr>
          <w:p w14:paraId="08D1E5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0.0047</w:t>
            </w:r>
          </w:p>
        </w:tc>
        <w:tc>
          <w:tcPr>
            <w:tcW w:w="1134" w:type="dxa"/>
            <w:tcBorders>
              <w:top w:val="nil"/>
              <w:left w:val="nil"/>
              <w:bottom w:val="nil"/>
              <w:right w:val="nil"/>
            </w:tcBorders>
            <w:shd w:val="clear" w:color="auto" w:fill="FFFFFF"/>
            <w:tcMar>
              <w:left w:w="67" w:type="dxa"/>
              <w:right w:w="67" w:type="dxa"/>
            </w:tcMar>
            <w:vAlign w:val="center"/>
          </w:tcPr>
          <w:p w14:paraId="77654F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0.9890</w:t>
            </w:r>
          </w:p>
        </w:tc>
        <w:tc>
          <w:tcPr>
            <w:tcW w:w="1134" w:type="dxa"/>
            <w:tcBorders>
              <w:top w:val="nil"/>
              <w:left w:val="nil"/>
              <w:bottom w:val="nil"/>
              <w:right w:val="nil"/>
            </w:tcBorders>
            <w:shd w:val="clear" w:color="auto" w:fill="FFFFFF"/>
            <w:tcMar>
              <w:left w:w="67" w:type="dxa"/>
              <w:right w:w="67" w:type="dxa"/>
            </w:tcMar>
            <w:vAlign w:val="center"/>
          </w:tcPr>
          <w:p w14:paraId="04A215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0.9787</w:t>
            </w:r>
          </w:p>
        </w:tc>
        <w:tc>
          <w:tcPr>
            <w:tcW w:w="1134" w:type="dxa"/>
            <w:tcBorders>
              <w:top w:val="nil"/>
              <w:left w:val="nil"/>
              <w:bottom w:val="nil"/>
              <w:right w:val="nil"/>
            </w:tcBorders>
            <w:shd w:val="clear" w:color="auto" w:fill="FFFFFF"/>
            <w:tcMar>
              <w:left w:w="67" w:type="dxa"/>
              <w:right w:w="67" w:type="dxa"/>
            </w:tcMar>
            <w:vAlign w:val="center"/>
          </w:tcPr>
          <w:p w14:paraId="5917EA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0.9996</w:t>
            </w:r>
          </w:p>
        </w:tc>
        <w:tc>
          <w:tcPr>
            <w:tcW w:w="1134" w:type="dxa"/>
            <w:tcBorders>
              <w:top w:val="nil"/>
              <w:left w:val="nil"/>
              <w:bottom w:val="nil"/>
              <w:right w:val="nil"/>
            </w:tcBorders>
            <w:shd w:val="clear" w:color="auto" w:fill="FFFFFF"/>
            <w:tcMar>
              <w:left w:w="67" w:type="dxa"/>
              <w:right w:w="67" w:type="dxa"/>
            </w:tcMar>
            <w:vAlign w:val="center"/>
          </w:tcPr>
          <w:p w14:paraId="057E1F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5.49</w:t>
            </w:r>
          </w:p>
        </w:tc>
        <w:tc>
          <w:tcPr>
            <w:tcW w:w="567" w:type="dxa"/>
            <w:tcBorders>
              <w:top w:val="nil"/>
              <w:left w:val="nil"/>
              <w:bottom w:val="nil"/>
              <w:right w:val="nil"/>
            </w:tcBorders>
            <w:shd w:val="clear" w:color="auto" w:fill="FFFFFF"/>
            <w:tcMar>
              <w:left w:w="67" w:type="dxa"/>
              <w:right w:w="67" w:type="dxa"/>
            </w:tcMar>
            <w:vAlign w:val="center"/>
          </w:tcPr>
          <w:p w14:paraId="5282A3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B84B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0.0195</w:t>
            </w:r>
          </w:p>
        </w:tc>
      </w:tr>
      <w:tr w:rsidR="00B77EA3" w:rsidRPr="0082484A" w14:paraId="410E921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34C1EF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A4C297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6DEB3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-0.3703</w:t>
            </w:r>
          </w:p>
        </w:tc>
        <w:tc>
          <w:tcPr>
            <w:tcW w:w="1134" w:type="dxa"/>
            <w:tcBorders>
              <w:top w:val="nil"/>
              <w:left w:val="nil"/>
              <w:bottom w:val="nil"/>
              <w:right w:val="nil"/>
            </w:tcBorders>
            <w:shd w:val="clear" w:color="auto" w:fill="FFFFFF"/>
            <w:tcMar>
              <w:left w:w="67" w:type="dxa"/>
              <w:right w:w="67" w:type="dxa"/>
            </w:tcMar>
            <w:vAlign w:val="center"/>
          </w:tcPr>
          <w:p w14:paraId="38A20B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0.6818</w:t>
            </w:r>
          </w:p>
        </w:tc>
        <w:tc>
          <w:tcPr>
            <w:tcW w:w="1134" w:type="dxa"/>
            <w:tcBorders>
              <w:top w:val="nil"/>
              <w:left w:val="nil"/>
              <w:bottom w:val="nil"/>
              <w:right w:val="nil"/>
            </w:tcBorders>
            <w:shd w:val="clear" w:color="auto" w:fill="FFFFFF"/>
            <w:tcMar>
              <w:left w:w="67" w:type="dxa"/>
              <w:right w:w="67" w:type="dxa"/>
            </w:tcMar>
            <w:vAlign w:val="center"/>
          </w:tcPr>
          <w:p w14:paraId="3B9F8C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0.6905</w:t>
            </w:r>
          </w:p>
        </w:tc>
        <w:tc>
          <w:tcPr>
            <w:tcW w:w="1134" w:type="dxa"/>
            <w:tcBorders>
              <w:top w:val="nil"/>
              <w:left w:val="nil"/>
              <w:bottom w:val="nil"/>
              <w:right w:val="nil"/>
            </w:tcBorders>
            <w:shd w:val="clear" w:color="auto" w:fill="FFFFFF"/>
            <w:tcMar>
              <w:left w:w="67" w:type="dxa"/>
              <w:right w:w="67" w:type="dxa"/>
            </w:tcMar>
            <w:vAlign w:val="center"/>
          </w:tcPr>
          <w:p w14:paraId="72D39A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0.1492</w:t>
            </w:r>
          </w:p>
        </w:tc>
        <w:tc>
          <w:tcPr>
            <w:tcW w:w="1134" w:type="dxa"/>
            <w:tcBorders>
              <w:top w:val="nil"/>
              <w:left w:val="nil"/>
              <w:bottom w:val="nil"/>
              <w:right w:val="nil"/>
            </w:tcBorders>
            <w:shd w:val="clear" w:color="auto" w:fill="FFFFFF"/>
            <w:tcMar>
              <w:left w:w="67" w:type="dxa"/>
              <w:right w:w="67" w:type="dxa"/>
            </w:tcMar>
            <w:vAlign w:val="center"/>
          </w:tcPr>
          <w:p w14:paraId="3AE4F0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3.1961</w:t>
            </w:r>
          </w:p>
        </w:tc>
        <w:tc>
          <w:tcPr>
            <w:tcW w:w="1134" w:type="dxa"/>
            <w:tcBorders>
              <w:top w:val="nil"/>
              <w:left w:val="nil"/>
              <w:bottom w:val="nil"/>
              <w:right w:val="nil"/>
            </w:tcBorders>
            <w:shd w:val="clear" w:color="auto" w:fill="FFFFFF"/>
            <w:tcMar>
              <w:left w:w="67" w:type="dxa"/>
              <w:right w:w="67" w:type="dxa"/>
            </w:tcMar>
            <w:vAlign w:val="center"/>
          </w:tcPr>
          <w:p w14:paraId="7BF79B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w:t>
            </w:r>
          </w:p>
        </w:tc>
        <w:tc>
          <w:tcPr>
            <w:tcW w:w="567" w:type="dxa"/>
            <w:tcBorders>
              <w:top w:val="nil"/>
              <w:left w:val="nil"/>
              <w:bottom w:val="nil"/>
              <w:right w:val="nil"/>
            </w:tcBorders>
            <w:shd w:val="clear" w:color="auto" w:fill="FFFFFF"/>
            <w:tcMar>
              <w:left w:w="67" w:type="dxa"/>
              <w:right w:w="67" w:type="dxa"/>
            </w:tcMar>
            <w:vAlign w:val="center"/>
          </w:tcPr>
          <w:p w14:paraId="650DD2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4611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0.5279</w:t>
            </w:r>
          </w:p>
        </w:tc>
      </w:tr>
      <w:tr w:rsidR="00B77EA3" w:rsidRPr="0082484A" w14:paraId="6E4B660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08526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54E1A8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05C70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-0.7781</w:t>
            </w:r>
          </w:p>
        </w:tc>
        <w:tc>
          <w:tcPr>
            <w:tcW w:w="1134" w:type="dxa"/>
            <w:tcBorders>
              <w:top w:val="nil"/>
              <w:left w:val="nil"/>
              <w:bottom w:val="nil"/>
              <w:right w:val="nil"/>
            </w:tcBorders>
            <w:shd w:val="clear" w:color="auto" w:fill="FFFFFF"/>
            <w:tcMar>
              <w:left w:w="67" w:type="dxa"/>
              <w:right w:w="67" w:type="dxa"/>
            </w:tcMar>
            <w:vAlign w:val="center"/>
          </w:tcPr>
          <w:p w14:paraId="554585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0.7065</w:t>
            </w:r>
          </w:p>
        </w:tc>
        <w:tc>
          <w:tcPr>
            <w:tcW w:w="1134" w:type="dxa"/>
            <w:tcBorders>
              <w:top w:val="nil"/>
              <w:left w:val="nil"/>
              <w:bottom w:val="nil"/>
              <w:right w:val="nil"/>
            </w:tcBorders>
            <w:shd w:val="clear" w:color="auto" w:fill="FFFFFF"/>
            <w:tcMar>
              <w:left w:w="67" w:type="dxa"/>
              <w:right w:w="67" w:type="dxa"/>
            </w:tcMar>
            <w:vAlign w:val="center"/>
          </w:tcPr>
          <w:p w14:paraId="670F8F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0.4593</w:t>
            </w:r>
          </w:p>
        </w:tc>
        <w:tc>
          <w:tcPr>
            <w:tcW w:w="1134" w:type="dxa"/>
            <w:tcBorders>
              <w:top w:val="nil"/>
              <w:left w:val="nil"/>
              <w:bottom w:val="nil"/>
              <w:right w:val="nil"/>
            </w:tcBorders>
            <w:shd w:val="clear" w:color="auto" w:fill="FFFFFF"/>
            <w:tcMar>
              <w:left w:w="67" w:type="dxa"/>
              <w:right w:w="67" w:type="dxa"/>
            </w:tcMar>
            <w:vAlign w:val="center"/>
          </w:tcPr>
          <w:p w14:paraId="5B0330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0.0939</w:t>
            </w:r>
          </w:p>
        </w:tc>
        <w:tc>
          <w:tcPr>
            <w:tcW w:w="1134" w:type="dxa"/>
            <w:tcBorders>
              <w:top w:val="nil"/>
              <w:left w:val="nil"/>
              <w:bottom w:val="nil"/>
              <w:right w:val="nil"/>
            </w:tcBorders>
            <w:shd w:val="clear" w:color="auto" w:fill="FFFFFF"/>
            <w:tcMar>
              <w:left w:w="67" w:type="dxa"/>
              <w:right w:w="67" w:type="dxa"/>
            </w:tcMar>
            <w:vAlign w:val="center"/>
          </w:tcPr>
          <w:p w14:paraId="24639B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2.2472</w:t>
            </w:r>
          </w:p>
        </w:tc>
        <w:tc>
          <w:tcPr>
            <w:tcW w:w="1134" w:type="dxa"/>
            <w:tcBorders>
              <w:top w:val="nil"/>
              <w:left w:val="nil"/>
              <w:bottom w:val="nil"/>
              <w:right w:val="nil"/>
            </w:tcBorders>
            <w:shd w:val="clear" w:color="auto" w:fill="FFFFFF"/>
            <w:tcMar>
              <w:left w:w="67" w:type="dxa"/>
              <w:right w:w="67" w:type="dxa"/>
            </w:tcMar>
            <w:vAlign w:val="center"/>
          </w:tcPr>
          <w:p w14:paraId="1C3F58A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539A55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89A35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7A6B0C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D95908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DD571D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07C27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-0.3122</w:t>
            </w:r>
          </w:p>
        </w:tc>
        <w:tc>
          <w:tcPr>
            <w:tcW w:w="1134" w:type="dxa"/>
            <w:tcBorders>
              <w:top w:val="nil"/>
              <w:left w:val="nil"/>
              <w:bottom w:val="nil"/>
              <w:right w:val="nil"/>
            </w:tcBorders>
            <w:shd w:val="clear" w:color="auto" w:fill="FFFFFF"/>
            <w:tcMar>
              <w:left w:w="67" w:type="dxa"/>
              <w:right w:w="67" w:type="dxa"/>
            </w:tcMar>
            <w:vAlign w:val="center"/>
          </w:tcPr>
          <w:p w14:paraId="05FCC7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0.4526</w:t>
            </w:r>
          </w:p>
        </w:tc>
        <w:tc>
          <w:tcPr>
            <w:tcW w:w="1134" w:type="dxa"/>
            <w:tcBorders>
              <w:top w:val="nil"/>
              <w:left w:val="nil"/>
              <w:bottom w:val="nil"/>
              <w:right w:val="nil"/>
            </w:tcBorders>
            <w:shd w:val="clear" w:color="auto" w:fill="FFFFFF"/>
            <w:tcMar>
              <w:left w:w="67" w:type="dxa"/>
              <w:right w:w="67" w:type="dxa"/>
            </w:tcMar>
            <w:vAlign w:val="center"/>
          </w:tcPr>
          <w:p w14:paraId="4D6B72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0.7318</w:t>
            </w:r>
          </w:p>
        </w:tc>
        <w:tc>
          <w:tcPr>
            <w:tcW w:w="1134" w:type="dxa"/>
            <w:tcBorders>
              <w:top w:val="nil"/>
              <w:left w:val="nil"/>
              <w:bottom w:val="nil"/>
              <w:right w:val="nil"/>
            </w:tcBorders>
            <w:shd w:val="clear" w:color="auto" w:fill="FFFFFF"/>
            <w:tcMar>
              <w:left w:w="67" w:type="dxa"/>
              <w:right w:w="67" w:type="dxa"/>
            </w:tcMar>
            <w:vAlign w:val="center"/>
          </w:tcPr>
          <w:p w14:paraId="2E0A78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0.2646</w:t>
            </w:r>
          </w:p>
        </w:tc>
        <w:tc>
          <w:tcPr>
            <w:tcW w:w="1134" w:type="dxa"/>
            <w:tcBorders>
              <w:top w:val="nil"/>
              <w:left w:val="nil"/>
              <w:bottom w:val="nil"/>
              <w:right w:val="nil"/>
            </w:tcBorders>
            <w:shd w:val="clear" w:color="auto" w:fill="FFFFFF"/>
            <w:tcMar>
              <w:left w:w="67" w:type="dxa"/>
              <w:right w:w="67" w:type="dxa"/>
            </w:tcMar>
            <w:vAlign w:val="center"/>
          </w:tcPr>
          <w:p w14:paraId="62B17D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2.0239</w:t>
            </w:r>
          </w:p>
        </w:tc>
        <w:tc>
          <w:tcPr>
            <w:tcW w:w="1134" w:type="dxa"/>
            <w:tcBorders>
              <w:top w:val="nil"/>
              <w:left w:val="nil"/>
              <w:bottom w:val="nil"/>
              <w:right w:val="nil"/>
            </w:tcBorders>
            <w:shd w:val="clear" w:color="auto" w:fill="FFFFFF"/>
            <w:tcMar>
              <w:left w:w="67" w:type="dxa"/>
              <w:right w:w="67" w:type="dxa"/>
            </w:tcMar>
            <w:vAlign w:val="center"/>
          </w:tcPr>
          <w:p w14:paraId="4E318D4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E04EF6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60EE6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AF25F8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D951C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C225C8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D44E4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-0.9822</w:t>
            </w:r>
          </w:p>
        </w:tc>
        <w:tc>
          <w:tcPr>
            <w:tcW w:w="1134" w:type="dxa"/>
            <w:tcBorders>
              <w:top w:val="nil"/>
              <w:left w:val="nil"/>
              <w:bottom w:val="nil"/>
              <w:right w:val="nil"/>
            </w:tcBorders>
            <w:shd w:val="clear" w:color="auto" w:fill="FFFFFF"/>
            <w:tcMar>
              <w:left w:w="67" w:type="dxa"/>
              <w:right w:w="67" w:type="dxa"/>
            </w:tcMar>
            <w:vAlign w:val="center"/>
          </w:tcPr>
          <w:p w14:paraId="17004F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0.6012</w:t>
            </w:r>
          </w:p>
        </w:tc>
        <w:tc>
          <w:tcPr>
            <w:tcW w:w="1134" w:type="dxa"/>
            <w:tcBorders>
              <w:top w:val="nil"/>
              <w:left w:val="nil"/>
              <w:bottom w:val="nil"/>
              <w:right w:val="nil"/>
            </w:tcBorders>
            <w:shd w:val="clear" w:color="auto" w:fill="FFFFFF"/>
            <w:tcMar>
              <w:left w:w="67" w:type="dxa"/>
              <w:right w:w="67" w:type="dxa"/>
            </w:tcMar>
            <w:vAlign w:val="center"/>
          </w:tcPr>
          <w:p w14:paraId="01EDF7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0.3745</w:t>
            </w:r>
          </w:p>
        </w:tc>
        <w:tc>
          <w:tcPr>
            <w:tcW w:w="1134" w:type="dxa"/>
            <w:tcBorders>
              <w:top w:val="nil"/>
              <w:left w:val="nil"/>
              <w:bottom w:val="nil"/>
              <w:right w:val="nil"/>
            </w:tcBorders>
            <w:shd w:val="clear" w:color="auto" w:fill="FFFFFF"/>
            <w:tcMar>
              <w:left w:w="67" w:type="dxa"/>
              <w:right w:w="67" w:type="dxa"/>
            </w:tcMar>
            <w:vAlign w:val="center"/>
          </w:tcPr>
          <w:p w14:paraId="212A0B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0.0970</w:t>
            </w:r>
          </w:p>
        </w:tc>
        <w:tc>
          <w:tcPr>
            <w:tcW w:w="1134" w:type="dxa"/>
            <w:tcBorders>
              <w:top w:val="nil"/>
              <w:left w:val="nil"/>
              <w:bottom w:val="nil"/>
              <w:right w:val="nil"/>
            </w:tcBorders>
            <w:shd w:val="clear" w:color="auto" w:fill="FFFFFF"/>
            <w:tcMar>
              <w:left w:w="67" w:type="dxa"/>
              <w:right w:w="67" w:type="dxa"/>
            </w:tcMar>
            <w:vAlign w:val="center"/>
          </w:tcPr>
          <w:p w14:paraId="651A40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1.4460</w:t>
            </w:r>
          </w:p>
        </w:tc>
        <w:tc>
          <w:tcPr>
            <w:tcW w:w="1134" w:type="dxa"/>
            <w:tcBorders>
              <w:top w:val="nil"/>
              <w:left w:val="nil"/>
              <w:bottom w:val="nil"/>
              <w:right w:val="nil"/>
            </w:tcBorders>
            <w:shd w:val="clear" w:color="auto" w:fill="FFFFFF"/>
            <w:tcMar>
              <w:left w:w="67" w:type="dxa"/>
              <w:right w:w="67" w:type="dxa"/>
            </w:tcMar>
            <w:vAlign w:val="center"/>
          </w:tcPr>
          <w:p w14:paraId="3B1BE9D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8E6B67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F3F45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A0E6CD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47FD1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7C5FC3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16939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-1.1598</w:t>
            </w:r>
          </w:p>
        </w:tc>
        <w:tc>
          <w:tcPr>
            <w:tcW w:w="1134" w:type="dxa"/>
            <w:tcBorders>
              <w:top w:val="nil"/>
              <w:left w:val="nil"/>
              <w:bottom w:val="nil"/>
              <w:right w:val="nil"/>
            </w:tcBorders>
            <w:shd w:val="clear" w:color="auto" w:fill="FFFFFF"/>
            <w:tcMar>
              <w:left w:w="67" w:type="dxa"/>
              <w:right w:w="67" w:type="dxa"/>
            </w:tcMar>
            <w:vAlign w:val="center"/>
          </w:tcPr>
          <w:p w14:paraId="0CC9D8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0.6490</w:t>
            </w:r>
          </w:p>
        </w:tc>
        <w:tc>
          <w:tcPr>
            <w:tcW w:w="1134" w:type="dxa"/>
            <w:tcBorders>
              <w:top w:val="nil"/>
              <w:left w:val="nil"/>
              <w:bottom w:val="nil"/>
              <w:right w:val="nil"/>
            </w:tcBorders>
            <w:shd w:val="clear" w:color="auto" w:fill="FFFFFF"/>
            <w:tcMar>
              <w:left w:w="67" w:type="dxa"/>
              <w:right w:w="67" w:type="dxa"/>
            </w:tcMar>
            <w:vAlign w:val="center"/>
          </w:tcPr>
          <w:p w14:paraId="368C70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0.3136</w:t>
            </w:r>
          </w:p>
        </w:tc>
        <w:tc>
          <w:tcPr>
            <w:tcW w:w="1134" w:type="dxa"/>
            <w:tcBorders>
              <w:top w:val="nil"/>
              <w:left w:val="nil"/>
              <w:bottom w:val="nil"/>
              <w:right w:val="nil"/>
            </w:tcBorders>
            <w:shd w:val="clear" w:color="auto" w:fill="FFFFFF"/>
            <w:tcMar>
              <w:left w:w="67" w:type="dxa"/>
              <w:right w:w="67" w:type="dxa"/>
            </w:tcMar>
            <w:vAlign w:val="center"/>
          </w:tcPr>
          <w:p w14:paraId="44B64E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0.0729</w:t>
            </w:r>
          </w:p>
        </w:tc>
        <w:tc>
          <w:tcPr>
            <w:tcW w:w="1134" w:type="dxa"/>
            <w:tcBorders>
              <w:top w:val="nil"/>
              <w:left w:val="nil"/>
              <w:bottom w:val="nil"/>
              <w:right w:val="nil"/>
            </w:tcBorders>
            <w:shd w:val="clear" w:color="auto" w:fill="FFFFFF"/>
            <w:tcMar>
              <w:left w:w="67" w:type="dxa"/>
              <w:right w:w="67" w:type="dxa"/>
            </w:tcMar>
            <w:vAlign w:val="center"/>
          </w:tcPr>
          <w:p w14:paraId="20F113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1.3482</w:t>
            </w:r>
          </w:p>
        </w:tc>
        <w:tc>
          <w:tcPr>
            <w:tcW w:w="1134" w:type="dxa"/>
            <w:tcBorders>
              <w:top w:val="nil"/>
              <w:left w:val="nil"/>
              <w:bottom w:val="nil"/>
              <w:right w:val="nil"/>
            </w:tcBorders>
            <w:shd w:val="clear" w:color="auto" w:fill="FFFFFF"/>
            <w:tcMar>
              <w:left w:w="67" w:type="dxa"/>
              <w:right w:w="67" w:type="dxa"/>
            </w:tcMar>
            <w:vAlign w:val="center"/>
          </w:tcPr>
          <w:p w14:paraId="5B91745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62A0C4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258FE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D8089E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72E28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692E2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E1BA7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-0.5928</w:t>
            </w:r>
          </w:p>
        </w:tc>
        <w:tc>
          <w:tcPr>
            <w:tcW w:w="1134" w:type="dxa"/>
            <w:tcBorders>
              <w:top w:val="nil"/>
              <w:left w:val="nil"/>
              <w:bottom w:val="nil"/>
              <w:right w:val="nil"/>
            </w:tcBorders>
            <w:shd w:val="clear" w:color="auto" w:fill="FFFFFF"/>
            <w:tcMar>
              <w:left w:w="67" w:type="dxa"/>
              <w:right w:w="67" w:type="dxa"/>
            </w:tcMar>
            <w:vAlign w:val="center"/>
          </w:tcPr>
          <w:p w14:paraId="65E513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0.7050</w:t>
            </w:r>
          </w:p>
        </w:tc>
        <w:tc>
          <w:tcPr>
            <w:tcW w:w="1134" w:type="dxa"/>
            <w:tcBorders>
              <w:top w:val="nil"/>
              <w:left w:val="nil"/>
              <w:bottom w:val="nil"/>
              <w:right w:val="nil"/>
            </w:tcBorders>
            <w:shd w:val="clear" w:color="auto" w:fill="FFFFFF"/>
            <w:tcMar>
              <w:left w:w="67" w:type="dxa"/>
              <w:right w:w="67" w:type="dxa"/>
            </w:tcMar>
            <w:vAlign w:val="center"/>
          </w:tcPr>
          <w:p w14:paraId="2026A2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0.5528</w:t>
            </w:r>
          </w:p>
        </w:tc>
        <w:tc>
          <w:tcPr>
            <w:tcW w:w="1134" w:type="dxa"/>
            <w:tcBorders>
              <w:top w:val="nil"/>
              <w:left w:val="nil"/>
              <w:bottom w:val="nil"/>
              <w:right w:val="nil"/>
            </w:tcBorders>
            <w:shd w:val="clear" w:color="auto" w:fill="FFFFFF"/>
            <w:tcMar>
              <w:left w:w="67" w:type="dxa"/>
              <w:right w:w="67" w:type="dxa"/>
            </w:tcMar>
            <w:vAlign w:val="center"/>
          </w:tcPr>
          <w:p w14:paraId="053000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0.1134</w:t>
            </w:r>
          </w:p>
        </w:tc>
        <w:tc>
          <w:tcPr>
            <w:tcW w:w="1134" w:type="dxa"/>
            <w:tcBorders>
              <w:top w:val="nil"/>
              <w:left w:val="nil"/>
              <w:bottom w:val="nil"/>
              <w:right w:val="nil"/>
            </w:tcBorders>
            <w:shd w:val="clear" w:color="auto" w:fill="FFFFFF"/>
            <w:tcMar>
              <w:left w:w="67" w:type="dxa"/>
              <w:right w:w="67" w:type="dxa"/>
            </w:tcMar>
            <w:vAlign w:val="center"/>
          </w:tcPr>
          <w:p w14:paraId="1D9722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2.6952</w:t>
            </w:r>
          </w:p>
        </w:tc>
        <w:tc>
          <w:tcPr>
            <w:tcW w:w="1134" w:type="dxa"/>
            <w:tcBorders>
              <w:top w:val="nil"/>
              <w:left w:val="nil"/>
              <w:bottom w:val="nil"/>
              <w:right w:val="nil"/>
            </w:tcBorders>
            <w:shd w:val="clear" w:color="auto" w:fill="FFFFFF"/>
            <w:tcMar>
              <w:left w:w="67" w:type="dxa"/>
              <w:right w:w="67" w:type="dxa"/>
            </w:tcMar>
            <w:vAlign w:val="center"/>
          </w:tcPr>
          <w:p w14:paraId="4A06E1B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50D899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63249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4A3687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73842B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463EC0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628C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-1.3458</w:t>
            </w:r>
          </w:p>
        </w:tc>
        <w:tc>
          <w:tcPr>
            <w:tcW w:w="1134" w:type="dxa"/>
            <w:tcBorders>
              <w:top w:val="nil"/>
              <w:left w:val="nil"/>
              <w:bottom w:val="nil"/>
              <w:right w:val="nil"/>
            </w:tcBorders>
            <w:shd w:val="clear" w:color="auto" w:fill="FFFFFF"/>
            <w:tcMar>
              <w:left w:w="67" w:type="dxa"/>
              <w:right w:w="67" w:type="dxa"/>
            </w:tcMar>
            <w:vAlign w:val="center"/>
          </w:tcPr>
          <w:p w14:paraId="57C640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0.6648</w:t>
            </w:r>
          </w:p>
        </w:tc>
        <w:tc>
          <w:tcPr>
            <w:tcW w:w="1134" w:type="dxa"/>
            <w:tcBorders>
              <w:top w:val="nil"/>
              <w:left w:val="nil"/>
              <w:bottom w:val="nil"/>
              <w:right w:val="nil"/>
            </w:tcBorders>
            <w:shd w:val="clear" w:color="auto" w:fill="FFFFFF"/>
            <w:tcMar>
              <w:left w:w="67" w:type="dxa"/>
              <w:right w:w="67" w:type="dxa"/>
            </w:tcMar>
            <w:vAlign w:val="center"/>
          </w:tcPr>
          <w:p w14:paraId="6B9C19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0.2603</w:t>
            </w:r>
          </w:p>
        </w:tc>
        <w:tc>
          <w:tcPr>
            <w:tcW w:w="1134" w:type="dxa"/>
            <w:tcBorders>
              <w:top w:val="nil"/>
              <w:left w:val="nil"/>
              <w:bottom w:val="nil"/>
              <w:right w:val="nil"/>
            </w:tcBorders>
            <w:shd w:val="clear" w:color="auto" w:fill="FFFFFF"/>
            <w:tcMar>
              <w:left w:w="67" w:type="dxa"/>
              <w:right w:w="67" w:type="dxa"/>
            </w:tcMar>
            <w:vAlign w:val="center"/>
          </w:tcPr>
          <w:p w14:paraId="5E7B5D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0.0584</w:t>
            </w:r>
          </w:p>
        </w:tc>
        <w:tc>
          <w:tcPr>
            <w:tcW w:w="1134" w:type="dxa"/>
            <w:tcBorders>
              <w:top w:val="nil"/>
              <w:left w:val="nil"/>
              <w:bottom w:val="nil"/>
              <w:right w:val="nil"/>
            </w:tcBorders>
            <w:shd w:val="clear" w:color="auto" w:fill="FFFFFF"/>
            <w:tcMar>
              <w:left w:w="67" w:type="dxa"/>
              <w:right w:w="67" w:type="dxa"/>
            </w:tcMar>
            <w:vAlign w:val="center"/>
          </w:tcPr>
          <w:p w14:paraId="3DBFB3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1.1596</w:t>
            </w:r>
          </w:p>
        </w:tc>
        <w:tc>
          <w:tcPr>
            <w:tcW w:w="1134" w:type="dxa"/>
            <w:tcBorders>
              <w:top w:val="nil"/>
              <w:left w:val="nil"/>
              <w:bottom w:val="nil"/>
              <w:right w:val="nil"/>
            </w:tcBorders>
            <w:shd w:val="clear" w:color="auto" w:fill="FFFFFF"/>
            <w:tcMar>
              <w:left w:w="67" w:type="dxa"/>
              <w:right w:w="67" w:type="dxa"/>
            </w:tcMar>
            <w:vAlign w:val="center"/>
          </w:tcPr>
          <w:p w14:paraId="7E4F423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1ACAB6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392DE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F079C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BEC4E4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3834BC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EFF4A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-0.1301</w:t>
            </w:r>
          </w:p>
        </w:tc>
        <w:tc>
          <w:tcPr>
            <w:tcW w:w="1134" w:type="dxa"/>
            <w:tcBorders>
              <w:top w:val="nil"/>
              <w:left w:val="nil"/>
              <w:bottom w:val="nil"/>
              <w:right w:val="nil"/>
            </w:tcBorders>
            <w:shd w:val="clear" w:color="auto" w:fill="FFFFFF"/>
            <w:tcMar>
              <w:left w:w="67" w:type="dxa"/>
              <w:right w:w="67" w:type="dxa"/>
            </w:tcMar>
            <w:vAlign w:val="center"/>
          </w:tcPr>
          <w:p w14:paraId="62CC25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0.7294</w:t>
            </w:r>
          </w:p>
        </w:tc>
        <w:tc>
          <w:tcPr>
            <w:tcW w:w="1134" w:type="dxa"/>
            <w:tcBorders>
              <w:top w:val="nil"/>
              <w:left w:val="nil"/>
              <w:bottom w:val="nil"/>
              <w:right w:val="nil"/>
            </w:tcBorders>
            <w:shd w:val="clear" w:color="auto" w:fill="FFFFFF"/>
            <w:tcMar>
              <w:left w:w="67" w:type="dxa"/>
              <w:right w:w="67" w:type="dxa"/>
            </w:tcMar>
            <w:vAlign w:val="center"/>
          </w:tcPr>
          <w:p w14:paraId="4CB5C1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0.8780</w:t>
            </w:r>
          </w:p>
        </w:tc>
        <w:tc>
          <w:tcPr>
            <w:tcW w:w="1134" w:type="dxa"/>
            <w:tcBorders>
              <w:top w:val="nil"/>
              <w:left w:val="nil"/>
              <w:bottom w:val="nil"/>
              <w:right w:val="nil"/>
            </w:tcBorders>
            <w:shd w:val="clear" w:color="auto" w:fill="FFFFFF"/>
            <w:tcMar>
              <w:left w:w="67" w:type="dxa"/>
              <w:right w:w="67" w:type="dxa"/>
            </w:tcMar>
            <w:vAlign w:val="center"/>
          </w:tcPr>
          <w:p w14:paraId="73DDA4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0.1704</w:t>
            </w:r>
          </w:p>
        </w:tc>
        <w:tc>
          <w:tcPr>
            <w:tcW w:w="1134" w:type="dxa"/>
            <w:tcBorders>
              <w:top w:val="nil"/>
              <w:left w:val="nil"/>
              <w:bottom w:val="nil"/>
              <w:right w:val="nil"/>
            </w:tcBorders>
            <w:shd w:val="clear" w:color="auto" w:fill="FFFFFF"/>
            <w:tcMar>
              <w:left w:w="67" w:type="dxa"/>
              <w:right w:w="67" w:type="dxa"/>
            </w:tcMar>
            <w:vAlign w:val="center"/>
          </w:tcPr>
          <w:p w14:paraId="18F7B3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4.5228</w:t>
            </w:r>
          </w:p>
        </w:tc>
        <w:tc>
          <w:tcPr>
            <w:tcW w:w="1134" w:type="dxa"/>
            <w:tcBorders>
              <w:top w:val="nil"/>
              <w:left w:val="nil"/>
              <w:bottom w:val="nil"/>
              <w:right w:val="nil"/>
            </w:tcBorders>
            <w:shd w:val="clear" w:color="auto" w:fill="FFFFFF"/>
            <w:tcMar>
              <w:left w:w="67" w:type="dxa"/>
              <w:right w:w="67" w:type="dxa"/>
            </w:tcMar>
            <w:vAlign w:val="center"/>
          </w:tcPr>
          <w:p w14:paraId="71A800E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38424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53E1B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0675E1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207CA3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FE6C0E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2826A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-0.7373</w:t>
            </w:r>
          </w:p>
        </w:tc>
        <w:tc>
          <w:tcPr>
            <w:tcW w:w="1134" w:type="dxa"/>
            <w:tcBorders>
              <w:top w:val="nil"/>
              <w:left w:val="nil"/>
              <w:bottom w:val="nil"/>
              <w:right w:val="nil"/>
            </w:tcBorders>
            <w:shd w:val="clear" w:color="auto" w:fill="FFFFFF"/>
            <w:tcMar>
              <w:left w:w="67" w:type="dxa"/>
              <w:right w:w="67" w:type="dxa"/>
            </w:tcMar>
            <w:vAlign w:val="center"/>
          </w:tcPr>
          <w:p w14:paraId="003AC1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0.5548</w:t>
            </w:r>
          </w:p>
        </w:tc>
        <w:tc>
          <w:tcPr>
            <w:tcW w:w="1134" w:type="dxa"/>
            <w:tcBorders>
              <w:top w:val="nil"/>
              <w:left w:val="nil"/>
              <w:bottom w:val="nil"/>
              <w:right w:val="nil"/>
            </w:tcBorders>
            <w:shd w:val="clear" w:color="auto" w:fill="FFFFFF"/>
            <w:tcMar>
              <w:left w:w="67" w:type="dxa"/>
              <w:right w:w="67" w:type="dxa"/>
            </w:tcMar>
            <w:vAlign w:val="center"/>
          </w:tcPr>
          <w:p w14:paraId="691E31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0.4784</w:t>
            </w:r>
          </w:p>
        </w:tc>
        <w:tc>
          <w:tcPr>
            <w:tcW w:w="1134" w:type="dxa"/>
            <w:tcBorders>
              <w:top w:val="nil"/>
              <w:left w:val="nil"/>
              <w:bottom w:val="nil"/>
              <w:right w:val="nil"/>
            </w:tcBorders>
            <w:shd w:val="clear" w:color="auto" w:fill="FFFFFF"/>
            <w:tcMar>
              <w:left w:w="67" w:type="dxa"/>
              <w:right w:w="67" w:type="dxa"/>
            </w:tcMar>
            <w:vAlign w:val="center"/>
          </w:tcPr>
          <w:p w14:paraId="466876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0.1375</w:t>
            </w:r>
          </w:p>
        </w:tc>
        <w:tc>
          <w:tcPr>
            <w:tcW w:w="1134" w:type="dxa"/>
            <w:tcBorders>
              <w:top w:val="nil"/>
              <w:left w:val="nil"/>
              <w:bottom w:val="nil"/>
              <w:right w:val="nil"/>
            </w:tcBorders>
            <w:shd w:val="clear" w:color="auto" w:fill="FFFFFF"/>
            <w:tcMar>
              <w:left w:w="67" w:type="dxa"/>
              <w:right w:w="67" w:type="dxa"/>
            </w:tcMar>
            <w:vAlign w:val="center"/>
          </w:tcPr>
          <w:p w14:paraId="30A2D1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1.6643</w:t>
            </w:r>
          </w:p>
        </w:tc>
        <w:tc>
          <w:tcPr>
            <w:tcW w:w="1134" w:type="dxa"/>
            <w:tcBorders>
              <w:top w:val="nil"/>
              <w:left w:val="nil"/>
              <w:bottom w:val="nil"/>
              <w:right w:val="nil"/>
            </w:tcBorders>
            <w:shd w:val="clear" w:color="auto" w:fill="FFFFFF"/>
            <w:tcMar>
              <w:left w:w="67" w:type="dxa"/>
              <w:right w:w="67" w:type="dxa"/>
            </w:tcMar>
            <w:vAlign w:val="center"/>
          </w:tcPr>
          <w:p w14:paraId="7148D72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271DDF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5DF40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4A30BA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891CFB4"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CDA188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5EB37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0.0651</w:t>
            </w:r>
          </w:p>
        </w:tc>
        <w:tc>
          <w:tcPr>
            <w:tcW w:w="1134" w:type="dxa"/>
            <w:tcBorders>
              <w:top w:val="nil"/>
              <w:left w:val="nil"/>
              <w:bottom w:val="nil"/>
              <w:right w:val="nil"/>
            </w:tcBorders>
            <w:shd w:val="clear" w:color="auto" w:fill="FFFFFF"/>
            <w:tcMar>
              <w:left w:w="67" w:type="dxa"/>
              <w:right w:w="67" w:type="dxa"/>
            </w:tcMar>
            <w:vAlign w:val="center"/>
          </w:tcPr>
          <w:p w14:paraId="5BBEED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0.0338</w:t>
            </w:r>
          </w:p>
        </w:tc>
        <w:tc>
          <w:tcPr>
            <w:tcW w:w="1134" w:type="dxa"/>
            <w:tcBorders>
              <w:top w:val="nil"/>
              <w:left w:val="nil"/>
              <w:bottom w:val="nil"/>
              <w:right w:val="nil"/>
            </w:tcBorders>
            <w:shd w:val="clear" w:color="auto" w:fill="FFFFFF"/>
            <w:tcMar>
              <w:left w:w="67" w:type="dxa"/>
              <w:right w:w="67" w:type="dxa"/>
            </w:tcMar>
            <w:vAlign w:val="center"/>
          </w:tcPr>
          <w:p w14:paraId="46AAE4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1.0673</w:t>
            </w:r>
          </w:p>
        </w:tc>
        <w:tc>
          <w:tcPr>
            <w:tcW w:w="1134" w:type="dxa"/>
            <w:tcBorders>
              <w:top w:val="nil"/>
              <w:left w:val="nil"/>
              <w:bottom w:val="nil"/>
              <w:right w:val="nil"/>
            </w:tcBorders>
            <w:shd w:val="clear" w:color="auto" w:fill="FFFFFF"/>
            <w:tcMar>
              <w:left w:w="67" w:type="dxa"/>
              <w:right w:w="67" w:type="dxa"/>
            </w:tcMar>
            <w:vAlign w:val="center"/>
          </w:tcPr>
          <w:p w14:paraId="250547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0.9892</w:t>
            </w:r>
          </w:p>
        </w:tc>
        <w:tc>
          <w:tcPr>
            <w:tcW w:w="1134" w:type="dxa"/>
            <w:tcBorders>
              <w:top w:val="nil"/>
              <w:left w:val="nil"/>
              <w:bottom w:val="nil"/>
              <w:right w:val="nil"/>
            </w:tcBorders>
            <w:shd w:val="clear" w:color="auto" w:fill="FFFFFF"/>
            <w:tcMar>
              <w:left w:w="67" w:type="dxa"/>
              <w:right w:w="67" w:type="dxa"/>
            </w:tcMar>
            <w:vAlign w:val="center"/>
          </w:tcPr>
          <w:p w14:paraId="569F3C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1.1516</w:t>
            </w:r>
          </w:p>
        </w:tc>
        <w:tc>
          <w:tcPr>
            <w:tcW w:w="1134" w:type="dxa"/>
            <w:tcBorders>
              <w:top w:val="nil"/>
              <w:left w:val="nil"/>
              <w:bottom w:val="nil"/>
              <w:right w:val="nil"/>
            </w:tcBorders>
            <w:shd w:val="clear" w:color="auto" w:fill="FFFFFF"/>
            <w:tcMar>
              <w:left w:w="67" w:type="dxa"/>
              <w:right w:w="67" w:type="dxa"/>
            </w:tcMar>
            <w:vAlign w:val="center"/>
          </w:tcPr>
          <w:p w14:paraId="35E809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3.71</w:t>
            </w:r>
          </w:p>
        </w:tc>
        <w:tc>
          <w:tcPr>
            <w:tcW w:w="567" w:type="dxa"/>
            <w:tcBorders>
              <w:top w:val="nil"/>
              <w:left w:val="nil"/>
              <w:bottom w:val="nil"/>
              <w:right w:val="nil"/>
            </w:tcBorders>
            <w:shd w:val="clear" w:color="auto" w:fill="FFFFFF"/>
            <w:tcMar>
              <w:left w:w="67" w:type="dxa"/>
              <w:right w:w="67" w:type="dxa"/>
            </w:tcMar>
            <w:vAlign w:val="center"/>
          </w:tcPr>
          <w:p w14:paraId="21D08D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8DEC1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0.0545</w:t>
            </w:r>
          </w:p>
        </w:tc>
      </w:tr>
      <w:tr w:rsidR="00B77EA3" w:rsidRPr="0082484A" w14:paraId="0A269E8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E025C75"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BA1D23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A0B50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-0.0175</w:t>
            </w:r>
          </w:p>
        </w:tc>
        <w:tc>
          <w:tcPr>
            <w:tcW w:w="1134" w:type="dxa"/>
            <w:tcBorders>
              <w:top w:val="nil"/>
              <w:left w:val="nil"/>
              <w:bottom w:val="nil"/>
              <w:right w:val="nil"/>
            </w:tcBorders>
            <w:shd w:val="clear" w:color="auto" w:fill="FFFFFF"/>
            <w:tcMar>
              <w:left w:w="67" w:type="dxa"/>
              <w:right w:w="67" w:type="dxa"/>
            </w:tcMar>
            <w:vAlign w:val="center"/>
          </w:tcPr>
          <w:p w14:paraId="1F2C0A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0.0227</w:t>
            </w:r>
          </w:p>
        </w:tc>
        <w:tc>
          <w:tcPr>
            <w:tcW w:w="1134" w:type="dxa"/>
            <w:tcBorders>
              <w:top w:val="nil"/>
              <w:left w:val="nil"/>
              <w:bottom w:val="nil"/>
              <w:right w:val="nil"/>
            </w:tcBorders>
            <w:shd w:val="clear" w:color="auto" w:fill="FFFFFF"/>
            <w:tcMar>
              <w:left w:w="67" w:type="dxa"/>
              <w:right w:w="67" w:type="dxa"/>
            </w:tcMar>
            <w:vAlign w:val="center"/>
          </w:tcPr>
          <w:p w14:paraId="77934D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0.9826</w:t>
            </w:r>
          </w:p>
        </w:tc>
        <w:tc>
          <w:tcPr>
            <w:tcW w:w="1134" w:type="dxa"/>
            <w:tcBorders>
              <w:top w:val="nil"/>
              <w:left w:val="nil"/>
              <w:bottom w:val="nil"/>
              <w:right w:val="nil"/>
            </w:tcBorders>
            <w:shd w:val="clear" w:color="auto" w:fill="FFFFFF"/>
            <w:tcMar>
              <w:left w:w="67" w:type="dxa"/>
              <w:right w:w="67" w:type="dxa"/>
            </w:tcMar>
            <w:vAlign w:val="center"/>
          </w:tcPr>
          <w:p w14:paraId="6921CB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0.9337</w:t>
            </w:r>
          </w:p>
        </w:tc>
        <w:tc>
          <w:tcPr>
            <w:tcW w:w="1134" w:type="dxa"/>
            <w:tcBorders>
              <w:top w:val="nil"/>
              <w:left w:val="nil"/>
              <w:bottom w:val="nil"/>
              <w:right w:val="nil"/>
            </w:tcBorders>
            <w:shd w:val="clear" w:color="auto" w:fill="FFFFFF"/>
            <w:tcMar>
              <w:left w:w="67" w:type="dxa"/>
              <w:right w:w="67" w:type="dxa"/>
            </w:tcMar>
            <w:vAlign w:val="center"/>
          </w:tcPr>
          <w:p w14:paraId="508C9D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1.0341</w:t>
            </w:r>
          </w:p>
        </w:tc>
        <w:tc>
          <w:tcPr>
            <w:tcW w:w="1134" w:type="dxa"/>
            <w:tcBorders>
              <w:top w:val="nil"/>
              <w:left w:val="nil"/>
              <w:bottom w:val="nil"/>
              <w:right w:val="nil"/>
            </w:tcBorders>
            <w:shd w:val="clear" w:color="auto" w:fill="FFFFFF"/>
            <w:tcMar>
              <w:left w:w="67" w:type="dxa"/>
              <w:right w:w="67" w:type="dxa"/>
            </w:tcMar>
            <w:vAlign w:val="center"/>
          </w:tcPr>
          <w:p w14:paraId="3D8307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w:t>
            </w:r>
          </w:p>
        </w:tc>
        <w:tc>
          <w:tcPr>
            <w:tcW w:w="567" w:type="dxa"/>
            <w:tcBorders>
              <w:top w:val="nil"/>
              <w:left w:val="nil"/>
              <w:bottom w:val="nil"/>
              <w:right w:val="nil"/>
            </w:tcBorders>
            <w:shd w:val="clear" w:color="auto" w:fill="FFFFFF"/>
            <w:tcMar>
              <w:left w:w="67" w:type="dxa"/>
              <w:right w:w="67" w:type="dxa"/>
            </w:tcMar>
            <w:vAlign w:val="center"/>
          </w:tcPr>
          <w:p w14:paraId="66B339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C4BA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0.4408</w:t>
            </w:r>
          </w:p>
        </w:tc>
      </w:tr>
      <w:tr w:rsidR="00B77EA3" w:rsidRPr="0082484A" w14:paraId="382DBD2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9C362D"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31D7185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3CE94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0.0041</w:t>
            </w:r>
          </w:p>
        </w:tc>
        <w:tc>
          <w:tcPr>
            <w:tcW w:w="1134" w:type="dxa"/>
            <w:tcBorders>
              <w:top w:val="nil"/>
              <w:left w:val="nil"/>
              <w:bottom w:val="nil"/>
              <w:right w:val="nil"/>
            </w:tcBorders>
            <w:shd w:val="clear" w:color="auto" w:fill="FFFFFF"/>
            <w:tcMar>
              <w:left w:w="67" w:type="dxa"/>
              <w:right w:w="67" w:type="dxa"/>
            </w:tcMar>
            <w:vAlign w:val="center"/>
          </w:tcPr>
          <w:p w14:paraId="4726E8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0.0068</w:t>
            </w:r>
          </w:p>
        </w:tc>
        <w:tc>
          <w:tcPr>
            <w:tcW w:w="1134" w:type="dxa"/>
            <w:tcBorders>
              <w:top w:val="nil"/>
              <w:left w:val="nil"/>
              <w:bottom w:val="nil"/>
              <w:right w:val="nil"/>
            </w:tcBorders>
            <w:shd w:val="clear" w:color="auto" w:fill="FFFFFF"/>
            <w:tcMar>
              <w:left w:w="67" w:type="dxa"/>
              <w:right w:w="67" w:type="dxa"/>
            </w:tcMar>
            <w:vAlign w:val="center"/>
          </w:tcPr>
          <w:p w14:paraId="3AA219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1.0041</w:t>
            </w:r>
          </w:p>
        </w:tc>
        <w:tc>
          <w:tcPr>
            <w:tcW w:w="1134" w:type="dxa"/>
            <w:tcBorders>
              <w:top w:val="nil"/>
              <w:left w:val="nil"/>
              <w:bottom w:val="nil"/>
              <w:right w:val="nil"/>
            </w:tcBorders>
            <w:shd w:val="clear" w:color="auto" w:fill="FFFFFF"/>
            <w:tcMar>
              <w:left w:w="67" w:type="dxa"/>
              <w:right w:w="67" w:type="dxa"/>
            </w:tcMar>
            <w:vAlign w:val="center"/>
          </w:tcPr>
          <w:p w14:paraId="77C607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0.9890</w:t>
            </w:r>
          </w:p>
        </w:tc>
        <w:tc>
          <w:tcPr>
            <w:tcW w:w="1134" w:type="dxa"/>
            <w:tcBorders>
              <w:top w:val="nil"/>
              <w:left w:val="nil"/>
              <w:bottom w:val="nil"/>
              <w:right w:val="nil"/>
            </w:tcBorders>
            <w:shd w:val="clear" w:color="auto" w:fill="FFFFFF"/>
            <w:tcMar>
              <w:left w:w="67" w:type="dxa"/>
              <w:right w:w="67" w:type="dxa"/>
            </w:tcMar>
            <w:vAlign w:val="center"/>
          </w:tcPr>
          <w:p w14:paraId="03085A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1.0195</w:t>
            </w:r>
          </w:p>
        </w:tc>
        <w:tc>
          <w:tcPr>
            <w:tcW w:w="1134" w:type="dxa"/>
            <w:tcBorders>
              <w:top w:val="nil"/>
              <w:left w:val="nil"/>
              <w:bottom w:val="nil"/>
              <w:right w:val="nil"/>
            </w:tcBorders>
            <w:shd w:val="clear" w:color="auto" w:fill="FFFFFF"/>
            <w:tcMar>
              <w:left w:w="67" w:type="dxa"/>
              <w:right w:w="67" w:type="dxa"/>
            </w:tcMar>
            <w:vAlign w:val="center"/>
          </w:tcPr>
          <w:p w14:paraId="728B95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w:t>
            </w:r>
          </w:p>
        </w:tc>
        <w:tc>
          <w:tcPr>
            <w:tcW w:w="567" w:type="dxa"/>
            <w:tcBorders>
              <w:top w:val="nil"/>
              <w:left w:val="nil"/>
              <w:bottom w:val="nil"/>
              <w:right w:val="nil"/>
            </w:tcBorders>
            <w:shd w:val="clear" w:color="auto" w:fill="FFFFFF"/>
            <w:tcMar>
              <w:left w:w="67" w:type="dxa"/>
              <w:right w:w="67" w:type="dxa"/>
            </w:tcMar>
            <w:vAlign w:val="center"/>
          </w:tcPr>
          <w:p w14:paraId="6FF197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5F2C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0.5462</w:t>
            </w:r>
          </w:p>
        </w:tc>
      </w:tr>
      <w:tr w:rsidR="00B77EA3" w:rsidRPr="0082484A" w14:paraId="3757A9CE"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DBDFA46"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C37345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CE07A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0.2406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ACC1C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37C4F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1.2720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31445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0.8169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BC084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1.9806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39636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1.49</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4C2D3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13FCA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0.2226</w:t>
            </w:r>
          </w:p>
        </w:tc>
      </w:tr>
    </w:tbl>
    <w:p w14:paraId="391A0BFE" w14:textId="77777777" w:rsidR="00B77EA3" w:rsidRPr="0082484A" w:rsidRDefault="00B77EA3" w:rsidP="00B77EA3">
      <w:pPr>
        <w:spacing w:before="0" w:after="160" w:line="259" w:lineRule="auto"/>
        <w:rPr>
          <w:sz w:val="22"/>
          <w:szCs w:val="22"/>
        </w:rPr>
      </w:pPr>
      <w:r w:rsidRPr="0082484A">
        <w:rPr>
          <w:sz w:val="22"/>
          <w:szCs w:val="22"/>
          <w:vertAlign w:val="superscript"/>
        </w:rPr>
        <w:t>a</w:t>
      </w:r>
      <w:r w:rsidRPr="0082484A">
        <w:rPr>
          <w:sz w:val="22"/>
          <w:szCs w:val="22"/>
        </w:rPr>
        <w:t xml:space="preserve"> The estimated number needed to treat to prevent one patient aged 65 years or over being prescribed a traditional oral NSAID and aspirin without co-prescription of gastro-protection is -51 </w:t>
      </w:r>
      <w:r w:rsidRPr="0082484A">
        <w:rPr>
          <w:sz w:val="22"/>
          <w:szCs w:val="22"/>
        </w:rPr>
        <w:br w:type="page"/>
      </w:r>
    </w:p>
    <w:p w14:paraId="374AE60B" w14:textId="3DB9B736" w:rsidR="00B77EA3" w:rsidRPr="0082484A" w:rsidRDefault="00B77EA3" w:rsidP="00B77EA3">
      <w:pPr>
        <w:spacing w:before="0" w:line="240" w:lineRule="auto"/>
        <w:rPr>
          <w:bCs/>
          <w:sz w:val="22"/>
          <w:szCs w:val="22"/>
        </w:rPr>
      </w:pPr>
      <w:bookmarkStart w:id="113" w:name="_Ref502917822"/>
      <w:bookmarkStart w:id="114" w:name="_Toc8728104"/>
      <w:bookmarkStart w:id="115" w:name="_Toc19526759"/>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30</w:t>
      </w:r>
      <w:r w:rsidRPr="0082484A">
        <w:rPr>
          <w:bCs/>
          <w:noProof/>
          <w:sz w:val="22"/>
          <w:szCs w:val="22"/>
        </w:rPr>
        <w:fldChar w:fldCharType="end"/>
      </w:r>
      <w:bookmarkEnd w:id="113"/>
      <w:r w:rsidRPr="0082484A">
        <w:rPr>
          <w:bCs/>
          <w:sz w:val="22"/>
          <w:szCs w:val="22"/>
        </w:rPr>
        <w:t>: Secondary outcome for Trial 1: Prescribing of aspirin and clopidogrel in patients aged 65 years or over without co-prescription of gastro-protection (WP4A)</w:t>
      </w:r>
      <w:r w:rsidRPr="0082484A">
        <w:rPr>
          <w:bCs/>
          <w:sz w:val="22"/>
          <w:szCs w:val="22"/>
          <w:vertAlign w:val="superscript"/>
        </w:rPr>
        <w:t xml:space="preserve"> a</w:t>
      </w:r>
      <w:bookmarkEnd w:id="114"/>
      <w:bookmarkEnd w:id="115"/>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2603E5BD"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F67F482"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21C0820"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87098D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2A4CC3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73C59B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14995B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028DF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00C0A0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E9803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0E8975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D0792C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E914F69"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27A0617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4EC8B3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-0.4715</w:t>
            </w:r>
          </w:p>
        </w:tc>
        <w:tc>
          <w:tcPr>
            <w:tcW w:w="1134" w:type="dxa"/>
            <w:tcBorders>
              <w:top w:val="nil"/>
              <w:left w:val="nil"/>
              <w:bottom w:val="nil"/>
              <w:right w:val="nil"/>
            </w:tcBorders>
            <w:shd w:val="clear" w:color="auto" w:fill="FFFFFF"/>
            <w:tcMar>
              <w:left w:w="67" w:type="dxa"/>
              <w:right w:w="67" w:type="dxa"/>
            </w:tcMar>
            <w:vAlign w:val="center"/>
          </w:tcPr>
          <w:p w14:paraId="048AE8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0.2039</w:t>
            </w:r>
          </w:p>
        </w:tc>
        <w:tc>
          <w:tcPr>
            <w:tcW w:w="1134" w:type="dxa"/>
            <w:tcBorders>
              <w:top w:val="nil"/>
              <w:left w:val="nil"/>
              <w:bottom w:val="nil"/>
              <w:right w:val="nil"/>
            </w:tcBorders>
            <w:shd w:val="clear" w:color="auto" w:fill="FFFFFF"/>
            <w:tcMar>
              <w:left w:w="67" w:type="dxa"/>
              <w:right w:w="67" w:type="dxa"/>
            </w:tcMar>
            <w:vAlign w:val="center"/>
          </w:tcPr>
          <w:p w14:paraId="600ECE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0.6241</w:t>
            </w:r>
          </w:p>
        </w:tc>
        <w:tc>
          <w:tcPr>
            <w:tcW w:w="1134" w:type="dxa"/>
            <w:tcBorders>
              <w:top w:val="nil"/>
              <w:left w:val="nil"/>
              <w:bottom w:val="nil"/>
              <w:right w:val="nil"/>
            </w:tcBorders>
            <w:shd w:val="clear" w:color="auto" w:fill="FFFFFF"/>
            <w:tcMar>
              <w:left w:w="67" w:type="dxa"/>
              <w:right w:w="67" w:type="dxa"/>
            </w:tcMar>
            <w:vAlign w:val="center"/>
          </w:tcPr>
          <w:p w14:paraId="331902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0.3947</w:t>
            </w:r>
          </w:p>
        </w:tc>
        <w:tc>
          <w:tcPr>
            <w:tcW w:w="1134" w:type="dxa"/>
            <w:tcBorders>
              <w:top w:val="nil"/>
              <w:left w:val="nil"/>
              <w:bottom w:val="nil"/>
              <w:right w:val="nil"/>
            </w:tcBorders>
            <w:shd w:val="clear" w:color="auto" w:fill="FFFFFF"/>
            <w:tcMar>
              <w:left w:w="67" w:type="dxa"/>
              <w:right w:w="67" w:type="dxa"/>
            </w:tcMar>
            <w:vAlign w:val="center"/>
          </w:tcPr>
          <w:p w14:paraId="6181BB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0.9866</w:t>
            </w:r>
          </w:p>
        </w:tc>
        <w:tc>
          <w:tcPr>
            <w:tcW w:w="1134" w:type="dxa"/>
            <w:tcBorders>
              <w:top w:val="nil"/>
              <w:left w:val="nil"/>
              <w:bottom w:val="nil"/>
              <w:right w:val="nil"/>
            </w:tcBorders>
            <w:shd w:val="clear" w:color="auto" w:fill="FFFFFF"/>
            <w:tcMar>
              <w:left w:w="67" w:type="dxa"/>
              <w:right w:w="67" w:type="dxa"/>
            </w:tcMar>
            <w:vAlign w:val="center"/>
          </w:tcPr>
          <w:p w14:paraId="4900E1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5.35</w:t>
            </w:r>
          </w:p>
        </w:tc>
        <w:tc>
          <w:tcPr>
            <w:tcW w:w="567" w:type="dxa"/>
            <w:tcBorders>
              <w:top w:val="nil"/>
              <w:left w:val="nil"/>
              <w:bottom w:val="nil"/>
              <w:right w:val="nil"/>
            </w:tcBorders>
            <w:shd w:val="clear" w:color="auto" w:fill="FFFFFF"/>
            <w:tcMar>
              <w:left w:w="67" w:type="dxa"/>
              <w:right w:w="67" w:type="dxa"/>
            </w:tcMar>
            <w:vAlign w:val="center"/>
          </w:tcPr>
          <w:p w14:paraId="41CB50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D22C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0.0210</w:t>
            </w:r>
          </w:p>
        </w:tc>
      </w:tr>
      <w:tr w:rsidR="00B77EA3" w:rsidRPr="0082484A" w14:paraId="4A917F5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96B828"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2F23A48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56BD2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147BCF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0.1672</w:t>
            </w:r>
          </w:p>
        </w:tc>
        <w:tc>
          <w:tcPr>
            <w:tcW w:w="1134" w:type="dxa"/>
            <w:tcBorders>
              <w:top w:val="nil"/>
              <w:left w:val="nil"/>
              <w:bottom w:val="nil"/>
              <w:right w:val="nil"/>
            </w:tcBorders>
            <w:shd w:val="clear" w:color="auto" w:fill="FFFFFF"/>
            <w:tcMar>
              <w:left w:w="67" w:type="dxa"/>
              <w:right w:w="67" w:type="dxa"/>
            </w:tcMar>
            <w:vAlign w:val="center"/>
          </w:tcPr>
          <w:p w14:paraId="6CDD65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0.9987</w:t>
            </w:r>
          </w:p>
        </w:tc>
        <w:tc>
          <w:tcPr>
            <w:tcW w:w="1134" w:type="dxa"/>
            <w:tcBorders>
              <w:top w:val="nil"/>
              <w:left w:val="nil"/>
              <w:bottom w:val="nil"/>
              <w:right w:val="nil"/>
            </w:tcBorders>
            <w:shd w:val="clear" w:color="auto" w:fill="FFFFFF"/>
            <w:tcMar>
              <w:left w:w="67" w:type="dxa"/>
              <w:right w:w="67" w:type="dxa"/>
            </w:tcMar>
            <w:vAlign w:val="center"/>
          </w:tcPr>
          <w:p w14:paraId="048898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0.6860</w:t>
            </w:r>
          </w:p>
        </w:tc>
        <w:tc>
          <w:tcPr>
            <w:tcW w:w="1134" w:type="dxa"/>
            <w:tcBorders>
              <w:top w:val="nil"/>
              <w:left w:val="nil"/>
              <w:bottom w:val="nil"/>
              <w:right w:val="nil"/>
            </w:tcBorders>
            <w:shd w:val="clear" w:color="auto" w:fill="FFFFFF"/>
            <w:tcMar>
              <w:left w:w="67" w:type="dxa"/>
              <w:right w:w="67" w:type="dxa"/>
            </w:tcMar>
            <w:vAlign w:val="center"/>
          </w:tcPr>
          <w:p w14:paraId="0760B5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1.4540</w:t>
            </w:r>
          </w:p>
        </w:tc>
        <w:tc>
          <w:tcPr>
            <w:tcW w:w="1134" w:type="dxa"/>
            <w:tcBorders>
              <w:top w:val="nil"/>
              <w:left w:val="nil"/>
              <w:bottom w:val="nil"/>
              <w:right w:val="nil"/>
            </w:tcBorders>
            <w:shd w:val="clear" w:color="auto" w:fill="FFFFFF"/>
            <w:tcMar>
              <w:left w:w="67" w:type="dxa"/>
              <w:right w:w="67" w:type="dxa"/>
            </w:tcMar>
            <w:vAlign w:val="center"/>
          </w:tcPr>
          <w:p w14:paraId="242BB8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3C64A6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C4A54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0.9937</w:t>
            </w:r>
          </w:p>
        </w:tc>
      </w:tr>
      <w:tr w:rsidR="00B77EA3" w:rsidRPr="0082484A" w14:paraId="2D00E4F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CE22D0"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611A5DFA"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B9426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-0.0108</w:t>
            </w:r>
          </w:p>
        </w:tc>
        <w:tc>
          <w:tcPr>
            <w:tcW w:w="1134" w:type="dxa"/>
            <w:tcBorders>
              <w:top w:val="nil"/>
              <w:left w:val="nil"/>
              <w:bottom w:val="nil"/>
              <w:right w:val="nil"/>
            </w:tcBorders>
            <w:shd w:val="clear" w:color="auto" w:fill="FFFFFF"/>
            <w:tcMar>
              <w:left w:w="67" w:type="dxa"/>
              <w:right w:w="67" w:type="dxa"/>
            </w:tcMar>
            <w:vAlign w:val="center"/>
          </w:tcPr>
          <w:p w14:paraId="0D97A3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0.0108</w:t>
            </w:r>
          </w:p>
        </w:tc>
        <w:tc>
          <w:tcPr>
            <w:tcW w:w="1134" w:type="dxa"/>
            <w:tcBorders>
              <w:top w:val="nil"/>
              <w:left w:val="nil"/>
              <w:bottom w:val="nil"/>
              <w:right w:val="nil"/>
            </w:tcBorders>
            <w:shd w:val="clear" w:color="auto" w:fill="FFFFFF"/>
            <w:tcMar>
              <w:left w:w="67" w:type="dxa"/>
              <w:right w:w="67" w:type="dxa"/>
            </w:tcMar>
            <w:vAlign w:val="center"/>
          </w:tcPr>
          <w:p w14:paraId="0D749C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0.9893</w:t>
            </w:r>
          </w:p>
        </w:tc>
        <w:tc>
          <w:tcPr>
            <w:tcW w:w="1134" w:type="dxa"/>
            <w:tcBorders>
              <w:top w:val="nil"/>
              <w:left w:val="nil"/>
              <w:bottom w:val="nil"/>
              <w:right w:val="nil"/>
            </w:tcBorders>
            <w:shd w:val="clear" w:color="auto" w:fill="FFFFFF"/>
            <w:tcMar>
              <w:left w:w="67" w:type="dxa"/>
              <w:right w:w="67" w:type="dxa"/>
            </w:tcMar>
            <w:vAlign w:val="center"/>
          </w:tcPr>
          <w:p w14:paraId="4DAEA6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0.9654</w:t>
            </w:r>
          </w:p>
        </w:tc>
        <w:tc>
          <w:tcPr>
            <w:tcW w:w="1134" w:type="dxa"/>
            <w:tcBorders>
              <w:top w:val="nil"/>
              <w:left w:val="nil"/>
              <w:bottom w:val="nil"/>
              <w:right w:val="nil"/>
            </w:tcBorders>
            <w:shd w:val="clear" w:color="auto" w:fill="FFFFFF"/>
            <w:tcMar>
              <w:left w:w="67" w:type="dxa"/>
              <w:right w:w="67" w:type="dxa"/>
            </w:tcMar>
            <w:vAlign w:val="center"/>
          </w:tcPr>
          <w:p w14:paraId="4040F4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1.0137</w:t>
            </w:r>
          </w:p>
        </w:tc>
        <w:tc>
          <w:tcPr>
            <w:tcW w:w="1134" w:type="dxa"/>
            <w:tcBorders>
              <w:top w:val="nil"/>
              <w:left w:val="nil"/>
              <w:bottom w:val="nil"/>
              <w:right w:val="nil"/>
            </w:tcBorders>
            <w:shd w:val="clear" w:color="auto" w:fill="FFFFFF"/>
            <w:tcMar>
              <w:left w:w="67" w:type="dxa"/>
              <w:right w:w="67" w:type="dxa"/>
            </w:tcMar>
            <w:vAlign w:val="center"/>
          </w:tcPr>
          <w:p w14:paraId="16E2C6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w:t>
            </w:r>
          </w:p>
        </w:tc>
        <w:tc>
          <w:tcPr>
            <w:tcW w:w="567" w:type="dxa"/>
            <w:tcBorders>
              <w:top w:val="nil"/>
              <w:left w:val="nil"/>
              <w:bottom w:val="nil"/>
              <w:right w:val="nil"/>
            </w:tcBorders>
            <w:shd w:val="clear" w:color="auto" w:fill="FFFFFF"/>
            <w:tcMar>
              <w:left w:w="67" w:type="dxa"/>
              <w:right w:w="67" w:type="dxa"/>
            </w:tcMar>
            <w:vAlign w:val="center"/>
          </w:tcPr>
          <w:p w14:paraId="14E0F4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099E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0.3198</w:t>
            </w:r>
          </w:p>
        </w:tc>
      </w:tr>
      <w:tr w:rsidR="00B77EA3" w:rsidRPr="0082484A" w14:paraId="29FD275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5B95F8"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52950935"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A8F26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20BEF3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58A2C1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76DC58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0.9943</w:t>
            </w:r>
          </w:p>
        </w:tc>
        <w:tc>
          <w:tcPr>
            <w:tcW w:w="1134" w:type="dxa"/>
            <w:tcBorders>
              <w:top w:val="nil"/>
              <w:left w:val="nil"/>
              <w:bottom w:val="nil"/>
              <w:right w:val="nil"/>
            </w:tcBorders>
            <w:shd w:val="clear" w:color="auto" w:fill="FFFFFF"/>
            <w:tcMar>
              <w:left w:w="67" w:type="dxa"/>
              <w:right w:w="67" w:type="dxa"/>
            </w:tcMar>
            <w:vAlign w:val="center"/>
          </w:tcPr>
          <w:p w14:paraId="7E33F6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1.0091</w:t>
            </w:r>
          </w:p>
        </w:tc>
        <w:tc>
          <w:tcPr>
            <w:tcW w:w="1134" w:type="dxa"/>
            <w:tcBorders>
              <w:top w:val="nil"/>
              <w:left w:val="nil"/>
              <w:bottom w:val="nil"/>
              <w:right w:val="nil"/>
            </w:tcBorders>
            <w:shd w:val="clear" w:color="auto" w:fill="FFFFFF"/>
            <w:tcMar>
              <w:left w:w="67" w:type="dxa"/>
              <w:right w:w="67" w:type="dxa"/>
            </w:tcMar>
            <w:vAlign w:val="center"/>
          </w:tcPr>
          <w:p w14:paraId="2A931A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w:t>
            </w:r>
          </w:p>
        </w:tc>
        <w:tc>
          <w:tcPr>
            <w:tcW w:w="567" w:type="dxa"/>
            <w:tcBorders>
              <w:top w:val="nil"/>
              <w:left w:val="nil"/>
              <w:bottom w:val="nil"/>
              <w:right w:val="nil"/>
            </w:tcBorders>
            <w:shd w:val="clear" w:color="auto" w:fill="FFFFFF"/>
            <w:tcMar>
              <w:left w:w="67" w:type="dxa"/>
              <w:right w:w="67" w:type="dxa"/>
            </w:tcMar>
            <w:vAlign w:val="center"/>
          </w:tcPr>
          <w:p w14:paraId="686A08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D665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0.6121</w:t>
            </w:r>
          </w:p>
        </w:tc>
      </w:tr>
      <w:tr w:rsidR="00B77EA3" w:rsidRPr="0082484A" w14:paraId="4F4263A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FDBF9C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0AC6D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97C49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0.0385</w:t>
            </w:r>
          </w:p>
        </w:tc>
        <w:tc>
          <w:tcPr>
            <w:tcW w:w="1134" w:type="dxa"/>
            <w:tcBorders>
              <w:top w:val="nil"/>
              <w:left w:val="nil"/>
              <w:bottom w:val="nil"/>
              <w:right w:val="nil"/>
            </w:tcBorders>
            <w:shd w:val="clear" w:color="auto" w:fill="FFFFFF"/>
            <w:tcMar>
              <w:left w:w="67" w:type="dxa"/>
              <w:right w:w="67" w:type="dxa"/>
            </w:tcMar>
            <w:vAlign w:val="center"/>
          </w:tcPr>
          <w:p w14:paraId="600A80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0.4556</w:t>
            </w:r>
          </w:p>
        </w:tc>
        <w:tc>
          <w:tcPr>
            <w:tcW w:w="1134" w:type="dxa"/>
            <w:tcBorders>
              <w:top w:val="nil"/>
              <w:left w:val="nil"/>
              <w:bottom w:val="nil"/>
              <w:right w:val="nil"/>
            </w:tcBorders>
            <w:shd w:val="clear" w:color="auto" w:fill="FFFFFF"/>
            <w:tcMar>
              <w:left w:w="67" w:type="dxa"/>
              <w:right w:w="67" w:type="dxa"/>
            </w:tcMar>
            <w:vAlign w:val="center"/>
          </w:tcPr>
          <w:p w14:paraId="0DF3DB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1.0392</w:t>
            </w:r>
          </w:p>
        </w:tc>
        <w:tc>
          <w:tcPr>
            <w:tcW w:w="1134" w:type="dxa"/>
            <w:tcBorders>
              <w:top w:val="nil"/>
              <w:left w:val="nil"/>
              <w:bottom w:val="nil"/>
              <w:right w:val="nil"/>
            </w:tcBorders>
            <w:shd w:val="clear" w:color="auto" w:fill="FFFFFF"/>
            <w:tcMar>
              <w:left w:w="67" w:type="dxa"/>
              <w:right w:w="67" w:type="dxa"/>
            </w:tcMar>
            <w:vAlign w:val="center"/>
          </w:tcPr>
          <w:p w14:paraId="5F3F45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0.3734</w:t>
            </w:r>
          </w:p>
        </w:tc>
        <w:tc>
          <w:tcPr>
            <w:tcW w:w="1134" w:type="dxa"/>
            <w:tcBorders>
              <w:top w:val="nil"/>
              <w:left w:val="nil"/>
              <w:bottom w:val="nil"/>
              <w:right w:val="nil"/>
            </w:tcBorders>
            <w:shd w:val="clear" w:color="auto" w:fill="FFFFFF"/>
            <w:tcMar>
              <w:left w:w="67" w:type="dxa"/>
              <w:right w:w="67" w:type="dxa"/>
            </w:tcMar>
            <w:vAlign w:val="center"/>
          </w:tcPr>
          <w:p w14:paraId="19688D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2.8921</w:t>
            </w:r>
          </w:p>
        </w:tc>
        <w:tc>
          <w:tcPr>
            <w:tcW w:w="1134" w:type="dxa"/>
            <w:tcBorders>
              <w:top w:val="nil"/>
              <w:left w:val="nil"/>
              <w:bottom w:val="nil"/>
              <w:right w:val="nil"/>
            </w:tcBorders>
            <w:shd w:val="clear" w:color="auto" w:fill="FFFFFF"/>
            <w:tcMar>
              <w:left w:w="67" w:type="dxa"/>
              <w:right w:w="67" w:type="dxa"/>
            </w:tcMar>
            <w:vAlign w:val="center"/>
          </w:tcPr>
          <w:p w14:paraId="5B187D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w:t>
            </w:r>
          </w:p>
        </w:tc>
        <w:tc>
          <w:tcPr>
            <w:tcW w:w="567" w:type="dxa"/>
            <w:tcBorders>
              <w:top w:val="nil"/>
              <w:left w:val="nil"/>
              <w:bottom w:val="nil"/>
              <w:right w:val="nil"/>
            </w:tcBorders>
            <w:shd w:val="clear" w:color="auto" w:fill="FFFFFF"/>
            <w:tcMar>
              <w:left w:w="67" w:type="dxa"/>
              <w:right w:w="67" w:type="dxa"/>
            </w:tcMar>
            <w:vAlign w:val="center"/>
          </w:tcPr>
          <w:p w14:paraId="55854D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5F190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0.9086</w:t>
            </w:r>
          </w:p>
        </w:tc>
      </w:tr>
      <w:tr w:rsidR="00B77EA3" w:rsidRPr="0082484A" w14:paraId="564E67E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F705E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FAADDF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9112A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-0.4410</w:t>
            </w:r>
          </w:p>
        </w:tc>
        <w:tc>
          <w:tcPr>
            <w:tcW w:w="1134" w:type="dxa"/>
            <w:tcBorders>
              <w:top w:val="nil"/>
              <w:left w:val="nil"/>
              <w:bottom w:val="nil"/>
              <w:right w:val="nil"/>
            </w:tcBorders>
            <w:shd w:val="clear" w:color="auto" w:fill="FFFFFF"/>
            <w:tcMar>
              <w:left w:w="67" w:type="dxa"/>
              <w:right w:w="67" w:type="dxa"/>
            </w:tcMar>
            <w:vAlign w:val="center"/>
          </w:tcPr>
          <w:p w14:paraId="629E73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0.7295</w:t>
            </w:r>
          </w:p>
        </w:tc>
        <w:tc>
          <w:tcPr>
            <w:tcW w:w="1134" w:type="dxa"/>
            <w:tcBorders>
              <w:top w:val="nil"/>
              <w:left w:val="nil"/>
              <w:bottom w:val="nil"/>
              <w:right w:val="nil"/>
            </w:tcBorders>
            <w:shd w:val="clear" w:color="auto" w:fill="FFFFFF"/>
            <w:tcMar>
              <w:left w:w="67" w:type="dxa"/>
              <w:right w:w="67" w:type="dxa"/>
            </w:tcMar>
            <w:vAlign w:val="center"/>
          </w:tcPr>
          <w:p w14:paraId="73C1FB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0.6434</w:t>
            </w:r>
          </w:p>
        </w:tc>
        <w:tc>
          <w:tcPr>
            <w:tcW w:w="1134" w:type="dxa"/>
            <w:tcBorders>
              <w:top w:val="nil"/>
              <w:left w:val="nil"/>
              <w:bottom w:val="nil"/>
              <w:right w:val="nil"/>
            </w:tcBorders>
            <w:shd w:val="clear" w:color="auto" w:fill="FFFFFF"/>
            <w:tcMar>
              <w:left w:w="67" w:type="dxa"/>
              <w:right w:w="67" w:type="dxa"/>
            </w:tcMar>
            <w:vAlign w:val="center"/>
          </w:tcPr>
          <w:p w14:paraId="73CAC2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0.1250</w:t>
            </w:r>
          </w:p>
        </w:tc>
        <w:tc>
          <w:tcPr>
            <w:tcW w:w="1134" w:type="dxa"/>
            <w:tcBorders>
              <w:top w:val="nil"/>
              <w:left w:val="nil"/>
              <w:bottom w:val="nil"/>
              <w:right w:val="nil"/>
            </w:tcBorders>
            <w:shd w:val="clear" w:color="auto" w:fill="FFFFFF"/>
            <w:tcMar>
              <w:left w:w="67" w:type="dxa"/>
              <w:right w:w="67" w:type="dxa"/>
            </w:tcMar>
            <w:vAlign w:val="center"/>
          </w:tcPr>
          <w:p w14:paraId="449E23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3.3125</w:t>
            </w:r>
          </w:p>
        </w:tc>
        <w:tc>
          <w:tcPr>
            <w:tcW w:w="1134" w:type="dxa"/>
            <w:tcBorders>
              <w:top w:val="nil"/>
              <w:left w:val="nil"/>
              <w:bottom w:val="nil"/>
              <w:right w:val="nil"/>
            </w:tcBorders>
            <w:shd w:val="clear" w:color="auto" w:fill="FFFFFF"/>
            <w:tcMar>
              <w:left w:w="67" w:type="dxa"/>
              <w:right w:w="67" w:type="dxa"/>
            </w:tcMar>
            <w:vAlign w:val="center"/>
          </w:tcPr>
          <w:p w14:paraId="01C3F68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D598D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56783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44FC80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F4593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0E6B9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14261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0.0386</w:t>
            </w:r>
          </w:p>
        </w:tc>
        <w:tc>
          <w:tcPr>
            <w:tcW w:w="1134" w:type="dxa"/>
            <w:tcBorders>
              <w:top w:val="nil"/>
              <w:left w:val="nil"/>
              <w:bottom w:val="nil"/>
              <w:right w:val="nil"/>
            </w:tcBorders>
            <w:shd w:val="clear" w:color="auto" w:fill="FFFFFF"/>
            <w:tcMar>
              <w:left w:w="67" w:type="dxa"/>
              <w:right w:w="67" w:type="dxa"/>
            </w:tcMar>
            <w:vAlign w:val="center"/>
          </w:tcPr>
          <w:p w14:paraId="7AB405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0.3685</w:t>
            </w:r>
          </w:p>
        </w:tc>
        <w:tc>
          <w:tcPr>
            <w:tcW w:w="1134" w:type="dxa"/>
            <w:tcBorders>
              <w:top w:val="nil"/>
              <w:left w:val="nil"/>
              <w:bottom w:val="nil"/>
              <w:right w:val="nil"/>
            </w:tcBorders>
            <w:shd w:val="clear" w:color="auto" w:fill="FFFFFF"/>
            <w:tcMar>
              <w:left w:w="67" w:type="dxa"/>
              <w:right w:w="67" w:type="dxa"/>
            </w:tcMar>
            <w:vAlign w:val="center"/>
          </w:tcPr>
          <w:p w14:paraId="6737C3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1.0393</w:t>
            </w:r>
          </w:p>
        </w:tc>
        <w:tc>
          <w:tcPr>
            <w:tcW w:w="1134" w:type="dxa"/>
            <w:tcBorders>
              <w:top w:val="nil"/>
              <w:left w:val="nil"/>
              <w:bottom w:val="nil"/>
              <w:right w:val="nil"/>
            </w:tcBorders>
            <w:shd w:val="clear" w:color="auto" w:fill="FFFFFF"/>
            <w:tcMar>
              <w:left w:w="67" w:type="dxa"/>
              <w:right w:w="67" w:type="dxa"/>
            </w:tcMar>
            <w:vAlign w:val="center"/>
          </w:tcPr>
          <w:p w14:paraId="6152EC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0.4542</w:t>
            </w:r>
          </w:p>
        </w:tc>
        <w:tc>
          <w:tcPr>
            <w:tcW w:w="1134" w:type="dxa"/>
            <w:tcBorders>
              <w:top w:val="nil"/>
              <w:left w:val="nil"/>
              <w:bottom w:val="nil"/>
              <w:right w:val="nil"/>
            </w:tcBorders>
            <w:shd w:val="clear" w:color="auto" w:fill="FFFFFF"/>
            <w:tcMar>
              <w:left w:w="67" w:type="dxa"/>
              <w:right w:w="67" w:type="dxa"/>
            </w:tcMar>
            <w:vAlign w:val="center"/>
          </w:tcPr>
          <w:p w14:paraId="453F01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2.3782</w:t>
            </w:r>
          </w:p>
        </w:tc>
        <w:tc>
          <w:tcPr>
            <w:tcW w:w="1134" w:type="dxa"/>
            <w:tcBorders>
              <w:top w:val="nil"/>
              <w:left w:val="nil"/>
              <w:bottom w:val="nil"/>
              <w:right w:val="nil"/>
            </w:tcBorders>
            <w:shd w:val="clear" w:color="auto" w:fill="FFFFFF"/>
            <w:tcMar>
              <w:left w:w="67" w:type="dxa"/>
              <w:right w:w="67" w:type="dxa"/>
            </w:tcMar>
            <w:vAlign w:val="center"/>
          </w:tcPr>
          <w:p w14:paraId="1D354DE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0F93E8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E084B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4E38E5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3BA92B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79A15F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D4AA9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-0.1451</w:t>
            </w:r>
          </w:p>
        </w:tc>
        <w:tc>
          <w:tcPr>
            <w:tcW w:w="1134" w:type="dxa"/>
            <w:tcBorders>
              <w:top w:val="nil"/>
              <w:left w:val="nil"/>
              <w:bottom w:val="nil"/>
              <w:right w:val="nil"/>
            </w:tcBorders>
            <w:shd w:val="clear" w:color="auto" w:fill="FFFFFF"/>
            <w:tcMar>
              <w:left w:w="67" w:type="dxa"/>
              <w:right w:w="67" w:type="dxa"/>
            </w:tcMar>
            <w:vAlign w:val="center"/>
          </w:tcPr>
          <w:p w14:paraId="1467F3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0.4723</w:t>
            </w:r>
          </w:p>
        </w:tc>
        <w:tc>
          <w:tcPr>
            <w:tcW w:w="1134" w:type="dxa"/>
            <w:tcBorders>
              <w:top w:val="nil"/>
              <w:left w:val="nil"/>
              <w:bottom w:val="nil"/>
              <w:right w:val="nil"/>
            </w:tcBorders>
            <w:shd w:val="clear" w:color="auto" w:fill="FFFFFF"/>
            <w:tcMar>
              <w:left w:w="67" w:type="dxa"/>
              <w:right w:w="67" w:type="dxa"/>
            </w:tcMar>
            <w:vAlign w:val="center"/>
          </w:tcPr>
          <w:p w14:paraId="73059A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0.8649</w:t>
            </w:r>
          </w:p>
        </w:tc>
        <w:tc>
          <w:tcPr>
            <w:tcW w:w="1134" w:type="dxa"/>
            <w:tcBorders>
              <w:top w:val="nil"/>
              <w:left w:val="nil"/>
              <w:bottom w:val="nil"/>
              <w:right w:val="nil"/>
            </w:tcBorders>
            <w:shd w:val="clear" w:color="auto" w:fill="FFFFFF"/>
            <w:tcMar>
              <w:left w:w="67" w:type="dxa"/>
              <w:right w:w="67" w:type="dxa"/>
            </w:tcMar>
            <w:vAlign w:val="center"/>
          </w:tcPr>
          <w:p w14:paraId="3908AE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0.2994</w:t>
            </w:r>
          </w:p>
        </w:tc>
        <w:tc>
          <w:tcPr>
            <w:tcW w:w="1134" w:type="dxa"/>
            <w:tcBorders>
              <w:top w:val="nil"/>
              <w:left w:val="nil"/>
              <w:bottom w:val="nil"/>
              <w:right w:val="nil"/>
            </w:tcBorders>
            <w:shd w:val="clear" w:color="auto" w:fill="FFFFFF"/>
            <w:tcMar>
              <w:left w:w="67" w:type="dxa"/>
              <w:right w:w="67" w:type="dxa"/>
            </w:tcMar>
            <w:vAlign w:val="center"/>
          </w:tcPr>
          <w:p w14:paraId="1D2328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2.4990</w:t>
            </w:r>
          </w:p>
        </w:tc>
        <w:tc>
          <w:tcPr>
            <w:tcW w:w="1134" w:type="dxa"/>
            <w:tcBorders>
              <w:top w:val="nil"/>
              <w:left w:val="nil"/>
              <w:bottom w:val="nil"/>
              <w:right w:val="nil"/>
            </w:tcBorders>
            <w:shd w:val="clear" w:color="auto" w:fill="FFFFFF"/>
            <w:tcMar>
              <w:left w:w="67" w:type="dxa"/>
              <w:right w:w="67" w:type="dxa"/>
            </w:tcMar>
            <w:vAlign w:val="center"/>
          </w:tcPr>
          <w:p w14:paraId="68D1B84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0986DB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B5D61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DA223A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D98DB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D1E364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B149C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0.3043</w:t>
            </w:r>
          </w:p>
        </w:tc>
        <w:tc>
          <w:tcPr>
            <w:tcW w:w="1134" w:type="dxa"/>
            <w:tcBorders>
              <w:top w:val="nil"/>
              <w:left w:val="nil"/>
              <w:bottom w:val="nil"/>
              <w:right w:val="nil"/>
            </w:tcBorders>
            <w:shd w:val="clear" w:color="auto" w:fill="FFFFFF"/>
            <w:tcMar>
              <w:left w:w="67" w:type="dxa"/>
              <w:right w:w="67" w:type="dxa"/>
            </w:tcMar>
            <w:vAlign w:val="center"/>
          </w:tcPr>
          <w:p w14:paraId="00C6C2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0.5032</w:t>
            </w:r>
          </w:p>
        </w:tc>
        <w:tc>
          <w:tcPr>
            <w:tcW w:w="1134" w:type="dxa"/>
            <w:tcBorders>
              <w:top w:val="nil"/>
              <w:left w:val="nil"/>
              <w:bottom w:val="nil"/>
              <w:right w:val="nil"/>
            </w:tcBorders>
            <w:shd w:val="clear" w:color="auto" w:fill="FFFFFF"/>
            <w:tcMar>
              <w:left w:w="67" w:type="dxa"/>
              <w:right w:w="67" w:type="dxa"/>
            </w:tcMar>
            <w:vAlign w:val="center"/>
          </w:tcPr>
          <w:p w14:paraId="642E52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1.3557</w:t>
            </w:r>
          </w:p>
        </w:tc>
        <w:tc>
          <w:tcPr>
            <w:tcW w:w="1134" w:type="dxa"/>
            <w:tcBorders>
              <w:top w:val="nil"/>
              <w:left w:val="nil"/>
              <w:bottom w:val="nil"/>
              <w:right w:val="nil"/>
            </w:tcBorders>
            <w:shd w:val="clear" w:color="auto" w:fill="FFFFFF"/>
            <w:tcMar>
              <w:left w:w="67" w:type="dxa"/>
              <w:right w:w="67" w:type="dxa"/>
            </w:tcMar>
            <w:vAlign w:val="center"/>
          </w:tcPr>
          <w:p w14:paraId="601FFD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0.4377</w:t>
            </w:r>
          </w:p>
        </w:tc>
        <w:tc>
          <w:tcPr>
            <w:tcW w:w="1134" w:type="dxa"/>
            <w:tcBorders>
              <w:top w:val="nil"/>
              <w:left w:val="nil"/>
              <w:bottom w:val="nil"/>
              <w:right w:val="nil"/>
            </w:tcBorders>
            <w:shd w:val="clear" w:color="auto" w:fill="FFFFFF"/>
            <w:tcMar>
              <w:left w:w="67" w:type="dxa"/>
              <w:right w:w="67" w:type="dxa"/>
            </w:tcMar>
            <w:vAlign w:val="center"/>
          </w:tcPr>
          <w:p w14:paraId="465B45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4.1987</w:t>
            </w:r>
          </w:p>
        </w:tc>
        <w:tc>
          <w:tcPr>
            <w:tcW w:w="1134" w:type="dxa"/>
            <w:tcBorders>
              <w:top w:val="nil"/>
              <w:left w:val="nil"/>
              <w:bottom w:val="nil"/>
              <w:right w:val="nil"/>
            </w:tcBorders>
            <w:shd w:val="clear" w:color="auto" w:fill="FFFFFF"/>
            <w:tcMar>
              <w:left w:w="67" w:type="dxa"/>
              <w:right w:w="67" w:type="dxa"/>
            </w:tcMar>
            <w:vAlign w:val="center"/>
          </w:tcPr>
          <w:p w14:paraId="368A0CD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91C9E6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F4C12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63FF26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3E592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2EF938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BFA56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-0.6001</w:t>
            </w:r>
          </w:p>
        </w:tc>
        <w:tc>
          <w:tcPr>
            <w:tcW w:w="1134" w:type="dxa"/>
            <w:tcBorders>
              <w:top w:val="nil"/>
              <w:left w:val="nil"/>
              <w:bottom w:val="nil"/>
              <w:right w:val="nil"/>
            </w:tcBorders>
            <w:shd w:val="clear" w:color="auto" w:fill="FFFFFF"/>
            <w:tcMar>
              <w:left w:w="67" w:type="dxa"/>
              <w:right w:w="67" w:type="dxa"/>
            </w:tcMar>
            <w:vAlign w:val="center"/>
          </w:tcPr>
          <w:p w14:paraId="1DE518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0.5568</w:t>
            </w:r>
          </w:p>
        </w:tc>
        <w:tc>
          <w:tcPr>
            <w:tcW w:w="1134" w:type="dxa"/>
            <w:tcBorders>
              <w:top w:val="nil"/>
              <w:left w:val="nil"/>
              <w:bottom w:val="nil"/>
              <w:right w:val="nil"/>
            </w:tcBorders>
            <w:shd w:val="clear" w:color="auto" w:fill="FFFFFF"/>
            <w:tcMar>
              <w:left w:w="67" w:type="dxa"/>
              <w:right w:w="67" w:type="dxa"/>
            </w:tcMar>
            <w:vAlign w:val="center"/>
          </w:tcPr>
          <w:p w14:paraId="78E75A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0.5488</w:t>
            </w:r>
          </w:p>
        </w:tc>
        <w:tc>
          <w:tcPr>
            <w:tcW w:w="1134" w:type="dxa"/>
            <w:tcBorders>
              <w:top w:val="nil"/>
              <w:left w:val="nil"/>
              <w:bottom w:val="nil"/>
              <w:right w:val="nil"/>
            </w:tcBorders>
            <w:shd w:val="clear" w:color="auto" w:fill="FFFFFF"/>
            <w:tcMar>
              <w:left w:w="67" w:type="dxa"/>
              <w:right w:w="67" w:type="dxa"/>
            </w:tcMar>
            <w:vAlign w:val="center"/>
          </w:tcPr>
          <w:p w14:paraId="5E943E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0.1571</w:t>
            </w:r>
          </w:p>
        </w:tc>
        <w:tc>
          <w:tcPr>
            <w:tcW w:w="1134" w:type="dxa"/>
            <w:tcBorders>
              <w:top w:val="nil"/>
              <w:left w:val="nil"/>
              <w:bottom w:val="nil"/>
              <w:right w:val="nil"/>
            </w:tcBorders>
            <w:shd w:val="clear" w:color="auto" w:fill="FFFFFF"/>
            <w:tcMar>
              <w:left w:w="67" w:type="dxa"/>
              <w:right w:w="67" w:type="dxa"/>
            </w:tcMar>
            <w:vAlign w:val="center"/>
          </w:tcPr>
          <w:p w14:paraId="7822F3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1.9169</w:t>
            </w:r>
          </w:p>
        </w:tc>
        <w:tc>
          <w:tcPr>
            <w:tcW w:w="1134" w:type="dxa"/>
            <w:tcBorders>
              <w:top w:val="nil"/>
              <w:left w:val="nil"/>
              <w:bottom w:val="nil"/>
              <w:right w:val="nil"/>
            </w:tcBorders>
            <w:shd w:val="clear" w:color="auto" w:fill="FFFFFF"/>
            <w:tcMar>
              <w:left w:w="67" w:type="dxa"/>
              <w:right w:w="67" w:type="dxa"/>
            </w:tcMar>
            <w:vAlign w:val="center"/>
          </w:tcPr>
          <w:p w14:paraId="6FE778C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11B95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8FF53D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1459CB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E44874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606B1C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9DE99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-0.2035</w:t>
            </w:r>
          </w:p>
        </w:tc>
        <w:tc>
          <w:tcPr>
            <w:tcW w:w="1134" w:type="dxa"/>
            <w:tcBorders>
              <w:top w:val="nil"/>
              <w:left w:val="nil"/>
              <w:bottom w:val="nil"/>
              <w:right w:val="nil"/>
            </w:tcBorders>
            <w:shd w:val="clear" w:color="auto" w:fill="FFFFFF"/>
            <w:tcMar>
              <w:left w:w="67" w:type="dxa"/>
              <w:right w:w="67" w:type="dxa"/>
            </w:tcMar>
            <w:vAlign w:val="center"/>
          </w:tcPr>
          <w:p w14:paraId="5BB484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0.4700</w:t>
            </w:r>
          </w:p>
        </w:tc>
        <w:tc>
          <w:tcPr>
            <w:tcW w:w="1134" w:type="dxa"/>
            <w:tcBorders>
              <w:top w:val="nil"/>
              <w:left w:val="nil"/>
              <w:bottom w:val="nil"/>
              <w:right w:val="nil"/>
            </w:tcBorders>
            <w:shd w:val="clear" w:color="auto" w:fill="FFFFFF"/>
            <w:tcMar>
              <w:left w:w="67" w:type="dxa"/>
              <w:right w:w="67" w:type="dxa"/>
            </w:tcMar>
            <w:vAlign w:val="center"/>
          </w:tcPr>
          <w:p w14:paraId="373A76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0.8158</w:t>
            </w:r>
          </w:p>
        </w:tc>
        <w:tc>
          <w:tcPr>
            <w:tcW w:w="1134" w:type="dxa"/>
            <w:tcBorders>
              <w:top w:val="nil"/>
              <w:left w:val="nil"/>
              <w:bottom w:val="nil"/>
              <w:right w:val="nil"/>
            </w:tcBorders>
            <w:shd w:val="clear" w:color="auto" w:fill="FFFFFF"/>
            <w:tcMar>
              <w:left w:w="67" w:type="dxa"/>
              <w:right w:w="67" w:type="dxa"/>
            </w:tcMar>
            <w:vAlign w:val="center"/>
          </w:tcPr>
          <w:p w14:paraId="58D0E6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0.2838</w:t>
            </w:r>
          </w:p>
        </w:tc>
        <w:tc>
          <w:tcPr>
            <w:tcW w:w="1134" w:type="dxa"/>
            <w:tcBorders>
              <w:top w:val="nil"/>
              <w:left w:val="nil"/>
              <w:bottom w:val="nil"/>
              <w:right w:val="nil"/>
            </w:tcBorders>
            <w:shd w:val="clear" w:color="auto" w:fill="FFFFFF"/>
            <w:tcMar>
              <w:left w:w="67" w:type="dxa"/>
              <w:right w:w="67" w:type="dxa"/>
            </w:tcMar>
            <w:vAlign w:val="center"/>
          </w:tcPr>
          <w:p w14:paraId="6128E6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2.3451</w:t>
            </w:r>
          </w:p>
        </w:tc>
        <w:tc>
          <w:tcPr>
            <w:tcW w:w="1134" w:type="dxa"/>
            <w:tcBorders>
              <w:top w:val="nil"/>
              <w:left w:val="nil"/>
              <w:bottom w:val="nil"/>
              <w:right w:val="nil"/>
            </w:tcBorders>
            <w:shd w:val="clear" w:color="auto" w:fill="FFFFFF"/>
            <w:tcMar>
              <w:left w:w="67" w:type="dxa"/>
              <w:right w:w="67" w:type="dxa"/>
            </w:tcMar>
            <w:vAlign w:val="center"/>
          </w:tcPr>
          <w:p w14:paraId="792414D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841377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FA316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52F1E3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69A457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768B5E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7177B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-0.0887</w:t>
            </w:r>
          </w:p>
        </w:tc>
        <w:tc>
          <w:tcPr>
            <w:tcW w:w="1134" w:type="dxa"/>
            <w:tcBorders>
              <w:top w:val="nil"/>
              <w:left w:val="nil"/>
              <w:bottom w:val="nil"/>
              <w:right w:val="nil"/>
            </w:tcBorders>
            <w:shd w:val="clear" w:color="auto" w:fill="FFFFFF"/>
            <w:tcMar>
              <w:left w:w="67" w:type="dxa"/>
              <w:right w:w="67" w:type="dxa"/>
            </w:tcMar>
            <w:vAlign w:val="center"/>
          </w:tcPr>
          <w:p w14:paraId="2AF8C8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0.5095</w:t>
            </w:r>
          </w:p>
        </w:tc>
        <w:tc>
          <w:tcPr>
            <w:tcW w:w="1134" w:type="dxa"/>
            <w:tcBorders>
              <w:top w:val="nil"/>
              <w:left w:val="nil"/>
              <w:bottom w:val="nil"/>
              <w:right w:val="nil"/>
            </w:tcBorders>
            <w:shd w:val="clear" w:color="auto" w:fill="FFFFFF"/>
            <w:tcMar>
              <w:left w:w="67" w:type="dxa"/>
              <w:right w:w="67" w:type="dxa"/>
            </w:tcMar>
            <w:vAlign w:val="center"/>
          </w:tcPr>
          <w:p w14:paraId="252AD5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0.9152</w:t>
            </w:r>
          </w:p>
        </w:tc>
        <w:tc>
          <w:tcPr>
            <w:tcW w:w="1134" w:type="dxa"/>
            <w:tcBorders>
              <w:top w:val="nil"/>
              <w:left w:val="nil"/>
              <w:bottom w:val="nil"/>
              <w:right w:val="nil"/>
            </w:tcBorders>
            <w:shd w:val="clear" w:color="auto" w:fill="FFFFFF"/>
            <w:tcMar>
              <w:left w:w="67" w:type="dxa"/>
              <w:right w:w="67" w:type="dxa"/>
            </w:tcMar>
            <w:vAlign w:val="center"/>
          </w:tcPr>
          <w:p w14:paraId="773E06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0.2913</w:t>
            </w:r>
          </w:p>
        </w:tc>
        <w:tc>
          <w:tcPr>
            <w:tcW w:w="1134" w:type="dxa"/>
            <w:tcBorders>
              <w:top w:val="nil"/>
              <w:left w:val="nil"/>
              <w:bottom w:val="nil"/>
              <w:right w:val="nil"/>
            </w:tcBorders>
            <w:shd w:val="clear" w:color="auto" w:fill="FFFFFF"/>
            <w:tcMar>
              <w:left w:w="67" w:type="dxa"/>
              <w:right w:w="67" w:type="dxa"/>
            </w:tcMar>
            <w:vAlign w:val="center"/>
          </w:tcPr>
          <w:p w14:paraId="219DCD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2.8747</w:t>
            </w:r>
          </w:p>
        </w:tc>
        <w:tc>
          <w:tcPr>
            <w:tcW w:w="1134" w:type="dxa"/>
            <w:tcBorders>
              <w:top w:val="nil"/>
              <w:left w:val="nil"/>
              <w:bottom w:val="nil"/>
              <w:right w:val="nil"/>
            </w:tcBorders>
            <w:shd w:val="clear" w:color="auto" w:fill="FFFFFF"/>
            <w:tcMar>
              <w:left w:w="67" w:type="dxa"/>
              <w:right w:w="67" w:type="dxa"/>
            </w:tcMar>
            <w:vAlign w:val="center"/>
          </w:tcPr>
          <w:p w14:paraId="3DF0FC2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106007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4DAE9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628B3D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BA6CB2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CD0A6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D1442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0.1585</w:t>
            </w:r>
          </w:p>
        </w:tc>
        <w:tc>
          <w:tcPr>
            <w:tcW w:w="1134" w:type="dxa"/>
            <w:tcBorders>
              <w:top w:val="nil"/>
              <w:left w:val="nil"/>
              <w:bottom w:val="nil"/>
              <w:right w:val="nil"/>
            </w:tcBorders>
            <w:shd w:val="clear" w:color="auto" w:fill="FFFFFF"/>
            <w:tcMar>
              <w:left w:w="67" w:type="dxa"/>
              <w:right w:w="67" w:type="dxa"/>
            </w:tcMar>
            <w:vAlign w:val="center"/>
          </w:tcPr>
          <w:p w14:paraId="4D4E77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0.5072</w:t>
            </w:r>
          </w:p>
        </w:tc>
        <w:tc>
          <w:tcPr>
            <w:tcW w:w="1134" w:type="dxa"/>
            <w:tcBorders>
              <w:top w:val="nil"/>
              <w:left w:val="nil"/>
              <w:bottom w:val="nil"/>
              <w:right w:val="nil"/>
            </w:tcBorders>
            <w:shd w:val="clear" w:color="auto" w:fill="FFFFFF"/>
            <w:tcMar>
              <w:left w:w="67" w:type="dxa"/>
              <w:right w:w="67" w:type="dxa"/>
            </w:tcMar>
            <w:vAlign w:val="center"/>
          </w:tcPr>
          <w:p w14:paraId="56504F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1.1717</w:t>
            </w:r>
          </w:p>
        </w:tc>
        <w:tc>
          <w:tcPr>
            <w:tcW w:w="1134" w:type="dxa"/>
            <w:tcBorders>
              <w:top w:val="nil"/>
              <w:left w:val="nil"/>
              <w:bottom w:val="nil"/>
              <w:right w:val="nil"/>
            </w:tcBorders>
            <w:shd w:val="clear" w:color="auto" w:fill="FFFFFF"/>
            <w:tcMar>
              <w:left w:w="67" w:type="dxa"/>
              <w:right w:w="67" w:type="dxa"/>
            </w:tcMar>
            <w:vAlign w:val="center"/>
          </w:tcPr>
          <w:p w14:paraId="620E7B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0.3750</w:t>
            </w:r>
          </w:p>
        </w:tc>
        <w:tc>
          <w:tcPr>
            <w:tcW w:w="1134" w:type="dxa"/>
            <w:tcBorders>
              <w:top w:val="nil"/>
              <w:left w:val="nil"/>
              <w:bottom w:val="nil"/>
              <w:right w:val="nil"/>
            </w:tcBorders>
            <w:shd w:val="clear" w:color="auto" w:fill="FFFFFF"/>
            <w:tcMar>
              <w:left w:w="67" w:type="dxa"/>
              <w:right w:w="67" w:type="dxa"/>
            </w:tcMar>
            <w:vAlign w:val="center"/>
          </w:tcPr>
          <w:p w14:paraId="60AB09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3.6615</w:t>
            </w:r>
          </w:p>
        </w:tc>
        <w:tc>
          <w:tcPr>
            <w:tcW w:w="1134" w:type="dxa"/>
            <w:tcBorders>
              <w:top w:val="nil"/>
              <w:left w:val="nil"/>
              <w:bottom w:val="nil"/>
              <w:right w:val="nil"/>
            </w:tcBorders>
            <w:shd w:val="clear" w:color="auto" w:fill="FFFFFF"/>
            <w:tcMar>
              <w:left w:w="67" w:type="dxa"/>
              <w:right w:w="67" w:type="dxa"/>
            </w:tcMar>
            <w:vAlign w:val="center"/>
          </w:tcPr>
          <w:p w14:paraId="1C922D9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EECC62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C7B02D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00600D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873E3C"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96B271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EC766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0.0086</w:t>
            </w:r>
          </w:p>
        </w:tc>
        <w:tc>
          <w:tcPr>
            <w:tcW w:w="1134" w:type="dxa"/>
            <w:tcBorders>
              <w:top w:val="nil"/>
              <w:left w:val="nil"/>
              <w:bottom w:val="nil"/>
              <w:right w:val="nil"/>
            </w:tcBorders>
            <w:shd w:val="clear" w:color="auto" w:fill="FFFFFF"/>
            <w:tcMar>
              <w:left w:w="67" w:type="dxa"/>
              <w:right w:w="67" w:type="dxa"/>
            </w:tcMar>
            <w:vAlign w:val="center"/>
          </w:tcPr>
          <w:p w14:paraId="02A25F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0.0275</w:t>
            </w:r>
          </w:p>
        </w:tc>
        <w:tc>
          <w:tcPr>
            <w:tcW w:w="1134" w:type="dxa"/>
            <w:tcBorders>
              <w:top w:val="nil"/>
              <w:left w:val="nil"/>
              <w:bottom w:val="nil"/>
              <w:right w:val="nil"/>
            </w:tcBorders>
            <w:shd w:val="clear" w:color="auto" w:fill="FFFFFF"/>
            <w:tcMar>
              <w:left w:w="67" w:type="dxa"/>
              <w:right w:w="67" w:type="dxa"/>
            </w:tcMar>
            <w:vAlign w:val="center"/>
          </w:tcPr>
          <w:p w14:paraId="2A34CC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1.0086</w:t>
            </w:r>
          </w:p>
        </w:tc>
        <w:tc>
          <w:tcPr>
            <w:tcW w:w="1134" w:type="dxa"/>
            <w:tcBorders>
              <w:top w:val="nil"/>
              <w:left w:val="nil"/>
              <w:bottom w:val="nil"/>
              <w:right w:val="nil"/>
            </w:tcBorders>
            <w:shd w:val="clear" w:color="auto" w:fill="FFFFFF"/>
            <w:tcMar>
              <w:left w:w="67" w:type="dxa"/>
              <w:right w:w="67" w:type="dxa"/>
            </w:tcMar>
            <w:vAlign w:val="center"/>
          </w:tcPr>
          <w:p w14:paraId="4694DD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0.9482</w:t>
            </w:r>
          </w:p>
        </w:tc>
        <w:tc>
          <w:tcPr>
            <w:tcW w:w="1134" w:type="dxa"/>
            <w:tcBorders>
              <w:top w:val="nil"/>
              <w:left w:val="nil"/>
              <w:bottom w:val="nil"/>
              <w:right w:val="nil"/>
            </w:tcBorders>
            <w:shd w:val="clear" w:color="auto" w:fill="FFFFFF"/>
            <w:tcMar>
              <w:left w:w="67" w:type="dxa"/>
              <w:right w:w="67" w:type="dxa"/>
            </w:tcMar>
            <w:vAlign w:val="center"/>
          </w:tcPr>
          <w:p w14:paraId="58055A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1.0729</w:t>
            </w:r>
          </w:p>
        </w:tc>
        <w:tc>
          <w:tcPr>
            <w:tcW w:w="1134" w:type="dxa"/>
            <w:tcBorders>
              <w:top w:val="nil"/>
              <w:left w:val="nil"/>
              <w:bottom w:val="nil"/>
              <w:right w:val="nil"/>
            </w:tcBorders>
            <w:shd w:val="clear" w:color="auto" w:fill="FFFFFF"/>
            <w:tcMar>
              <w:left w:w="67" w:type="dxa"/>
              <w:right w:w="67" w:type="dxa"/>
            </w:tcMar>
            <w:vAlign w:val="center"/>
          </w:tcPr>
          <w:p w14:paraId="6064EB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w:t>
            </w:r>
          </w:p>
        </w:tc>
        <w:tc>
          <w:tcPr>
            <w:tcW w:w="567" w:type="dxa"/>
            <w:tcBorders>
              <w:top w:val="nil"/>
              <w:left w:val="nil"/>
              <w:bottom w:val="nil"/>
              <w:right w:val="nil"/>
            </w:tcBorders>
            <w:shd w:val="clear" w:color="auto" w:fill="FFFFFF"/>
            <w:tcMar>
              <w:left w:w="67" w:type="dxa"/>
              <w:right w:w="67" w:type="dxa"/>
            </w:tcMar>
            <w:vAlign w:val="center"/>
          </w:tcPr>
          <w:p w14:paraId="1AA3A1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7650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0.7554</w:t>
            </w:r>
          </w:p>
        </w:tc>
      </w:tr>
      <w:tr w:rsidR="00B77EA3" w:rsidRPr="0082484A" w14:paraId="3DE09F3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5B1F6E"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7FD1AB4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A5C2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571809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0.0158</w:t>
            </w:r>
          </w:p>
        </w:tc>
        <w:tc>
          <w:tcPr>
            <w:tcW w:w="1134" w:type="dxa"/>
            <w:tcBorders>
              <w:top w:val="nil"/>
              <w:left w:val="nil"/>
              <w:bottom w:val="nil"/>
              <w:right w:val="nil"/>
            </w:tcBorders>
            <w:shd w:val="clear" w:color="auto" w:fill="FFFFFF"/>
            <w:tcMar>
              <w:left w:w="67" w:type="dxa"/>
              <w:right w:w="67" w:type="dxa"/>
            </w:tcMar>
            <w:vAlign w:val="center"/>
          </w:tcPr>
          <w:p w14:paraId="5040A1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1.0026</w:t>
            </w:r>
          </w:p>
        </w:tc>
        <w:tc>
          <w:tcPr>
            <w:tcW w:w="1134" w:type="dxa"/>
            <w:tcBorders>
              <w:top w:val="nil"/>
              <w:left w:val="nil"/>
              <w:bottom w:val="nil"/>
              <w:right w:val="nil"/>
            </w:tcBorders>
            <w:shd w:val="clear" w:color="auto" w:fill="FFFFFF"/>
            <w:tcMar>
              <w:left w:w="67" w:type="dxa"/>
              <w:right w:w="67" w:type="dxa"/>
            </w:tcMar>
            <w:vAlign w:val="center"/>
          </w:tcPr>
          <w:p w14:paraId="5A82BF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0.9677</w:t>
            </w:r>
          </w:p>
        </w:tc>
        <w:tc>
          <w:tcPr>
            <w:tcW w:w="1134" w:type="dxa"/>
            <w:tcBorders>
              <w:top w:val="nil"/>
              <w:left w:val="nil"/>
              <w:bottom w:val="nil"/>
              <w:right w:val="nil"/>
            </w:tcBorders>
            <w:shd w:val="clear" w:color="auto" w:fill="FFFFFF"/>
            <w:tcMar>
              <w:left w:w="67" w:type="dxa"/>
              <w:right w:w="67" w:type="dxa"/>
            </w:tcMar>
            <w:vAlign w:val="center"/>
          </w:tcPr>
          <w:p w14:paraId="64E9D4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1.0387</w:t>
            </w:r>
          </w:p>
        </w:tc>
        <w:tc>
          <w:tcPr>
            <w:tcW w:w="1134" w:type="dxa"/>
            <w:tcBorders>
              <w:top w:val="nil"/>
              <w:left w:val="nil"/>
              <w:bottom w:val="nil"/>
              <w:right w:val="nil"/>
            </w:tcBorders>
            <w:shd w:val="clear" w:color="auto" w:fill="FFFFFF"/>
            <w:tcMar>
              <w:left w:w="67" w:type="dxa"/>
              <w:right w:w="67" w:type="dxa"/>
            </w:tcMar>
            <w:vAlign w:val="center"/>
          </w:tcPr>
          <w:p w14:paraId="7998C1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744F14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C44D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0.8709</w:t>
            </w:r>
          </w:p>
        </w:tc>
      </w:tr>
      <w:tr w:rsidR="00B77EA3" w:rsidRPr="0082484A" w14:paraId="1405CA6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48341A"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0603BBB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8450F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6C615E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0.0050</w:t>
            </w:r>
          </w:p>
        </w:tc>
        <w:tc>
          <w:tcPr>
            <w:tcW w:w="1134" w:type="dxa"/>
            <w:tcBorders>
              <w:top w:val="nil"/>
              <w:left w:val="nil"/>
              <w:bottom w:val="nil"/>
              <w:right w:val="nil"/>
            </w:tcBorders>
            <w:shd w:val="clear" w:color="auto" w:fill="FFFFFF"/>
            <w:tcMar>
              <w:left w:w="67" w:type="dxa"/>
              <w:right w:w="67" w:type="dxa"/>
            </w:tcMar>
            <w:vAlign w:val="center"/>
          </w:tcPr>
          <w:p w14:paraId="6E7000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0.9991</w:t>
            </w:r>
          </w:p>
        </w:tc>
        <w:tc>
          <w:tcPr>
            <w:tcW w:w="1134" w:type="dxa"/>
            <w:tcBorders>
              <w:top w:val="nil"/>
              <w:left w:val="nil"/>
              <w:bottom w:val="nil"/>
              <w:right w:val="nil"/>
            </w:tcBorders>
            <w:shd w:val="clear" w:color="auto" w:fill="FFFFFF"/>
            <w:tcMar>
              <w:left w:w="67" w:type="dxa"/>
              <w:right w:w="67" w:type="dxa"/>
            </w:tcMar>
            <w:vAlign w:val="center"/>
          </w:tcPr>
          <w:p w14:paraId="59BD8E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0.9879</w:t>
            </w:r>
          </w:p>
        </w:tc>
        <w:tc>
          <w:tcPr>
            <w:tcW w:w="1134" w:type="dxa"/>
            <w:tcBorders>
              <w:top w:val="nil"/>
              <w:left w:val="nil"/>
              <w:bottom w:val="nil"/>
              <w:right w:val="nil"/>
            </w:tcBorders>
            <w:shd w:val="clear" w:color="auto" w:fill="FFFFFF"/>
            <w:tcMar>
              <w:left w:w="67" w:type="dxa"/>
              <w:right w:w="67" w:type="dxa"/>
            </w:tcMar>
            <w:vAlign w:val="center"/>
          </w:tcPr>
          <w:p w14:paraId="581EA6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1.0103</w:t>
            </w:r>
          </w:p>
        </w:tc>
        <w:tc>
          <w:tcPr>
            <w:tcW w:w="1134" w:type="dxa"/>
            <w:tcBorders>
              <w:top w:val="nil"/>
              <w:left w:val="nil"/>
              <w:bottom w:val="nil"/>
              <w:right w:val="nil"/>
            </w:tcBorders>
            <w:shd w:val="clear" w:color="auto" w:fill="FFFFFF"/>
            <w:tcMar>
              <w:left w:w="67" w:type="dxa"/>
              <w:right w:w="67" w:type="dxa"/>
            </w:tcMar>
            <w:vAlign w:val="center"/>
          </w:tcPr>
          <w:p w14:paraId="2AE289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4FBDC8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C483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0.8493</w:t>
            </w:r>
          </w:p>
        </w:tc>
      </w:tr>
      <w:tr w:rsidR="00B77EA3" w:rsidRPr="0082484A" w14:paraId="597B9DD4"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D31B651"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372C1B6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22491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0.0913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FDFFD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0.1526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EFB84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1.0956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2109B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0.7775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23BA8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1.5437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5C672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917BF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3F2715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0.5500</w:t>
            </w:r>
          </w:p>
        </w:tc>
      </w:tr>
    </w:tbl>
    <w:p w14:paraId="7662B7BD" w14:textId="77777777" w:rsidR="00B77EA3" w:rsidRPr="0082484A" w:rsidRDefault="00B77EA3" w:rsidP="00B77EA3">
      <w:pPr>
        <w:spacing w:before="0" w:after="160" w:line="259" w:lineRule="auto"/>
        <w:rPr>
          <w:sz w:val="22"/>
          <w:szCs w:val="22"/>
        </w:rPr>
      </w:pPr>
      <w:r w:rsidRPr="0082484A">
        <w:rPr>
          <w:sz w:val="22"/>
          <w:szCs w:val="22"/>
          <w:vertAlign w:val="superscript"/>
        </w:rPr>
        <w:t>a</w:t>
      </w:r>
      <w:r w:rsidRPr="0082484A">
        <w:rPr>
          <w:sz w:val="22"/>
          <w:szCs w:val="22"/>
        </w:rPr>
        <w:t xml:space="preserve"> The estimated number needed to treat to prevent one patient aged 65 years or over being prescribed aspirin and clopidogrel without co-prescription of gastro-protection is 11 </w:t>
      </w:r>
      <w:r w:rsidRPr="0082484A">
        <w:rPr>
          <w:sz w:val="22"/>
          <w:szCs w:val="22"/>
        </w:rPr>
        <w:br w:type="page"/>
      </w:r>
    </w:p>
    <w:p w14:paraId="74EBB7CA" w14:textId="13408791" w:rsidR="00B77EA3" w:rsidRPr="0082484A" w:rsidRDefault="00B77EA3" w:rsidP="00B77EA3">
      <w:pPr>
        <w:spacing w:before="0" w:line="240" w:lineRule="auto"/>
        <w:rPr>
          <w:bCs/>
          <w:sz w:val="22"/>
          <w:szCs w:val="22"/>
        </w:rPr>
      </w:pPr>
      <w:bookmarkStart w:id="116" w:name="_Ref502917953"/>
      <w:bookmarkStart w:id="117" w:name="_Toc8728105"/>
      <w:bookmarkStart w:id="118" w:name="_Toc19526760"/>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31</w:t>
      </w:r>
      <w:r w:rsidRPr="0082484A">
        <w:rPr>
          <w:bCs/>
          <w:noProof/>
          <w:sz w:val="22"/>
          <w:szCs w:val="22"/>
        </w:rPr>
        <w:fldChar w:fldCharType="end"/>
      </w:r>
      <w:bookmarkEnd w:id="116"/>
      <w:r w:rsidRPr="0082484A">
        <w:rPr>
          <w:bCs/>
          <w:sz w:val="22"/>
          <w:szCs w:val="22"/>
        </w:rPr>
        <w:t>: Secondary outcome for Trial 1: Prescribing of warfarin and a traditional oral NSAID (WP4A)</w:t>
      </w:r>
      <w:bookmarkEnd w:id="117"/>
      <w:bookmarkEnd w:id="118"/>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10DE8EBA"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1F6C59C" w14:textId="77777777" w:rsidR="00B77EA3" w:rsidRPr="0082484A" w:rsidRDefault="00B77EA3" w:rsidP="00B77EA3">
            <w:pPr>
              <w:spacing w:beforeLines="10" w:before="24" w:afterLines="10" w:after="24" w:line="240" w:lineRule="auto"/>
              <w:rPr>
                <w:bCs/>
                <w:sz w:val="22"/>
                <w:szCs w:val="22"/>
              </w:rPr>
            </w:pPr>
            <w:bookmarkStart w:id="119" w:name="IDX108"/>
            <w:bookmarkEnd w:id="119"/>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307A3A6"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71DF71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39BFFE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2B4E14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33995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68E870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4E005D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14DF11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625BD5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CB113E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51630CD"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F5B05A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61F472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-0.1222</w:t>
            </w:r>
          </w:p>
        </w:tc>
        <w:tc>
          <w:tcPr>
            <w:tcW w:w="1134" w:type="dxa"/>
            <w:tcBorders>
              <w:top w:val="nil"/>
              <w:left w:val="nil"/>
              <w:bottom w:val="nil"/>
              <w:right w:val="nil"/>
            </w:tcBorders>
            <w:shd w:val="clear" w:color="auto" w:fill="FFFFFF"/>
            <w:tcMar>
              <w:left w:w="67" w:type="dxa"/>
              <w:right w:w="67" w:type="dxa"/>
            </w:tcMar>
            <w:vAlign w:val="center"/>
          </w:tcPr>
          <w:p w14:paraId="79EA65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0.2854</w:t>
            </w:r>
          </w:p>
        </w:tc>
        <w:tc>
          <w:tcPr>
            <w:tcW w:w="1134" w:type="dxa"/>
            <w:tcBorders>
              <w:top w:val="nil"/>
              <w:left w:val="nil"/>
              <w:bottom w:val="nil"/>
              <w:right w:val="nil"/>
            </w:tcBorders>
            <w:shd w:val="clear" w:color="auto" w:fill="FFFFFF"/>
            <w:tcMar>
              <w:left w:w="67" w:type="dxa"/>
              <w:right w:w="67" w:type="dxa"/>
            </w:tcMar>
            <w:vAlign w:val="center"/>
          </w:tcPr>
          <w:p w14:paraId="305383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0.8850</w:t>
            </w:r>
          </w:p>
        </w:tc>
        <w:tc>
          <w:tcPr>
            <w:tcW w:w="1134" w:type="dxa"/>
            <w:tcBorders>
              <w:top w:val="nil"/>
              <w:left w:val="nil"/>
              <w:bottom w:val="nil"/>
              <w:right w:val="nil"/>
            </w:tcBorders>
            <w:shd w:val="clear" w:color="auto" w:fill="FFFFFF"/>
            <w:tcMar>
              <w:left w:w="67" w:type="dxa"/>
              <w:right w:w="67" w:type="dxa"/>
            </w:tcMar>
            <w:vAlign w:val="center"/>
          </w:tcPr>
          <w:p w14:paraId="0EDEA9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0.4667</w:t>
            </w:r>
          </w:p>
        </w:tc>
        <w:tc>
          <w:tcPr>
            <w:tcW w:w="1134" w:type="dxa"/>
            <w:tcBorders>
              <w:top w:val="nil"/>
              <w:left w:val="nil"/>
              <w:bottom w:val="nil"/>
              <w:right w:val="nil"/>
            </w:tcBorders>
            <w:shd w:val="clear" w:color="auto" w:fill="FFFFFF"/>
            <w:tcMar>
              <w:left w:w="67" w:type="dxa"/>
              <w:right w:w="67" w:type="dxa"/>
            </w:tcMar>
            <w:vAlign w:val="center"/>
          </w:tcPr>
          <w:p w14:paraId="0F2BCE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1.6780</w:t>
            </w:r>
          </w:p>
        </w:tc>
        <w:tc>
          <w:tcPr>
            <w:tcW w:w="1134" w:type="dxa"/>
            <w:tcBorders>
              <w:top w:val="nil"/>
              <w:left w:val="nil"/>
              <w:bottom w:val="nil"/>
              <w:right w:val="nil"/>
            </w:tcBorders>
            <w:shd w:val="clear" w:color="auto" w:fill="FFFFFF"/>
            <w:tcMar>
              <w:left w:w="67" w:type="dxa"/>
              <w:right w:w="67" w:type="dxa"/>
            </w:tcMar>
            <w:vAlign w:val="center"/>
          </w:tcPr>
          <w:p w14:paraId="1E9C5B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6F65DD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EA83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0.6685</w:t>
            </w:r>
          </w:p>
        </w:tc>
      </w:tr>
      <w:tr w:rsidR="00B77EA3" w:rsidRPr="0082484A" w14:paraId="3DAD10D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54A05E"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4998F2C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BA621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-0.2071</w:t>
            </w:r>
          </w:p>
        </w:tc>
        <w:tc>
          <w:tcPr>
            <w:tcW w:w="1134" w:type="dxa"/>
            <w:tcBorders>
              <w:top w:val="nil"/>
              <w:left w:val="nil"/>
              <w:bottom w:val="nil"/>
              <w:right w:val="nil"/>
            </w:tcBorders>
            <w:shd w:val="clear" w:color="auto" w:fill="FFFFFF"/>
            <w:tcMar>
              <w:left w:w="67" w:type="dxa"/>
              <w:right w:w="67" w:type="dxa"/>
            </w:tcMar>
            <w:vAlign w:val="center"/>
          </w:tcPr>
          <w:p w14:paraId="7F4DA0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0.2573</w:t>
            </w:r>
          </w:p>
        </w:tc>
        <w:tc>
          <w:tcPr>
            <w:tcW w:w="1134" w:type="dxa"/>
            <w:tcBorders>
              <w:top w:val="nil"/>
              <w:left w:val="nil"/>
              <w:bottom w:val="nil"/>
              <w:right w:val="nil"/>
            </w:tcBorders>
            <w:shd w:val="clear" w:color="auto" w:fill="FFFFFF"/>
            <w:tcMar>
              <w:left w:w="67" w:type="dxa"/>
              <w:right w:w="67" w:type="dxa"/>
            </w:tcMar>
            <w:vAlign w:val="center"/>
          </w:tcPr>
          <w:p w14:paraId="6014EB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0.8130</w:t>
            </w:r>
          </w:p>
        </w:tc>
        <w:tc>
          <w:tcPr>
            <w:tcW w:w="1134" w:type="dxa"/>
            <w:tcBorders>
              <w:top w:val="nil"/>
              <w:left w:val="nil"/>
              <w:bottom w:val="nil"/>
              <w:right w:val="nil"/>
            </w:tcBorders>
            <w:shd w:val="clear" w:color="auto" w:fill="FFFFFF"/>
            <w:tcMar>
              <w:left w:w="67" w:type="dxa"/>
              <w:right w:w="67" w:type="dxa"/>
            </w:tcMar>
            <w:vAlign w:val="center"/>
          </w:tcPr>
          <w:p w14:paraId="1DA078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0.4566</w:t>
            </w:r>
          </w:p>
        </w:tc>
        <w:tc>
          <w:tcPr>
            <w:tcW w:w="1134" w:type="dxa"/>
            <w:tcBorders>
              <w:top w:val="nil"/>
              <w:left w:val="nil"/>
              <w:bottom w:val="nil"/>
              <w:right w:val="nil"/>
            </w:tcBorders>
            <w:shd w:val="clear" w:color="auto" w:fill="FFFFFF"/>
            <w:tcMar>
              <w:left w:w="67" w:type="dxa"/>
              <w:right w:w="67" w:type="dxa"/>
            </w:tcMar>
            <w:vAlign w:val="center"/>
          </w:tcPr>
          <w:p w14:paraId="303B87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1.4474</w:t>
            </w:r>
          </w:p>
        </w:tc>
        <w:tc>
          <w:tcPr>
            <w:tcW w:w="1134" w:type="dxa"/>
            <w:tcBorders>
              <w:top w:val="nil"/>
              <w:left w:val="nil"/>
              <w:bottom w:val="nil"/>
              <w:right w:val="nil"/>
            </w:tcBorders>
            <w:shd w:val="clear" w:color="auto" w:fill="FFFFFF"/>
            <w:tcMar>
              <w:left w:w="67" w:type="dxa"/>
              <w:right w:w="67" w:type="dxa"/>
            </w:tcMar>
            <w:vAlign w:val="center"/>
          </w:tcPr>
          <w:p w14:paraId="76C5C6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w:t>
            </w:r>
          </w:p>
        </w:tc>
        <w:tc>
          <w:tcPr>
            <w:tcW w:w="567" w:type="dxa"/>
            <w:tcBorders>
              <w:top w:val="nil"/>
              <w:left w:val="nil"/>
              <w:bottom w:val="nil"/>
              <w:right w:val="nil"/>
            </w:tcBorders>
            <w:shd w:val="clear" w:color="auto" w:fill="FFFFFF"/>
            <w:tcMar>
              <w:left w:w="67" w:type="dxa"/>
              <w:right w:w="67" w:type="dxa"/>
            </w:tcMar>
            <w:vAlign w:val="center"/>
          </w:tcPr>
          <w:p w14:paraId="1C56EE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E0C01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0.4210</w:t>
            </w:r>
          </w:p>
        </w:tc>
      </w:tr>
      <w:tr w:rsidR="00B77EA3" w:rsidRPr="0082484A" w14:paraId="6DA58A0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36C41B4"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5B216D4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C6B3E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-0.0206</w:t>
            </w:r>
          </w:p>
        </w:tc>
        <w:tc>
          <w:tcPr>
            <w:tcW w:w="1134" w:type="dxa"/>
            <w:tcBorders>
              <w:top w:val="nil"/>
              <w:left w:val="nil"/>
              <w:bottom w:val="nil"/>
              <w:right w:val="nil"/>
            </w:tcBorders>
            <w:shd w:val="clear" w:color="auto" w:fill="FFFFFF"/>
            <w:tcMar>
              <w:left w:w="67" w:type="dxa"/>
              <w:right w:w="67" w:type="dxa"/>
            </w:tcMar>
            <w:vAlign w:val="center"/>
          </w:tcPr>
          <w:p w14:paraId="293C18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0.0080</w:t>
            </w:r>
          </w:p>
        </w:tc>
        <w:tc>
          <w:tcPr>
            <w:tcW w:w="1134" w:type="dxa"/>
            <w:tcBorders>
              <w:top w:val="nil"/>
              <w:left w:val="nil"/>
              <w:bottom w:val="nil"/>
              <w:right w:val="nil"/>
            </w:tcBorders>
            <w:shd w:val="clear" w:color="auto" w:fill="FFFFFF"/>
            <w:tcMar>
              <w:left w:w="67" w:type="dxa"/>
              <w:right w:w="67" w:type="dxa"/>
            </w:tcMar>
            <w:vAlign w:val="center"/>
          </w:tcPr>
          <w:p w14:paraId="01834C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0.9796</w:t>
            </w:r>
          </w:p>
        </w:tc>
        <w:tc>
          <w:tcPr>
            <w:tcW w:w="1134" w:type="dxa"/>
            <w:tcBorders>
              <w:top w:val="nil"/>
              <w:left w:val="nil"/>
              <w:bottom w:val="nil"/>
              <w:right w:val="nil"/>
            </w:tcBorders>
            <w:shd w:val="clear" w:color="auto" w:fill="FFFFFF"/>
            <w:tcMar>
              <w:left w:w="67" w:type="dxa"/>
              <w:right w:w="67" w:type="dxa"/>
            </w:tcMar>
            <w:vAlign w:val="center"/>
          </w:tcPr>
          <w:p w14:paraId="2527DC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0.9622</w:t>
            </w:r>
          </w:p>
        </w:tc>
        <w:tc>
          <w:tcPr>
            <w:tcW w:w="1134" w:type="dxa"/>
            <w:tcBorders>
              <w:top w:val="nil"/>
              <w:left w:val="nil"/>
              <w:bottom w:val="nil"/>
              <w:right w:val="nil"/>
            </w:tcBorders>
            <w:shd w:val="clear" w:color="auto" w:fill="FFFFFF"/>
            <w:tcMar>
              <w:left w:w="67" w:type="dxa"/>
              <w:right w:w="67" w:type="dxa"/>
            </w:tcMar>
            <w:vAlign w:val="center"/>
          </w:tcPr>
          <w:p w14:paraId="0541FE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0.9974</w:t>
            </w:r>
          </w:p>
        </w:tc>
        <w:tc>
          <w:tcPr>
            <w:tcW w:w="1134" w:type="dxa"/>
            <w:tcBorders>
              <w:top w:val="nil"/>
              <w:left w:val="nil"/>
              <w:bottom w:val="nil"/>
              <w:right w:val="nil"/>
            </w:tcBorders>
            <w:shd w:val="clear" w:color="auto" w:fill="FFFFFF"/>
            <w:tcMar>
              <w:left w:w="67" w:type="dxa"/>
              <w:right w:w="67" w:type="dxa"/>
            </w:tcMar>
            <w:vAlign w:val="center"/>
          </w:tcPr>
          <w:p w14:paraId="4FC4B3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6.61</w:t>
            </w:r>
          </w:p>
        </w:tc>
        <w:tc>
          <w:tcPr>
            <w:tcW w:w="567" w:type="dxa"/>
            <w:tcBorders>
              <w:top w:val="nil"/>
              <w:left w:val="nil"/>
              <w:bottom w:val="nil"/>
              <w:right w:val="nil"/>
            </w:tcBorders>
            <w:shd w:val="clear" w:color="auto" w:fill="FFFFFF"/>
            <w:tcMar>
              <w:left w:w="67" w:type="dxa"/>
              <w:right w:w="67" w:type="dxa"/>
            </w:tcMar>
            <w:vAlign w:val="center"/>
          </w:tcPr>
          <w:p w14:paraId="48267B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589D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0.0101</w:t>
            </w:r>
          </w:p>
        </w:tc>
      </w:tr>
      <w:tr w:rsidR="00B77EA3" w:rsidRPr="0082484A" w14:paraId="06650CD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AC1CE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FDCDFB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7806D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0.0040</w:t>
            </w:r>
          </w:p>
        </w:tc>
        <w:tc>
          <w:tcPr>
            <w:tcW w:w="1134" w:type="dxa"/>
            <w:tcBorders>
              <w:top w:val="nil"/>
              <w:left w:val="nil"/>
              <w:bottom w:val="nil"/>
              <w:right w:val="nil"/>
            </w:tcBorders>
            <w:shd w:val="clear" w:color="auto" w:fill="FFFFFF"/>
            <w:tcMar>
              <w:left w:w="67" w:type="dxa"/>
              <w:right w:w="67" w:type="dxa"/>
            </w:tcMar>
            <w:vAlign w:val="center"/>
          </w:tcPr>
          <w:p w14:paraId="14F45F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nil"/>
              <w:right w:val="nil"/>
            </w:tcBorders>
            <w:shd w:val="clear" w:color="auto" w:fill="FFFFFF"/>
            <w:tcMar>
              <w:left w:w="67" w:type="dxa"/>
              <w:right w:w="67" w:type="dxa"/>
            </w:tcMar>
            <w:vAlign w:val="center"/>
          </w:tcPr>
          <w:p w14:paraId="7DF5E4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1.0040</w:t>
            </w:r>
          </w:p>
        </w:tc>
        <w:tc>
          <w:tcPr>
            <w:tcW w:w="1134" w:type="dxa"/>
            <w:tcBorders>
              <w:top w:val="nil"/>
              <w:left w:val="nil"/>
              <w:bottom w:val="nil"/>
              <w:right w:val="nil"/>
            </w:tcBorders>
            <w:shd w:val="clear" w:color="auto" w:fill="FFFFFF"/>
            <w:tcMar>
              <w:left w:w="67" w:type="dxa"/>
              <w:right w:w="67" w:type="dxa"/>
            </w:tcMar>
            <w:vAlign w:val="center"/>
          </w:tcPr>
          <w:p w14:paraId="5D423D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0.9944</w:t>
            </w:r>
          </w:p>
        </w:tc>
        <w:tc>
          <w:tcPr>
            <w:tcW w:w="1134" w:type="dxa"/>
            <w:tcBorders>
              <w:top w:val="nil"/>
              <w:left w:val="nil"/>
              <w:bottom w:val="nil"/>
              <w:right w:val="nil"/>
            </w:tcBorders>
            <w:shd w:val="clear" w:color="auto" w:fill="FFFFFF"/>
            <w:tcMar>
              <w:left w:w="67" w:type="dxa"/>
              <w:right w:w="67" w:type="dxa"/>
            </w:tcMar>
            <w:vAlign w:val="center"/>
          </w:tcPr>
          <w:p w14:paraId="513382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1.0137</w:t>
            </w:r>
          </w:p>
        </w:tc>
        <w:tc>
          <w:tcPr>
            <w:tcW w:w="1134" w:type="dxa"/>
            <w:tcBorders>
              <w:top w:val="nil"/>
              <w:left w:val="nil"/>
              <w:bottom w:val="nil"/>
              <w:right w:val="nil"/>
            </w:tcBorders>
            <w:shd w:val="clear" w:color="auto" w:fill="FFFFFF"/>
            <w:tcMar>
              <w:left w:w="67" w:type="dxa"/>
              <w:right w:w="67" w:type="dxa"/>
            </w:tcMar>
            <w:vAlign w:val="center"/>
          </w:tcPr>
          <w:p w14:paraId="402C18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w:t>
            </w:r>
          </w:p>
        </w:tc>
        <w:tc>
          <w:tcPr>
            <w:tcW w:w="567" w:type="dxa"/>
            <w:tcBorders>
              <w:top w:val="nil"/>
              <w:left w:val="nil"/>
              <w:bottom w:val="nil"/>
              <w:right w:val="nil"/>
            </w:tcBorders>
            <w:shd w:val="clear" w:color="auto" w:fill="FFFFFF"/>
            <w:tcMar>
              <w:left w:w="67" w:type="dxa"/>
              <w:right w:w="67" w:type="dxa"/>
            </w:tcMar>
            <w:vAlign w:val="center"/>
          </w:tcPr>
          <w:p w14:paraId="76A77B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3B42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0.3543</w:t>
            </w:r>
          </w:p>
        </w:tc>
      </w:tr>
      <w:tr w:rsidR="00B77EA3" w:rsidRPr="0082484A" w14:paraId="6506308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AB2D16"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5AED84AD" w14:textId="77777777" w:rsidR="00B77EA3" w:rsidRPr="0082484A" w:rsidRDefault="00B77EA3" w:rsidP="00B77EA3">
            <w:pPr>
              <w:spacing w:beforeLines="10" w:before="24" w:afterLines="10" w:after="24" w:line="240" w:lineRule="auto"/>
              <w:rPr>
                <w:sz w:val="22"/>
                <w:szCs w:val="22"/>
              </w:rPr>
            </w:pPr>
            <w:r w:rsidRPr="0082484A">
              <w:rPr>
                <w:sz w:val="22"/>
                <w:szCs w:val="22"/>
              </w:rPr>
              <w:t xml:space="preserve">Bradford PCT vs. Wakefield PCT </w:t>
            </w:r>
          </w:p>
        </w:tc>
        <w:tc>
          <w:tcPr>
            <w:tcW w:w="1134" w:type="dxa"/>
            <w:tcBorders>
              <w:top w:val="nil"/>
              <w:left w:val="nil"/>
              <w:bottom w:val="nil"/>
              <w:right w:val="nil"/>
            </w:tcBorders>
            <w:shd w:val="clear" w:color="auto" w:fill="FFFFFF"/>
            <w:tcMar>
              <w:left w:w="67" w:type="dxa"/>
              <w:right w:w="67" w:type="dxa"/>
            </w:tcMar>
            <w:vAlign w:val="center"/>
          </w:tcPr>
          <w:p w14:paraId="6507B9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0.2802</w:t>
            </w:r>
          </w:p>
        </w:tc>
        <w:tc>
          <w:tcPr>
            <w:tcW w:w="1134" w:type="dxa"/>
            <w:tcBorders>
              <w:top w:val="nil"/>
              <w:left w:val="nil"/>
              <w:bottom w:val="nil"/>
              <w:right w:val="nil"/>
            </w:tcBorders>
            <w:shd w:val="clear" w:color="auto" w:fill="FFFFFF"/>
            <w:tcMar>
              <w:left w:w="67" w:type="dxa"/>
              <w:right w:w="67" w:type="dxa"/>
            </w:tcMar>
            <w:vAlign w:val="center"/>
          </w:tcPr>
          <w:p w14:paraId="745286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0.3856</w:t>
            </w:r>
          </w:p>
        </w:tc>
        <w:tc>
          <w:tcPr>
            <w:tcW w:w="1134" w:type="dxa"/>
            <w:tcBorders>
              <w:top w:val="nil"/>
              <w:left w:val="nil"/>
              <w:bottom w:val="nil"/>
              <w:right w:val="nil"/>
            </w:tcBorders>
            <w:shd w:val="clear" w:color="auto" w:fill="FFFFFF"/>
            <w:tcMar>
              <w:left w:w="67" w:type="dxa"/>
              <w:right w:w="67" w:type="dxa"/>
            </w:tcMar>
            <w:vAlign w:val="center"/>
          </w:tcPr>
          <w:p w14:paraId="1CFCF7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1.3234</w:t>
            </w:r>
          </w:p>
        </w:tc>
        <w:tc>
          <w:tcPr>
            <w:tcW w:w="1134" w:type="dxa"/>
            <w:tcBorders>
              <w:top w:val="nil"/>
              <w:left w:val="nil"/>
              <w:bottom w:val="nil"/>
              <w:right w:val="nil"/>
            </w:tcBorders>
            <w:shd w:val="clear" w:color="auto" w:fill="FFFFFF"/>
            <w:tcMar>
              <w:left w:w="67" w:type="dxa"/>
              <w:right w:w="67" w:type="dxa"/>
            </w:tcMar>
            <w:vAlign w:val="center"/>
          </w:tcPr>
          <w:p w14:paraId="2FAE7C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0.5575</w:t>
            </w:r>
          </w:p>
        </w:tc>
        <w:tc>
          <w:tcPr>
            <w:tcW w:w="1134" w:type="dxa"/>
            <w:tcBorders>
              <w:top w:val="nil"/>
              <w:left w:val="nil"/>
              <w:bottom w:val="nil"/>
              <w:right w:val="nil"/>
            </w:tcBorders>
            <w:shd w:val="clear" w:color="auto" w:fill="FFFFFF"/>
            <w:tcMar>
              <w:left w:w="67" w:type="dxa"/>
              <w:right w:w="67" w:type="dxa"/>
            </w:tcMar>
            <w:vAlign w:val="center"/>
          </w:tcPr>
          <w:p w14:paraId="53F0E6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3.1414</w:t>
            </w:r>
          </w:p>
        </w:tc>
        <w:tc>
          <w:tcPr>
            <w:tcW w:w="1134" w:type="dxa"/>
            <w:tcBorders>
              <w:top w:val="nil"/>
              <w:left w:val="nil"/>
              <w:bottom w:val="nil"/>
              <w:right w:val="nil"/>
            </w:tcBorders>
            <w:shd w:val="clear" w:color="auto" w:fill="FFFFFF"/>
            <w:tcMar>
              <w:left w:w="67" w:type="dxa"/>
              <w:right w:w="67" w:type="dxa"/>
            </w:tcMar>
            <w:vAlign w:val="center"/>
          </w:tcPr>
          <w:p w14:paraId="5BB9B3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w:t>
            </w:r>
          </w:p>
        </w:tc>
        <w:tc>
          <w:tcPr>
            <w:tcW w:w="567" w:type="dxa"/>
            <w:tcBorders>
              <w:top w:val="nil"/>
              <w:left w:val="nil"/>
              <w:bottom w:val="nil"/>
              <w:right w:val="nil"/>
            </w:tcBorders>
            <w:shd w:val="clear" w:color="auto" w:fill="FFFFFF"/>
            <w:tcMar>
              <w:left w:w="67" w:type="dxa"/>
              <w:right w:w="67" w:type="dxa"/>
            </w:tcMar>
            <w:vAlign w:val="center"/>
          </w:tcPr>
          <w:p w14:paraId="7E3710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76C8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0.6766</w:t>
            </w:r>
          </w:p>
        </w:tc>
      </w:tr>
      <w:tr w:rsidR="00B77EA3" w:rsidRPr="0082484A" w14:paraId="4E85973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810A2E"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26705DB4" w14:textId="77777777" w:rsidR="00B77EA3" w:rsidRPr="0082484A" w:rsidRDefault="00B77EA3" w:rsidP="00B77EA3">
            <w:pPr>
              <w:spacing w:beforeLines="10" w:before="24" w:afterLines="10" w:after="24" w:line="240" w:lineRule="auto"/>
              <w:rPr>
                <w:sz w:val="22"/>
                <w:szCs w:val="22"/>
              </w:rPr>
            </w:pPr>
            <w:r w:rsidRPr="0082484A">
              <w:rPr>
                <w:sz w:val="22"/>
                <w:szCs w:val="22"/>
              </w:rPr>
              <w:t>Calderdale PCT vs. Wakefield PCT</w:t>
            </w:r>
          </w:p>
        </w:tc>
        <w:tc>
          <w:tcPr>
            <w:tcW w:w="1134" w:type="dxa"/>
            <w:tcBorders>
              <w:top w:val="nil"/>
              <w:left w:val="nil"/>
              <w:bottom w:val="nil"/>
              <w:right w:val="nil"/>
            </w:tcBorders>
            <w:shd w:val="clear" w:color="auto" w:fill="FFFFFF"/>
            <w:tcMar>
              <w:left w:w="67" w:type="dxa"/>
              <w:right w:w="67" w:type="dxa"/>
            </w:tcMar>
            <w:vAlign w:val="center"/>
          </w:tcPr>
          <w:p w14:paraId="3FC797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-0.0402</w:t>
            </w:r>
          </w:p>
        </w:tc>
        <w:tc>
          <w:tcPr>
            <w:tcW w:w="1134" w:type="dxa"/>
            <w:tcBorders>
              <w:top w:val="nil"/>
              <w:left w:val="nil"/>
              <w:bottom w:val="nil"/>
              <w:right w:val="nil"/>
            </w:tcBorders>
            <w:shd w:val="clear" w:color="auto" w:fill="FFFFFF"/>
            <w:tcMar>
              <w:left w:w="67" w:type="dxa"/>
              <w:right w:w="67" w:type="dxa"/>
            </w:tcMar>
            <w:vAlign w:val="center"/>
          </w:tcPr>
          <w:p w14:paraId="6717BC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0.5927</w:t>
            </w:r>
          </w:p>
        </w:tc>
        <w:tc>
          <w:tcPr>
            <w:tcW w:w="1134" w:type="dxa"/>
            <w:tcBorders>
              <w:top w:val="nil"/>
              <w:left w:val="nil"/>
              <w:bottom w:val="nil"/>
              <w:right w:val="nil"/>
            </w:tcBorders>
            <w:shd w:val="clear" w:color="auto" w:fill="FFFFFF"/>
            <w:tcMar>
              <w:left w:w="67" w:type="dxa"/>
              <w:right w:w="67" w:type="dxa"/>
            </w:tcMar>
            <w:vAlign w:val="center"/>
          </w:tcPr>
          <w:p w14:paraId="14B05E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0.9606</w:t>
            </w:r>
          </w:p>
        </w:tc>
        <w:tc>
          <w:tcPr>
            <w:tcW w:w="1134" w:type="dxa"/>
            <w:tcBorders>
              <w:top w:val="nil"/>
              <w:left w:val="nil"/>
              <w:bottom w:val="nil"/>
              <w:right w:val="nil"/>
            </w:tcBorders>
            <w:shd w:val="clear" w:color="auto" w:fill="FFFFFF"/>
            <w:tcMar>
              <w:left w:w="67" w:type="dxa"/>
              <w:right w:w="67" w:type="dxa"/>
            </w:tcMar>
            <w:vAlign w:val="center"/>
          </w:tcPr>
          <w:p w14:paraId="4D2BE4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0.2544</w:t>
            </w:r>
          </w:p>
        </w:tc>
        <w:tc>
          <w:tcPr>
            <w:tcW w:w="1134" w:type="dxa"/>
            <w:tcBorders>
              <w:top w:val="nil"/>
              <w:left w:val="nil"/>
              <w:bottom w:val="nil"/>
              <w:right w:val="nil"/>
            </w:tcBorders>
            <w:shd w:val="clear" w:color="auto" w:fill="FFFFFF"/>
            <w:tcMar>
              <w:left w:w="67" w:type="dxa"/>
              <w:right w:w="67" w:type="dxa"/>
            </w:tcMar>
            <w:vAlign w:val="center"/>
          </w:tcPr>
          <w:p w14:paraId="27F4F5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3.6278</w:t>
            </w:r>
          </w:p>
        </w:tc>
        <w:tc>
          <w:tcPr>
            <w:tcW w:w="1134" w:type="dxa"/>
            <w:tcBorders>
              <w:top w:val="nil"/>
              <w:left w:val="nil"/>
              <w:bottom w:val="nil"/>
              <w:right w:val="nil"/>
            </w:tcBorders>
            <w:shd w:val="clear" w:color="auto" w:fill="FFFFFF"/>
            <w:tcMar>
              <w:left w:w="67" w:type="dxa"/>
              <w:right w:w="67" w:type="dxa"/>
            </w:tcMar>
            <w:vAlign w:val="center"/>
          </w:tcPr>
          <w:p w14:paraId="7B6B802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61FF0E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26958E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9ABA4E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06595D"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6C9F3CD1" w14:textId="77777777" w:rsidR="00B77EA3" w:rsidRPr="0082484A" w:rsidRDefault="00B77EA3" w:rsidP="00B77EA3">
            <w:pPr>
              <w:spacing w:beforeLines="10" w:before="24" w:afterLines="10" w:after="24" w:line="240" w:lineRule="auto"/>
              <w:rPr>
                <w:sz w:val="22"/>
                <w:szCs w:val="22"/>
              </w:rPr>
            </w:pPr>
            <w:r w:rsidRPr="0082484A">
              <w:rPr>
                <w:sz w:val="22"/>
                <w:szCs w:val="22"/>
              </w:rPr>
              <w:t>Kirklees PCT vs. Wakefield PCT</w:t>
            </w:r>
          </w:p>
        </w:tc>
        <w:tc>
          <w:tcPr>
            <w:tcW w:w="1134" w:type="dxa"/>
            <w:tcBorders>
              <w:top w:val="nil"/>
              <w:left w:val="nil"/>
              <w:bottom w:val="nil"/>
              <w:right w:val="nil"/>
            </w:tcBorders>
            <w:shd w:val="clear" w:color="auto" w:fill="FFFFFF"/>
            <w:tcMar>
              <w:left w:w="67" w:type="dxa"/>
              <w:right w:w="67" w:type="dxa"/>
            </w:tcMar>
            <w:vAlign w:val="center"/>
          </w:tcPr>
          <w:p w14:paraId="33ED1D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0.3504</w:t>
            </w:r>
          </w:p>
        </w:tc>
        <w:tc>
          <w:tcPr>
            <w:tcW w:w="1134" w:type="dxa"/>
            <w:tcBorders>
              <w:top w:val="nil"/>
              <w:left w:val="nil"/>
              <w:bottom w:val="nil"/>
              <w:right w:val="nil"/>
            </w:tcBorders>
            <w:shd w:val="clear" w:color="auto" w:fill="FFFFFF"/>
            <w:tcMar>
              <w:left w:w="67" w:type="dxa"/>
              <w:right w:w="67" w:type="dxa"/>
            </w:tcMar>
            <w:vAlign w:val="center"/>
          </w:tcPr>
          <w:p w14:paraId="2A9E2A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0.4793</w:t>
            </w:r>
          </w:p>
        </w:tc>
        <w:tc>
          <w:tcPr>
            <w:tcW w:w="1134" w:type="dxa"/>
            <w:tcBorders>
              <w:top w:val="nil"/>
              <w:left w:val="nil"/>
              <w:bottom w:val="nil"/>
              <w:right w:val="nil"/>
            </w:tcBorders>
            <w:shd w:val="clear" w:color="auto" w:fill="FFFFFF"/>
            <w:tcMar>
              <w:left w:w="67" w:type="dxa"/>
              <w:right w:w="67" w:type="dxa"/>
            </w:tcMar>
            <w:vAlign w:val="center"/>
          </w:tcPr>
          <w:p w14:paraId="10C7CA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1.4196</w:t>
            </w:r>
          </w:p>
        </w:tc>
        <w:tc>
          <w:tcPr>
            <w:tcW w:w="1134" w:type="dxa"/>
            <w:tcBorders>
              <w:top w:val="nil"/>
              <w:left w:val="nil"/>
              <w:bottom w:val="nil"/>
              <w:right w:val="nil"/>
            </w:tcBorders>
            <w:shd w:val="clear" w:color="auto" w:fill="FFFFFF"/>
            <w:tcMar>
              <w:left w:w="67" w:type="dxa"/>
              <w:right w:w="67" w:type="dxa"/>
            </w:tcMar>
            <w:vAlign w:val="center"/>
          </w:tcPr>
          <w:p w14:paraId="5BA0C3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0.4847</w:t>
            </w:r>
          </w:p>
        </w:tc>
        <w:tc>
          <w:tcPr>
            <w:tcW w:w="1134" w:type="dxa"/>
            <w:tcBorders>
              <w:top w:val="nil"/>
              <w:left w:val="nil"/>
              <w:bottom w:val="nil"/>
              <w:right w:val="nil"/>
            </w:tcBorders>
            <w:shd w:val="clear" w:color="auto" w:fill="FFFFFF"/>
            <w:tcMar>
              <w:left w:w="67" w:type="dxa"/>
              <w:right w:w="67" w:type="dxa"/>
            </w:tcMar>
            <w:vAlign w:val="center"/>
          </w:tcPr>
          <w:p w14:paraId="417221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4.1578</w:t>
            </w:r>
          </w:p>
        </w:tc>
        <w:tc>
          <w:tcPr>
            <w:tcW w:w="1134" w:type="dxa"/>
            <w:tcBorders>
              <w:top w:val="nil"/>
              <w:left w:val="nil"/>
              <w:bottom w:val="nil"/>
              <w:right w:val="nil"/>
            </w:tcBorders>
            <w:shd w:val="clear" w:color="auto" w:fill="FFFFFF"/>
            <w:tcMar>
              <w:left w:w="67" w:type="dxa"/>
              <w:right w:w="67" w:type="dxa"/>
            </w:tcMar>
            <w:vAlign w:val="center"/>
          </w:tcPr>
          <w:p w14:paraId="5276E14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5AE0BC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05E19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9341C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E256B0"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3E2461D3" w14:textId="77777777" w:rsidR="00B77EA3" w:rsidRPr="0082484A" w:rsidRDefault="00B77EA3" w:rsidP="00B77EA3">
            <w:pPr>
              <w:spacing w:beforeLines="10" w:before="24" w:afterLines="10" w:after="24" w:line="240" w:lineRule="auto"/>
              <w:rPr>
                <w:sz w:val="22"/>
                <w:szCs w:val="22"/>
              </w:rPr>
            </w:pPr>
            <w:r w:rsidRPr="0082484A">
              <w:rPr>
                <w:sz w:val="22"/>
                <w:szCs w:val="22"/>
              </w:rPr>
              <w:t>Leeds PCT vs. Wakefield PCT</w:t>
            </w:r>
          </w:p>
        </w:tc>
        <w:tc>
          <w:tcPr>
            <w:tcW w:w="1134" w:type="dxa"/>
            <w:tcBorders>
              <w:top w:val="nil"/>
              <w:left w:val="nil"/>
              <w:bottom w:val="nil"/>
              <w:right w:val="nil"/>
            </w:tcBorders>
            <w:shd w:val="clear" w:color="auto" w:fill="FFFFFF"/>
            <w:tcMar>
              <w:left w:w="67" w:type="dxa"/>
              <w:right w:w="67" w:type="dxa"/>
            </w:tcMar>
            <w:vAlign w:val="center"/>
          </w:tcPr>
          <w:p w14:paraId="14C9A4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-0.2246</w:t>
            </w:r>
          </w:p>
        </w:tc>
        <w:tc>
          <w:tcPr>
            <w:tcW w:w="1134" w:type="dxa"/>
            <w:tcBorders>
              <w:top w:val="nil"/>
              <w:left w:val="nil"/>
              <w:bottom w:val="nil"/>
              <w:right w:val="nil"/>
            </w:tcBorders>
            <w:shd w:val="clear" w:color="auto" w:fill="FFFFFF"/>
            <w:tcMar>
              <w:left w:w="67" w:type="dxa"/>
              <w:right w:w="67" w:type="dxa"/>
            </w:tcMar>
            <w:vAlign w:val="center"/>
          </w:tcPr>
          <w:p w14:paraId="16C651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0.4801</w:t>
            </w:r>
          </w:p>
        </w:tc>
        <w:tc>
          <w:tcPr>
            <w:tcW w:w="1134" w:type="dxa"/>
            <w:tcBorders>
              <w:top w:val="nil"/>
              <w:left w:val="nil"/>
              <w:bottom w:val="nil"/>
              <w:right w:val="nil"/>
            </w:tcBorders>
            <w:shd w:val="clear" w:color="auto" w:fill="FFFFFF"/>
            <w:tcMar>
              <w:left w:w="67" w:type="dxa"/>
              <w:right w:w="67" w:type="dxa"/>
            </w:tcMar>
            <w:vAlign w:val="center"/>
          </w:tcPr>
          <w:p w14:paraId="51243F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0.7989</w:t>
            </w:r>
          </w:p>
        </w:tc>
        <w:tc>
          <w:tcPr>
            <w:tcW w:w="1134" w:type="dxa"/>
            <w:tcBorders>
              <w:top w:val="nil"/>
              <w:left w:val="nil"/>
              <w:bottom w:val="nil"/>
              <w:right w:val="nil"/>
            </w:tcBorders>
            <w:shd w:val="clear" w:color="auto" w:fill="FFFFFF"/>
            <w:tcMar>
              <w:left w:w="67" w:type="dxa"/>
              <w:right w:w="67" w:type="dxa"/>
            </w:tcMar>
            <w:vAlign w:val="center"/>
          </w:tcPr>
          <w:p w14:paraId="7694AA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0.2723</w:t>
            </w:r>
          </w:p>
        </w:tc>
        <w:tc>
          <w:tcPr>
            <w:tcW w:w="1134" w:type="dxa"/>
            <w:tcBorders>
              <w:top w:val="nil"/>
              <w:left w:val="nil"/>
              <w:bottom w:val="nil"/>
              <w:right w:val="nil"/>
            </w:tcBorders>
            <w:shd w:val="clear" w:color="auto" w:fill="FFFFFF"/>
            <w:tcMar>
              <w:left w:w="67" w:type="dxa"/>
              <w:right w:w="67" w:type="dxa"/>
            </w:tcMar>
            <w:vAlign w:val="center"/>
          </w:tcPr>
          <w:p w14:paraId="404C68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2.3437</w:t>
            </w:r>
          </w:p>
        </w:tc>
        <w:tc>
          <w:tcPr>
            <w:tcW w:w="1134" w:type="dxa"/>
            <w:tcBorders>
              <w:top w:val="nil"/>
              <w:left w:val="nil"/>
              <w:bottom w:val="nil"/>
              <w:right w:val="nil"/>
            </w:tcBorders>
            <w:shd w:val="clear" w:color="auto" w:fill="FFFFFF"/>
            <w:tcMar>
              <w:left w:w="67" w:type="dxa"/>
              <w:right w:w="67" w:type="dxa"/>
            </w:tcMar>
            <w:vAlign w:val="center"/>
          </w:tcPr>
          <w:p w14:paraId="4E577D7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D765F2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2C67B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4798FF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4E4906"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7954692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65224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0.0904</w:t>
            </w:r>
          </w:p>
        </w:tc>
        <w:tc>
          <w:tcPr>
            <w:tcW w:w="1134" w:type="dxa"/>
            <w:tcBorders>
              <w:top w:val="nil"/>
              <w:left w:val="nil"/>
              <w:bottom w:val="nil"/>
              <w:right w:val="nil"/>
            </w:tcBorders>
            <w:shd w:val="clear" w:color="auto" w:fill="FFFFFF"/>
            <w:tcMar>
              <w:left w:w="67" w:type="dxa"/>
              <w:right w:w="67" w:type="dxa"/>
            </w:tcMar>
            <w:vAlign w:val="center"/>
          </w:tcPr>
          <w:p w14:paraId="0844AE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0.0367</w:t>
            </w:r>
          </w:p>
        </w:tc>
        <w:tc>
          <w:tcPr>
            <w:tcW w:w="1134" w:type="dxa"/>
            <w:tcBorders>
              <w:top w:val="nil"/>
              <w:left w:val="nil"/>
              <w:bottom w:val="nil"/>
              <w:right w:val="nil"/>
            </w:tcBorders>
            <w:shd w:val="clear" w:color="auto" w:fill="FFFFFF"/>
            <w:tcMar>
              <w:left w:w="67" w:type="dxa"/>
              <w:right w:w="67" w:type="dxa"/>
            </w:tcMar>
            <w:vAlign w:val="center"/>
          </w:tcPr>
          <w:p w14:paraId="4DD5C8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1.0946</w:t>
            </w:r>
          </w:p>
        </w:tc>
        <w:tc>
          <w:tcPr>
            <w:tcW w:w="1134" w:type="dxa"/>
            <w:tcBorders>
              <w:top w:val="nil"/>
              <w:left w:val="nil"/>
              <w:bottom w:val="nil"/>
              <w:right w:val="nil"/>
            </w:tcBorders>
            <w:shd w:val="clear" w:color="auto" w:fill="FFFFFF"/>
            <w:tcMar>
              <w:left w:w="67" w:type="dxa"/>
              <w:right w:w="67" w:type="dxa"/>
            </w:tcMar>
            <w:vAlign w:val="center"/>
          </w:tcPr>
          <w:p w14:paraId="1D6DE4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1.0082</w:t>
            </w:r>
          </w:p>
        </w:tc>
        <w:tc>
          <w:tcPr>
            <w:tcW w:w="1134" w:type="dxa"/>
            <w:tcBorders>
              <w:top w:val="nil"/>
              <w:left w:val="nil"/>
              <w:bottom w:val="nil"/>
              <w:right w:val="nil"/>
            </w:tcBorders>
            <w:shd w:val="clear" w:color="auto" w:fill="FFFFFF"/>
            <w:tcMar>
              <w:left w:w="67" w:type="dxa"/>
              <w:right w:w="67" w:type="dxa"/>
            </w:tcMar>
            <w:vAlign w:val="center"/>
          </w:tcPr>
          <w:p w14:paraId="1BECA7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1.1885</w:t>
            </w:r>
          </w:p>
        </w:tc>
        <w:tc>
          <w:tcPr>
            <w:tcW w:w="1134" w:type="dxa"/>
            <w:tcBorders>
              <w:top w:val="nil"/>
              <w:left w:val="nil"/>
              <w:bottom w:val="nil"/>
              <w:right w:val="nil"/>
            </w:tcBorders>
            <w:shd w:val="clear" w:color="auto" w:fill="FFFFFF"/>
            <w:tcMar>
              <w:left w:w="67" w:type="dxa"/>
              <w:right w:w="67" w:type="dxa"/>
            </w:tcMar>
            <w:vAlign w:val="center"/>
          </w:tcPr>
          <w:p w14:paraId="60D3BA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6.07</w:t>
            </w:r>
          </w:p>
        </w:tc>
        <w:tc>
          <w:tcPr>
            <w:tcW w:w="567" w:type="dxa"/>
            <w:tcBorders>
              <w:top w:val="nil"/>
              <w:left w:val="nil"/>
              <w:bottom w:val="nil"/>
              <w:right w:val="nil"/>
            </w:tcBorders>
            <w:shd w:val="clear" w:color="auto" w:fill="FFFFFF"/>
            <w:tcMar>
              <w:left w:w="67" w:type="dxa"/>
              <w:right w:w="67" w:type="dxa"/>
            </w:tcMar>
            <w:vAlign w:val="center"/>
          </w:tcPr>
          <w:p w14:paraId="35A4F9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107C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0.0137</w:t>
            </w:r>
          </w:p>
        </w:tc>
      </w:tr>
      <w:tr w:rsidR="00B77EA3" w:rsidRPr="0082484A" w14:paraId="5FF07FB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695A01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52C9C7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B7BDE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-0.0385</w:t>
            </w:r>
          </w:p>
        </w:tc>
        <w:tc>
          <w:tcPr>
            <w:tcW w:w="1134" w:type="dxa"/>
            <w:tcBorders>
              <w:top w:val="nil"/>
              <w:left w:val="nil"/>
              <w:bottom w:val="nil"/>
              <w:right w:val="nil"/>
            </w:tcBorders>
            <w:shd w:val="clear" w:color="auto" w:fill="FFFFFF"/>
            <w:tcMar>
              <w:left w:w="67" w:type="dxa"/>
              <w:right w:w="67" w:type="dxa"/>
            </w:tcMar>
            <w:vAlign w:val="center"/>
          </w:tcPr>
          <w:p w14:paraId="1A1930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0.0239</w:t>
            </w:r>
          </w:p>
        </w:tc>
        <w:tc>
          <w:tcPr>
            <w:tcW w:w="1134" w:type="dxa"/>
            <w:tcBorders>
              <w:top w:val="nil"/>
              <w:left w:val="nil"/>
              <w:bottom w:val="nil"/>
              <w:right w:val="nil"/>
            </w:tcBorders>
            <w:shd w:val="clear" w:color="auto" w:fill="FFFFFF"/>
            <w:tcMar>
              <w:left w:w="67" w:type="dxa"/>
              <w:right w:w="67" w:type="dxa"/>
            </w:tcMar>
            <w:vAlign w:val="center"/>
          </w:tcPr>
          <w:p w14:paraId="5357B0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0.9622</w:t>
            </w:r>
          </w:p>
        </w:tc>
        <w:tc>
          <w:tcPr>
            <w:tcW w:w="1134" w:type="dxa"/>
            <w:tcBorders>
              <w:top w:val="nil"/>
              <w:left w:val="nil"/>
              <w:bottom w:val="nil"/>
              <w:right w:val="nil"/>
            </w:tcBorders>
            <w:shd w:val="clear" w:color="auto" w:fill="FFFFFF"/>
            <w:tcMar>
              <w:left w:w="67" w:type="dxa"/>
              <w:right w:w="67" w:type="dxa"/>
            </w:tcMar>
            <w:vAlign w:val="center"/>
          </w:tcPr>
          <w:p w14:paraId="660837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0.9120</w:t>
            </w:r>
          </w:p>
        </w:tc>
        <w:tc>
          <w:tcPr>
            <w:tcW w:w="1134" w:type="dxa"/>
            <w:tcBorders>
              <w:top w:val="nil"/>
              <w:left w:val="nil"/>
              <w:bottom w:val="nil"/>
              <w:right w:val="nil"/>
            </w:tcBorders>
            <w:shd w:val="clear" w:color="auto" w:fill="FFFFFF"/>
            <w:tcMar>
              <w:left w:w="67" w:type="dxa"/>
              <w:right w:w="67" w:type="dxa"/>
            </w:tcMar>
            <w:vAlign w:val="center"/>
          </w:tcPr>
          <w:p w14:paraId="643332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1.0152</w:t>
            </w:r>
          </w:p>
        </w:tc>
        <w:tc>
          <w:tcPr>
            <w:tcW w:w="1134" w:type="dxa"/>
            <w:tcBorders>
              <w:top w:val="nil"/>
              <w:left w:val="nil"/>
              <w:bottom w:val="nil"/>
              <w:right w:val="nil"/>
            </w:tcBorders>
            <w:shd w:val="clear" w:color="auto" w:fill="FFFFFF"/>
            <w:tcMar>
              <w:left w:w="67" w:type="dxa"/>
              <w:right w:w="67" w:type="dxa"/>
            </w:tcMar>
            <w:vAlign w:val="center"/>
          </w:tcPr>
          <w:p w14:paraId="1B1F6C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2.59</w:t>
            </w:r>
          </w:p>
        </w:tc>
        <w:tc>
          <w:tcPr>
            <w:tcW w:w="567" w:type="dxa"/>
            <w:tcBorders>
              <w:top w:val="nil"/>
              <w:left w:val="nil"/>
              <w:bottom w:val="nil"/>
              <w:right w:val="nil"/>
            </w:tcBorders>
            <w:shd w:val="clear" w:color="auto" w:fill="FFFFFF"/>
            <w:tcMar>
              <w:left w:w="67" w:type="dxa"/>
              <w:right w:w="67" w:type="dxa"/>
            </w:tcMar>
            <w:vAlign w:val="center"/>
          </w:tcPr>
          <w:p w14:paraId="1F8D9C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AF58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0.1073</w:t>
            </w:r>
          </w:p>
        </w:tc>
      </w:tr>
      <w:tr w:rsidR="00B77EA3" w:rsidRPr="0082484A" w14:paraId="3264D9F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8610F4A"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2E94420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8B4FC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0.0057</w:t>
            </w:r>
          </w:p>
        </w:tc>
        <w:tc>
          <w:tcPr>
            <w:tcW w:w="1134" w:type="dxa"/>
            <w:tcBorders>
              <w:top w:val="nil"/>
              <w:left w:val="nil"/>
              <w:bottom w:val="nil"/>
              <w:right w:val="nil"/>
            </w:tcBorders>
            <w:shd w:val="clear" w:color="auto" w:fill="FFFFFF"/>
            <w:tcMar>
              <w:left w:w="67" w:type="dxa"/>
              <w:right w:w="67" w:type="dxa"/>
            </w:tcMar>
            <w:vAlign w:val="center"/>
          </w:tcPr>
          <w:p w14:paraId="22374B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0.0084</w:t>
            </w:r>
          </w:p>
        </w:tc>
        <w:tc>
          <w:tcPr>
            <w:tcW w:w="1134" w:type="dxa"/>
            <w:tcBorders>
              <w:top w:val="nil"/>
              <w:left w:val="nil"/>
              <w:bottom w:val="nil"/>
              <w:right w:val="nil"/>
            </w:tcBorders>
            <w:shd w:val="clear" w:color="auto" w:fill="FFFFFF"/>
            <w:tcMar>
              <w:left w:w="67" w:type="dxa"/>
              <w:right w:w="67" w:type="dxa"/>
            </w:tcMar>
            <w:vAlign w:val="center"/>
          </w:tcPr>
          <w:p w14:paraId="3E51BA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1.0058</w:t>
            </w:r>
          </w:p>
        </w:tc>
        <w:tc>
          <w:tcPr>
            <w:tcW w:w="1134" w:type="dxa"/>
            <w:tcBorders>
              <w:top w:val="nil"/>
              <w:left w:val="nil"/>
              <w:bottom w:val="nil"/>
              <w:right w:val="nil"/>
            </w:tcBorders>
            <w:shd w:val="clear" w:color="auto" w:fill="FFFFFF"/>
            <w:tcMar>
              <w:left w:w="67" w:type="dxa"/>
              <w:right w:w="67" w:type="dxa"/>
            </w:tcMar>
            <w:vAlign w:val="center"/>
          </w:tcPr>
          <w:p w14:paraId="607E93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0.9870</w:t>
            </w:r>
          </w:p>
        </w:tc>
        <w:tc>
          <w:tcPr>
            <w:tcW w:w="1134" w:type="dxa"/>
            <w:tcBorders>
              <w:top w:val="nil"/>
              <w:left w:val="nil"/>
              <w:bottom w:val="nil"/>
              <w:right w:val="nil"/>
            </w:tcBorders>
            <w:shd w:val="clear" w:color="auto" w:fill="FFFFFF"/>
            <w:tcMar>
              <w:left w:w="67" w:type="dxa"/>
              <w:right w:w="67" w:type="dxa"/>
            </w:tcMar>
            <w:vAlign w:val="center"/>
          </w:tcPr>
          <w:p w14:paraId="72F487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1.0248</w:t>
            </w:r>
          </w:p>
        </w:tc>
        <w:tc>
          <w:tcPr>
            <w:tcW w:w="1134" w:type="dxa"/>
            <w:tcBorders>
              <w:top w:val="nil"/>
              <w:left w:val="nil"/>
              <w:bottom w:val="nil"/>
              <w:right w:val="nil"/>
            </w:tcBorders>
            <w:shd w:val="clear" w:color="auto" w:fill="FFFFFF"/>
            <w:tcMar>
              <w:left w:w="67" w:type="dxa"/>
              <w:right w:w="67" w:type="dxa"/>
            </w:tcMar>
            <w:vAlign w:val="center"/>
          </w:tcPr>
          <w:p w14:paraId="29FA4F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w:t>
            </w:r>
          </w:p>
        </w:tc>
        <w:tc>
          <w:tcPr>
            <w:tcW w:w="567" w:type="dxa"/>
            <w:tcBorders>
              <w:top w:val="nil"/>
              <w:left w:val="nil"/>
              <w:bottom w:val="nil"/>
              <w:right w:val="nil"/>
            </w:tcBorders>
            <w:shd w:val="clear" w:color="auto" w:fill="FFFFFF"/>
            <w:tcMar>
              <w:left w:w="67" w:type="dxa"/>
              <w:right w:w="67" w:type="dxa"/>
            </w:tcMar>
            <w:vAlign w:val="center"/>
          </w:tcPr>
          <w:p w14:paraId="02D47B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8982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0.4937</w:t>
            </w:r>
          </w:p>
        </w:tc>
      </w:tr>
      <w:tr w:rsidR="00B77EA3" w:rsidRPr="0082484A" w14:paraId="5C35D7F4"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20ABF28"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15446F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93409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-0.1649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C4F6A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0.1895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DB62B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0.8480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BE66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0.5545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36D32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F355C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D2BF0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9A8CF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0.3844</w:t>
            </w:r>
          </w:p>
        </w:tc>
      </w:tr>
    </w:tbl>
    <w:p w14:paraId="18AA8D46" w14:textId="77777777" w:rsidR="00B77EA3" w:rsidRPr="0082484A" w:rsidRDefault="00B77EA3" w:rsidP="00B77EA3">
      <w:pPr>
        <w:spacing w:before="0" w:line="240" w:lineRule="auto"/>
        <w:contextualSpacing/>
        <w:rPr>
          <w:sz w:val="22"/>
          <w:szCs w:val="22"/>
        </w:rPr>
      </w:pPr>
      <w:r w:rsidRPr="0082484A">
        <w:rPr>
          <w:sz w:val="22"/>
          <w:szCs w:val="22"/>
          <w:vertAlign w:val="superscript"/>
        </w:rPr>
        <w:t>a</w:t>
      </w:r>
      <w:r w:rsidRPr="0082484A">
        <w:rPr>
          <w:sz w:val="22"/>
          <w:szCs w:val="22"/>
        </w:rPr>
        <w:t xml:space="preserve"> CCGs were grouped into former PCTs to aid model convergence</w:t>
      </w:r>
    </w:p>
    <w:p w14:paraId="61FA83E7"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being prescribed warfarin and a traditional oral NSAID is 878</w:t>
      </w:r>
    </w:p>
    <w:p w14:paraId="62A32E13" w14:textId="77777777" w:rsidR="00B77EA3" w:rsidRPr="0082484A" w:rsidRDefault="00B77EA3" w:rsidP="00B77EA3">
      <w:pPr>
        <w:spacing w:before="0" w:after="160" w:line="259" w:lineRule="auto"/>
        <w:rPr>
          <w:sz w:val="22"/>
          <w:szCs w:val="22"/>
        </w:rPr>
      </w:pPr>
      <w:r w:rsidRPr="0082484A">
        <w:rPr>
          <w:sz w:val="22"/>
          <w:szCs w:val="22"/>
        </w:rPr>
        <w:br w:type="page"/>
      </w:r>
    </w:p>
    <w:p w14:paraId="292B8418" w14:textId="599617D9" w:rsidR="00B77EA3" w:rsidRPr="0082484A" w:rsidRDefault="00B77EA3" w:rsidP="00B77EA3">
      <w:pPr>
        <w:spacing w:before="0" w:line="240" w:lineRule="auto"/>
        <w:rPr>
          <w:bCs/>
          <w:sz w:val="22"/>
          <w:szCs w:val="22"/>
        </w:rPr>
      </w:pPr>
      <w:bookmarkStart w:id="120" w:name="_Ref502917955"/>
      <w:bookmarkStart w:id="121" w:name="_Toc8728106"/>
      <w:bookmarkStart w:id="122" w:name="_Toc19526761"/>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32</w:t>
      </w:r>
      <w:r w:rsidRPr="0082484A">
        <w:rPr>
          <w:bCs/>
          <w:noProof/>
          <w:sz w:val="22"/>
          <w:szCs w:val="22"/>
        </w:rPr>
        <w:fldChar w:fldCharType="end"/>
      </w:r>
      <w:bookmarkEnd w:id="120"/>
      <w:r w:rsidRPr="0082484A">
        <w:rPr>
          <w:bCs/>
          <w:sz w:val="22"/>
          <w:szCs w:val="22"/>
        </w:rPr>
        <w:t>: Secondary outcome for Trial 1: Prescribing of warfarin and low-dose aspirin or clopidogrel without co-prescription of gastro-protection (WP4A)</w:t>
      </w:r>
      <w:bookmarkEnd w:id="121"/>
      <w:bookmarkEnd w:id="122"/>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1BAC0E6A"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577437F" w14:textId="77777777" w:rsidR="00B77EA3" w:rsidRPr="0082484A" w:rsidRDefault="00B77EA3" w:rsidP="00B77EA3">
            <w:pPr>
              <w:spacing w:beforeLines="10" w:before="24" w:afterLines="10" w:after="24" w:line="240" w:lineRule="auto"/>
              <w:rPr>
                <w:bCs/>
                <w:sz w:val="22"/>
                <w:szCs w:val="22"/>
              </w:rPr>
            </w:pPr>
            <w:bookmarkStart w:id="123" w:name="IDX150"/>
            <w:bookmarkEnd w:id="123"/>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B650A25"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E43115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FC557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468D9C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769B4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22ED3C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80020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EDA234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187393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84D397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2B1BAE5"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75BBA7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450DF1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-0.0531</w:t>
            </w:r>
          </w:p>
        </w:tc>
        <w:tc>
          <w:tcPr>
            <w:tcW w:w="1134" w:type="dxa"/>
            <w:tcBorders>
              <w:top w:val="nil"/>
              <w:left w:val="nil"/>
              <w:bottom w:val="nil"/>
              <w:right w:val="nil"/>
            </w:tcBorders>
            <w:shd w:val="clear" w:color="auto" w:fill="FFFFFF"/>
            <w:tcMar>
              <w:left w:w="67" w:type="dxa"/>
              <w:right w:w="67" w:type="dxa"/>
            </w:tcMar>
            <w:vAlign w:val="center"/>
          </w:tcPr>
          <w:p w14:paraId="4308CF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0.3037</w:t>
            </w:r>
          </w:p>
        </w:tc>
        <w:tc>
          <w:tcPr>
            <w:tcW w:w="1134" w:type="dxa"/>
            <w:tcBorders>
              <w:top w:val="nil"/>
              <w:left w:val="nil"/>
              <w:bottom w:val="nil"/>
              <w:right w:val="nil"/>
            </w:tcBorders>
            <w:shd w:val="clear" w:color="auto" w:fill="FFFFFF"/>
            <w:tcMar>
              <w:left w:w="67" w:type="dxa"/>
              <w:right w:w="67" w:type="dxa"/>
            </w:tcMar>
            <w:vAlign w:val="center"/>
          </w:tcPr>
          <w:p w14:paraId="441B85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0.9483</w:t>
            </w:r>
          </w:p>
        </w:tc>
        <w:tc>
          <w:tcPr>
            <w:tcW w:w="1134" w:type="dxa"/>
            <w:tcBorders>
              <w:top w:val="nil"/>
              <w:left w:val="nil"/>
              <w:bottom w:val="nil"/>
              <w:right w:val="nil"/>
            </w:tcBorders>
            <w:shd w:val="clear" w:color="auto" w:fill="FFFFFF"/>
            <w:tcMar>
              <w:left w:w="67" w:type="dxa"/>
              <w:right w:w="67" w:type="dxa"/>
            </w:tcMar>
            <w:vAlign w:val="center"/>
          </w:tcPr>
          <w:p w14:paraId="6EEB3F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0.4783</w:t>
            </w:r>
          </w:p>
        </w:tc>
        <w:tc>
          <w:tcPr>
            <w:tcW w:w="1134" w:type="dxa"/>
            <w:tcBorders>
              <w:top w:val="nil"/>
              <w:left w:val="nil"/>
              <w:bottom w:val="nil"/>
              <w:right w:val="nil"/>
            </w:tcBorders>
            <w:shd w:val="clear" w:color="auto" w:fill="FFFFFF"/>
            <w:tcMar>
              <w:left w:w="67" w:type="dxa"/>
              <w:right w:w="67" w:type="dxa"/>
            </w:tcMar>
            <w:vAlign w:val="center"/>
          </w:tcPr>
          <w:p w14:paraId="51F6F2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1.8803</w:t>
            </w:r>
          </w:p>
        </w:tc>
        <w:tc>
          <w:tcPr>
            <w:tcW w:w="1134" w:type="dxa"/>
            <w:tcBorders>
              <w:top w:val="nil"/>
              <w:left w:val="nil"/>
              <w:bottom w:val="nil"/>
              <w:right w:val="nil"/>
            </w:tcBorders>
            <w:shd w:val="clear" w:color="auto" w:fill="FFFFFF"/>
            <w:tcMar>
              <w:left w:w="67" w:type="dxa"/>
              <w:right w:w="67" w:type="dxa"/>
            </w:tcMar>
            <w:vAlign w:val="center"/>
          </w:tcPr>
          <w:p w14:paraId="09C578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77B72F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ACE1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0.8614</w:t>
            </w:r>
          </w:p>
        </w:tc>
      </w:tr>
      <w:tr w:rsidR="00B77EA3" w:rsidRPr="0082484A" w14:paraId="304A1F2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A378C8"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3B5D5A9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769F7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-0.1072</w:t>
            </w:r>
          </w:p>
        </w:tc>
        <w:tc>
          <w:tcPr>
            <w:tcW w:w="1134" w:type="dxa"/>
            <w:tcBorders>
              <w:top w:val="nil"/>
              <w:left w:val="nil"/>
              <w:bottom w:val="nil"/>
              <w:right w:val="nil"/>
            </w:tcBorders>
            <w:shd w:val="clear" w:color="auto" w:fill="FFFFFF"/>
            <w:tcMar>
              <w:left w:w="67" w:type="dxa"/>
              <w:right w:w="67" w:type="dxa"/>
            </w:tcMar>
            <w:vAlign w:val="center"/>
          </w:tcPr>
          <w:p w14:paraId="073E3C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0.2720</w:t>
            </w:r>
          </w:p>
        </w:tc>
        <w:tc>
          <w:tcPr>
            <w:tcW w:w="1134" w:type="dxa"/>
            <w:tcBorders>
              <w:top w:val="nil"/>
              <w:left w:val="nil"/>
              <w:bottom w:val="nil"/>
              <w:right w:val="nil"/>
            </w:tcBorders>
            <w:shd w:val="clear" w:color="auto" w:fill="FFFFFF"/>
            <w:tcMar>
              <w:left w:w="67" w:type="dxa"/>
              <w:right w:w="67" w:type="dxa"/>
            </w:tcMar>
            <w:vAlign w:val="center"/>
          </w:tcPr>
          <w:p w14:paraId="79AE1D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0.8984</w:t>
            </w:r>
          </w:p>
        </w:tc>
        <w:tc>
          <w:tcPr>
            <w:tcW w:w="1134" w:type="dxa"/>
            <w:tcBorders>
              <w:top w:val="nil"/>
              <w:left w:val="nil"/>
              <w:bottom w:val="nil"/>
              <w:right w:val="nil"/>
            </w:tcBorders>
            <w:shd w:val="clear" w:color="auto" w:fill="FFFFFF"/>
            <w:tcMar>
              <w:left w:w="67" w:type="dxa"/>
              <w:right w:w="67" w:type="dxa"/>
            </w:tcMar>
            <w:vAlign w:val="center"/>
          </w:tcPr>
          <w:p w14:paraId="279EFF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0.4866</w:t>
            </w:r>
          </w:p>
        </w:tc>
        <w:tc>
          <w:tcPr>
            <w:tcW w:w="1134" w:type="dxa"/>
            <w:tcBorders>
              <w:top w:val="nil"/>
              <w:left w:val="nil"/>
              <w:bottom w:val="nil"/>
              <w:right w:val="nil"/>
            </w:tcBorders>
            <w:shd w:val="clear" w:color="auto" w:fill="FFFFFF"/>
            <w:tcMar>
              <w:left w:w="67" w:type="dxa"/>
              <w:right w:w="67" w:type="dxa"/>
            </w:tcMar>
            <w:vAlign w:val="center"/>
          </w:tcPr>
          <w:p w14:paraId="19AF68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1.6584</w:t>
            </w:r>
          </w:p>
        </w:tc>
        <w:tc>
          <w:tcPr>
            <w:tcW w:w="1134" w:type="dxa"/>
            <w:tcBorders>
              <w:top w:val="nil"/>
              <w:left w:val="nil"/>
              <w:bottom w:val="nil"/>
              <w:right w:val="nil"/>
            </w:tcBorders>
            <w:shd w:val="clear" w:color="auto" w:fill="FFFFFF"/>
            <w:tcMar>
              <w:left w:w="67" w:type="dxa"/>
              <w:right w:w="67" w:type="dxa"/>
            </w:tcMar>
            <w:vAlign w:val="center"/>
          </w:tcPr>
          <w:p w14:paraId="79485D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w:t>
            </w:r>
          </w:p>
        </w:tc>
        <w:tc>
          <w:tcPr>
            <w:tcW w:w="567" w:type="dxa"/>
            <w:tcBorders>
              <w:top w:val="nil"/>
              <w:left w:val="nil"/>
              <w:bottom w:val="nil"/>
              <w:right w:val="nil"/>
            </w:tcBorders>
            <w:shd w:val="clear" w:color="auto" w:fill="FFFFFF"/>
            <w:tcMar>
              <w:left w:w="67" w:type="dxa"/>
              <w:right w:w="67" w:type="dxa"/>
            </w:tcMar>
            <w:vAlign w:val="center"/>
          </w:tcPr>
          <w:p w14:paraId="684251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2AE9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0.6938</w:t>
            </w:r>
          </w:p>
        </w:tc>
      </w:tr>
      <w:tr w:rsidR="00B77EA3" w:rsidRPr="0082484A" w14:paraId="586AC8D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997D6C"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696D6DC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61A3B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0.0078</w:t>
            </w:r>
          </w:p>
        </w:tc>
        <w:tc>
          <w:tcPr>
            <w:tcW w:w="1134" w:type="dxa"/>
            <w:tcBorders>
              <w:top w:val="nil"/>
              <w:left w:val="nil"/>
              <w:bottom w:val="nil"/>
              <w:right w:val="nil"/>
            </w:tcBorders>
            <w:shd w:val="clear" w:color="auto" w:fill="FFFFFF"/>
            <w:tcMar>
              <w:left w:w="67" w:type="dxa"/>
              <w:right w:w="67" w:type="dxa"/>
            </w:tcMar>
            <w:vAlign w:val="center"/>
          </w:tcPr>
          <w:p w14:paraId="577A91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0.0103</w:t>
            </w:r>
          </w:p>
        </w:tc>
        <w:tc>
          <w:tcPr>
            <w:tcW w:w="1134" w:type="dxa"/>
            <w:tcBorders>
              <w:top w:val="nil"/>
              <w:left w:val="nil"/>
              <w:bottom w:val="nil"/>
              <w:right w:val="nil"/>
            </w:tcBorders>
            <w:shd w:val="clear" w:color="auto" w:fill="FFFFFF"/>
            <w:tcMar>
              <w:left w:w="67" w:type="dxa"/>
              <w:right w:w="67" w:type="dxa"/>
            </w:tcMar>
            <w:vAlign w:val="center"/>
          </w:tcPr>
          <w:p w14:paraId="141A72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1.0079</w:t>
            </w:r>
          </w:p>
        </w:tc>
        <w:tc>
          <w:tcPr>
            <w:tcW w:w="1134" w:type="dxa"/>
            <w:tcBorders>
              <w:top w:val="nil"/>
              <w:left w:val="nil"/>
              <w:bottom w:val="nil"/>
              <w:right w:val="nil"/>
            </w:tcBorders>
            <w:shd w:val="clear" w:color="auto" w:fill="FFFFFF"/>
            <w:tcMar>
              <w:left w:w="67" w:type="dxa"/>
              <w:right w:w="67" w:type="dxa"/>
            </w:tcMar>
            <w:vAlign w:val="center"/>
          </w:tcPr>
          <w:p w14:paraId="55A421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0.9847</w:t>
            </w:r>
          </w:p>
        </w:tc>
        <w:tc>
          <w:tcPr>
            <w:tcW w:w="1134" w:type="dxa"/>
            <w:tcBorders>
              <w:top w:val="nil"/>
              <w:left w:val="nil"/>
              <w:bottom w:val="nil"/>
              <w:right w:val="nil"/>
            </w:tcBorders>
            <w:shd w:val="clear" w:color="auto" w:fill="FFFFFF"/>
            <w:tcMar>
              <w:left w:w="67" w:type="dxa"/>
              <w:right w:w="67" w:type="dxa"/>
            </w:tcMar>
            <w:vAlign w:val="center"/>
          </w:tcPr>
          <w:p w14:paraId="14999E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1.0315</w:t>
            </w:r>
          </w:p>
        </w:tc>
        <w:tc>
          <w:tcPr>
            <w:tcW w:w="1134" w:type="dxa"/>
            <w:tcBorders>
              <w:top w:val="nil"/>
              <w:left w:val="nil"/>
              <w:bottom w:val="nil"/>
              <w:right w:val="nil"/>
            </w:tcBorders>
            <w:shd w:val="clear" w:color="auto" w:fill="FFFFFF"/>
            <w:tcMar>
              <w:left w:w="67" w:type="dxa"/>
              <w:right w:w="67" w:type="dxa"/>
            </w:tcMar>
            <w:vAlign w:val="center"/>
          </w:tcPr>
          <w:p w14:paraId="6472D3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w:t>
            </w:r>
          </w:p>
        </w:tc>
        <w:tc>
          <w:tcPr>
            <w:tcW w:w="567" w:type="dxa"/>
            <w:tcBorders>
              <w:top w:val="nil"/>
              <w:left w:val="nil"/>
              <w:bottom w:val="nil"/>
              <w:right w:val="nil"/>
            </w:tcBorders>
            <w:shd w:val="clear" w:color="auto" w:fill="FFFFFF"/>
            <w:tcMar>
              <w:left w:w="67" w:type="dxa"/>
              <w:right w:w="67" w:type="dxa"/>
            </w:tcMar>
            <w:vAlign w:val="center"/>
          </w:tcPr>
          <w:p w14:paraId="2420E5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0B5F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0.4478</w:t>
            </w:r>
          </w:p>
        </w:tc>
      </w:tr>
      <w:tr w:rsidR="00B77EA3" w:rsidRPr="0082484A" w14:paraId="16594A1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3A84C48"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A832E0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5890A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-0.0047</w:t>
            </w:r>
          </w:p>
        </w:tc>
        <w:tc>
          <w:tcPr>
            <w:tcW w:w="1134" w:type="dxa"/>
            <w:tcBorders>
              <w:top w:val="nil"/>
              <w:left w:val="nil"/>
              <w:bottom w:val="nil"/>
              <w:right w:val="nil"/>
            </w:tcBorders>
            <w:shd w:val="clear" w:color="auto" w:fill="FFFFFF"/>
            <w:tcMar>
              <w:left w:w="67" w:type="dxa"/>
              <w:right w:w="67" w:type="dxa"/>
            </w:tcMar>
            <w:vAlign w:val="center"/>
          </w:tcPr>
          <w:p w14:paraId="055EC9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0.0045</w:t>
            </w:r>
          </w:p>
        </w:tc>
        <w:tc>
          <w:tcPr>
            <w:tcW w:w="1134" w:type="dxa"/>
            <w:tcBorders>
              <w:top w:val="nil"/>
              <w:left w:val="nil"/>
              <w:bottom w:val="nil"/>
              <w:right w:val="nil"/>
            </w:tcBorders>
            <w:shd w:val="clear" w:color="auto" w:fill="FFFFFF"/>
            <w:tcMar>
              <w:left w:w="67" w:type="dxa"/>
              <w:right w:w="67" w:type="dxa"/>
            </w:tcMar>
            <w:vAlign w:val="center"/>
          </w:tcPr>
          <w:p w14:paraId="205E82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0.9953</w:t>
            </w:r>
          </w:p>
        </w:tc>
        <w:tc>
          <w:tcPr>
            <w:tcW w:w="1134" w:type="dxa"/>
            <w:tcBorders>
              <w:top w:val="nil"/>
              <w:left w:val="nil"/>
              <w:bottom w:val="nil"/>
              <w:right w:val="nil"/>
            </w:tcBorders>
            <w:shd w:val="clear" w:color="auto" w:fill="FFFFFF"/>
            <w:tcMar>
              <w:left w:w="67" w:type="dxa"/>
              <w:right w:w="67" w:type="dxa"/>
            </w:tcMar>
            <w:vAlign w:val="center"/>
          </w:tcPr>
          <w:p w14:paraId="64D13E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0.9853</w:t>
            </w:r>
          </w:p>
        </w:tc>
        <w:tc>
          <w:tcPr>
            <w:tcW w:w="1134" w:type="dxa"/>
            <w:tcBorders>
              <w:top w:val="nil"/>
              <w:left w:val="nil"/>
              <w:bottom w:val="nil"/>
              <w:right w:val="nil"/>
            </w:tcBorders>
            <w:shd w:val="clear" w:color="auto" w:fill="FFFFFF"/>
            <w:tcMar>
              <w:left w:w="67" w:type="dxa"/>
              <w:right w:w="67" w:type="dxa"/>
            </w:tcMar>
            <w:vAlign w:val="center"/>
          </w:tcPr>
          <w:p w14:paraId="4A50BE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1.0055</w:t>
            </w:r>
          </w:p>
        </w:tc>
        <w:tc>
          <w:tcPr>
            <w:tcW w:w="1134" w:type="dxa"/>
            <w:tcBorders>
              <w:top w:val="nil"/>
              <w:left w:val="nil"/>
              <w:bottom w:val="nil"/>
              <w:right w:val="nil"/>
            </w:tcBorders>
            <w:shd w:val="clear" w:color="auto" w:fill="FFFFFF"/>
            <w:tcMar>
              <w:left w:w="67" w:type="dxa"/>
              <w:right w:w="67" w:type="dxa"/>
            </w:tcMar>
            <w:vAlign w:val="center"/>
          </w:tcPr>
          <w:p w14:paraId="16AA53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w:t>
            </w:r>
          </w:p>
        </w:tc>
        <w:tc>
          <w:tcPr>
            <w:tcW w:w="567" w:type="dxa"/>
            <w:tcBorders>
              <w:top w:val="nil"/>
              <w:left w:val="nil"/>
              <w:bottom w:val="nil"/>
              <w:right w:val="nil"/>
            </w:tcBorders>
            <w:shd w:val="clear" w:color="auto" w:fill="FFFFFF"/>
            <w:tcMar>
              <w:left w:w="67" w:type="dxa"/>
              <w:right w:w="67" w:type="dxa"/>
            </w:tcMar>
            <w:vAlign w:val="center"/>
          </w:tcPr>
          <w:p w14:paraId="1F4200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24BC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0.3026</w:t>
            </w:r>
          </w:p>
        </w:tc>
      </w:tr>
      <w:tr w:rsidR="00B77EA3" w:rsidRPr="0082484A" w14:paraId="3E9E2EC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7C25F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07C8D411" w14:textId="77777777" w:rsidR="00B77EA3" w:rsidRPr="0082484A" w:rsidRDefault="00B77EA3" w:rsidP="00B77EA3">
            <w:pPr>
              <w:spacing w:beforeLines="10" w:before="24" w:afterLines="10" w:after="24" w:line="240" w:lineRule="auto"/>
              <w:rPr>
                <w:sz w:val="22"/>
                <w:szCs w:val="22"/>
              </w:rPr>
            </w:pPr>
            <w:r w:rsidRPr="0082484A">
              <w:rPr>
                <w:sz w:val="22"/>
                <w:szCs w:val="22"/>
              </w:rPr>
              <w:t xml:space="preserve">Bradford PCT vs. Wakefield PCT </w:t>
            </w:r>
          </w:p>
        </w:tc>
        <w:tc>
          <w:tcPr>
            <w:tcW w:w="1134" w:type="dxa"/>
            <w:tcBorders>
              <w:top w:val="nil"/>
              <w:left w:val="nil"/>
              <w:bottom w:val="nil"/>
              <w:right w:val="nil"/>
            </w:tcBorders>
            <w:shd w:val="clear" w:color="auto" w:fill="FFFFFF"/>
            <w:tcMar>
              <w:left w:w="67" w:type="dxa"/>
              <w:right w:w="67" w:type="dxa"/>
            </w:tcMar>
            <w:vAlign w:val="center"/>
          </w:tcPr>
          <w:p w14:paraId="3E7C3C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-0.4596</w:t>
            </w:r>
          </w:p>
        </w:tc>
        <w:tc>
          <w:tcPr>
            <w:tcW w:w="1134" w:type="dxa"/>
            <w:tcBorders>
              <w:top w:val="nil"/>
              <w:left w:val="nil"/>
              <w:bottom w:val="nil"/>
              <w:right w:val="nil"/>
            </w:tcBorders>
            <w:shd w:val="clear" w:color="auto" w:fill="FFFFFF"/>
            <w:tcMar>
              <w:left w:w="67" w:type="dxa"/>
              <w:right w:w="67" w:type="dxa"/>
            </w:tcMar>
            <w:vAlign w:val="center"/>
          </w:tcPr>
          <w:p w14:paraId="3F1CBC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0.4598</w:t>
            </w:r>
          </w:p>
        </w:tc>
        <w:tc>
          <w:tcPr>
            <w:tcW w:w="1134" w:type="dxa"/>
            <w:tcBorders>
              <w:top w:val="nil"/>
              <w:left w:val="nil"/>
              <w:bottom w:val="nil"/>
              <w:right w:val="nil"/>
            </w:tcBorders>
            <w:shd w:val="clear" w:color="auto" w:fill="FFFFFF"/>
            <w:tcMar>
              <w:left w:w="67" w:type="dxa"/>
              <w:right w:w="67" w:type="dxa"/>
            </w:tcMar>
            <w:vAlign w:val="center"/>
          </w:tcPr>
          <w:p w14:paraId="4C6F98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0.6315</w:t>
            </w:r>
          </w:p>
        </w:tc>
        <w:tc>
          <w:tcPr>
            <w:tcW w:w="1134" w:type="dxa"/>
            <w:tcBorders>
              <w:top w:val="nil"/>
              <w:left w:val="nil"/>
              <w:bottom w:val="nil"/>
              <w:right w:val="nil"/>
            </w:tcBorders>
            <w:shd w:val="clear" w:color="auto" w:fill="FFFFFF"/>
            <w:tcMar>
              <w:left w:w="67" w:type="dxa"/>
              <w:right w:w="67" w:type="dxa"/>
            </w:tcMar>
            <w:vAlign w:val="center"/>
          </w:tcPr>
          <w:p w14:paraId="704AB1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0.2240</w:t>
            </w:r>
          </w:p>
        </w:tc>
        <w:tc>
          <w:tcPr>
            <w:tcW w:w="1134" w:type="dxa"/>
            <w:tcBorders>
              <w:top w:val="nil"/>
              <w:left w:val="nil"/>
              <w:bottom w:val="nil"/>
              <w:right w:val="nil"/>
            </w:tcBorders>
            <w:shd w:val="clear" w:color="auto" w:fill="FFFFFF"/>
            <w:tcMar>
              <w:left w:w="67" w:type="dxa"/>
              <w:right w:w="67" w:type="dxa"/>
            </w:tcMar>
            <w:vAlign w:val="center"/>
          </w:tcPr>
          <w:p w14:paraId="7C8B9A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1.7802</w:t>
            </w:r>
          </w:p>
        </w:tc>
        <w:tc>
          <w:tcPr>
            <w:tcW w:w="1134" w:type="dxa"/>
            <w:tcBorders>
              <w:top w:val="nil"/>
              <w:left w:val="nil"/>
              <w:bottom w:val="nil"/>
              <w:right w:val="nil"/>
            </w:tcBorders>
            <w:shd w:val="clear" w:color="auto" w:fill="FFFFFF"/>
            <w:tcMar>
              <w:left w:w="67" w:type="dxa"/>
              <w:right w:w="67" w:type="dxa"/>
            </w:tcMar>
            <w:vAlign w:val="center"/>
          </w:tcPr>
          <w:p w14:paraId="12A518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2.34</w:t>
            </w:r>
          </w:p>
        </w:tc>
        <w:tc>
          <w:tcPr>
            <w:tcW w:w="567" w:type="dxa"/>
            <w:tcBorders>
              <w:top w:val="nil"/>
              <w:left w:val="nil"/>
              <w:bottom w:val="nil"/>
              <w:right w:val="nil"/>
            </w:tcBorders>
            <w:shd w:val="clear" w:color="auto" w:fill="FFFFFF"/>
            <w:tcMar>
              <w:left w:w="67" w:type="dxa"/>
              <w:right w:w="67" w:type="dxa"/>
            </w:tcMar>
            <w:vAlign w:val="center"/>
          </w:tcPr>
          <w:p w14:paraId="629824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AC00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0.0553</w:t>
            </w:r>
          </w:p>
        </w:tc>
      </w:tr>
      <w:tr w:rsidR="00B77EA3" w:rsidRPr="0082484A" w14:paraId="6517E6B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574CD40"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7CF2FBFE" w14:textId="77777777" w:rsidR="00B77EA3" w:rsidRPr="0082484A" w:rsidRDefault="00B77EA3" w:rsidP="00B77EA3">
            <w:pPr>
              <w:spacing w:beforeLines="10" w:before="24" w:afterLines="10" w:after="24" w:line="240" w:lineRule="auto"/>
              <w:rPr>
                <w:sz w:val="22"/>
                <w:szCs w:val="22"/>
              </w:rPr>
            </w:pPr>
            <w:r w:rsidRPr="0082484A">
              <w:rPr>
                <w:sz w:val="22"/>
                <w:szCs w:val="22"/>
              </w:rPr>
              <w:t>Calderdale PCT vs. Wakefield PCT</w:t>
            </w:r>
          </w:p>
        </w:tc>
        <w:tc>
          <w:tcPr>
            <w:tcW w:w="1134" w:type="dxa"/>
            <w:tcBorders>
              <w:top w:val="nil"/>
              <w:left w:val="nil"/>
              <w:bottom w:val="nil"/>
              <w:right w:val="nil"/>
            </w:tcBorders>
            <w:shd w:val="clear" w:color="auto" w:fill="FFFFFF"/>
            <w:tcMar>
              <w:left w:w="67" w:type="dxa"/>
              <w:right w:w="67" w:type="dxa"/>
            </w:tcMar>
            <w:vAlign w:val="center"/>
          </w:tcPr>
          <w:p w14:paraId="10BA47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-1.3355</w:t>
            </w:r>
          </w:p>
        </w:tc>
        <w:tc>
          <w:tcPr>
            <w:tcW w:w="1134" w:type="dxa"/>
            <w:tcBorders>
              <w:top w:val="nil"/>
              <w:left w:val="nil"/>
              <w:bottom w:val="nil"/>
              <w:right w:val="nil"/>
            </w:tcBorders>
            <w:shd w:val="clear" w:color="auto" w:fill="FFFFFF"/>
            <w:tcMar>
              <w:left w:w="67" w:type="dxa"/>
              <w:right w:w="67" w:type="dxa"/>
            </w:tcMar>
            <w:vAlign w:val="center"/>
          </w:tcPr>
          <w:p w14:paraId="55472F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0.6378</w:t>
            </w:r>
          </w:p>
        </w:tc>
        <w:tc>
          <w:tcPr>
            <w:tcW w:w="1134" w:type="dxa"/>
            <w:tcBorders>
              <w:top w:val="nil"/>
              <w:left w:val="nil"/>
              <w:bottom w:val="nil"/>
              <w:right w:val="nil"/>
            </w:tcBorders>
            <w:shd w:val="clear" w:color="auto" w:fill="FFFFFF"/>
            <w:tcMar>
              <w:left w:w="67" w:type="dxa"/>
              <w:right w:w="67" w:type="dxa"/>
            </w:tcMar>
            <w:vAlign w:val="center"/>
          </w:tcPr>
          <w:p w14:paraId="270486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0.2630</w:t>
            </w:r>
          </w:p>
        </w:tc>
        <w:tc>
          <w:tcPr>
            <w:tcW w:w="1134" w:type="dxa"/>
            <w:tcBorders>
              <w:top w:val="nil"/>
              <w:left w:val="nil"/>
              <w:bottom w:val="nil"/>
              <w:right w:val="nil"/>
            </w:tcBorders>
            <w:shd w:val="clear" w:color="auto" w:fill="FFFFFF"/>
            <w:tcMar>
              <w:left w:w="67" w:type="dxa"/>
              <w:right w:w="67" w:type="dxa"/>
            </w:tcMar>
            <w:vAlign w:val="center"/>
          </w:tcPr>
          <w:p w14:paraId="73A427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0.0625</w:t>
            </w:r>
          </w:p>
        </w:tc>
        <w:tc>
          <w:tcPr>
            <w:tcW w:w="1134" w:type="dxa"/>
            <w:tcBorders>
              <w:top w:val="nil"/>
              <w:left w:val="nil"/>
              <w:bottom w:val="nil"/>
              <w:right w:val="nil"/>
            </w:tcBorders>
            <w:shd w:val="clear" w:color="auto" w:fill="FFFFFF"/>
            <w:tcMar>
              <w:left w:w="67" w:type="dxa"/>
              <w:right w:w="67" w:type="dxa"/>
            </w:tcMar>
            <w:vAlign w:val="center"/>
          </w:tcPr>
          <w:p w14:paraId="7B8E57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1.1075</w:t>
            </w:r>
          </w:p>
        </w:tc>
        <w:tc>
          <w:tcPr>
            <w:tcW w:w="1134" w:type="dxa"/>
            <w:tcBorders>
              <w:top w:val="nil"/>
              <w:left w:val="nil"/>
              <w:bottom w:val="nil"/>
              <w:right w:val="nil"/>
            </w:tcBorders>
            <w:shd w:val="clear" w:color="auto" w:fill="FFFFFF"/>
            <w:tcMar>
              <w:left w:w="67" w:type="dxa"/>
              <w:right w:w="67" w:type="dxa"/>
            </w:tcMar>
            <w:vAlign w:val="center"/>
          </w:tcPr>
          <w:p w14:paraId="1EB1D0E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A8EDA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9B1626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9E67AB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FC207A"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4376C229" w14:textId="77777777" w:rsidR="00B77EA3" w:rsidRPr="0082484A" w:rsidRDefault="00B77EA3" w:rsidP="00B77EA3">
            <w:pPr>
              <w:spacing w:beforeLines="10" w:before="24" w:afterLines="10" w:after="24" w:line="240" w:lineRule="auto"/>
              <w:rPr>
                <w:sz w:val="22"/>
                <w:szCs w:val="22"/>
              </w:rPr>
            </w:pPr>
            <w:r w:rsidRPr="0082484A">
              <w:rPr>
                <w:sz w:val="22"/>
                <w:szCs w:val="22"/>
              </w:rPr>
              <w:t>Kirklees PCT vs. Wakefield PCT</w:t>
            </w:r>
          </w:p>
        </w:tc>
        <w:tc>
          <w:tcPr>
            <w:tcW w:w="1134" w:type="dxa"/>
            <w:tcBorders>
              <w:top w:val="nil"/>
              <w:left w:val="nil"/>
              <w:bottom w:val="nil"/>
              <w:right w:val="nil"/>
            </w:tcBorders>
            <w:shd w:val="clear" w:color="auto" w:fill="FFFFFF"/>
            <w:tcMar>
              <w:left w:w="67" w:type="dxa"/>
              <w:right w:w="67" w:type="dxa"/>
            </w:tcMar>
            <w:vAlign w:val="center"/>
          </w:tcPr>
          <w:p w14:paraId="3E0370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-0.0383</w:t>
            </w:r>
          </w:p>
        </w:tc>
        <w:tc>
          <w:tcPr>
            <w:tcW w:w="1134" w:type="dxa"/>
            <w:tcBorders>
              <w:top w:val="nil"/>
              <w:left w:val="nil"/>
              <w:bottom w:val="nil"/>
              <w:right w:val="nil"/>
            </w:tcBorders>
            <w:shd w:val="clear" w:color="auto" w:fill="FFFFFF"/>
            <w:tcMar>
              <w:left w:w="67" w:type="dxa"/>
              <w:right w:w="67" w:type="dxa"/>
            </w:tcMar>
            <w:vAlign w:val="center"/>
          </w:tcPr>
          <w:p w14:paraId="250244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0.5571</w:t>
            </w:r>
          </w:p>
        </w:tc>
        <w:tc>
          <w:tcPr>
            <w:tcW w:w="1134" w:type="dxa"/>
            <w:tcBorders>
              <w:top w:val="nil"/>
              <w:left w:val="nil"/>
              <w:bottom w:val="nil"/>
              <w:right w:val="nil"/>
            </w:tcBorders>
            <w:shd w:val="clear" w:color="auto" w:fill="FFFFFF"/>
            <w:tcMar>
              <w:left w:w="67" w:type="dxa"/>
              <w:right w:w="67" w:type="dxa"/>
            </w:tcMar>
            <w:vAlign w:val="center"/>
          </w:tcPr>
          <w:p w14:paraId="62FA0E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0.9624</w:t>
            </w:r>
          </w:p>
        </w:tc>
        <w:tc>
          <w:tcPr>
            <w:tcW w:w="1134" w:type="dxa"/>
            <w:tcBorders>
              <w:top w:val="nil"/>
              <w:left w:val="nil"/>
              <w:bottom w:val="nil"/>
              <w:right w:val="nil"/>
            </w:tcBorders>
            <w:shd w:val="clear" w:color="auto" w:fill="FFFFFF"/>
            <w:tcMar>
              <w:left w:w="67" w:type="dxa"/>
              <w:right w:w="67" w:type="dxa"/>
            </w:tcMar>
            <w:vAlign w:val="center"/>
          </w:tcPr>
          <w:p w14:paraId="2E0751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0.2742</w:t>
            </w:r>
          </w:p>
        </w:tc>
        <w:tc>
          <w:tcPr>
            <w:tcW w:w="1134" w:type="dxa"/>
            <w:tcBorders>
              <w:top w:val="nil"/>
              <w:left w:val="nil"/>
              <w:bottom w:val="nil"/>
              <w:right w:val="nil"/>
            </w:tcBorders>
            <w:shd w:val="clear" w:color="auto" w:fill="FFFFFF"/>
            <w:tcMar>
              <w:left w:w="67" w:type="dxa"/>
              <w:right w:w="67" w:type="dxa"/>
            </w:tcMar>
            <w:vAlign w:val="center"/>
          </w:tcPr>
          <w:p w14:paraId="69C1D0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3.3785</w:t>
            </w:r>
          </w:p>
        </w:tc>
        <w:tc>
          <w:tcPr>
            <w:tcW w:w="1134" w:type="dxa"/>
            <w:tcBorders>
              <w:top w:val="nil"/>
              <w:left w:val="nil"/>
              <w:bottom w:val="nil"/>
              <w:right w:val="nil"/>
            </w:tcBorders>
            <w:shd w:val="clear" w:color="auto" w:fill="FFFFFF"/>
            <w:tcMar>
              <w:left w:w="67" w:type="dxa"/>
              <w:right w:w="67" w:type="dxa"/>
            </w:tcMar>
            <w:vAlign w:val="center"/>
          </w:tcPr>
          <w:p w14:paraId="4B7A4E4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E18C1C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CE783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B37244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9FDD8A7" w14:textId="77777777" w:rsidR="00B77EA3" w:rsidRPr="0082484A" w:rsidRDefault="00B77EA3" w:rsidP="00B77EA3">
            <w:pPr>
              <w:spacing w:beforeLines="10" w:before="24" w:afterLines="10" w:after="24" w:line="240" w:lineRule="auto"/>
              <w:rPr>
                <w:sz w:val="22"/>
                <w:szCs w:val="22"/>
              </w:rPr>
            </w:pPr>
            <w:r w:rsidRPr="0082484A">
              <w:rPr>
                <w:sz w:val="22"/>
                <w:szCs w:val="22"/>
              </w:rPr>
              <w:t>PCT</w:t>
            </w:r>
            <w:r w:rsidRPr="0082484A">
              <w:rPr>
                <w:sz w:val="22"/>
                <w:szCs w:val="22"/>
                <w:vertAlign w:val="superscript"/>
              </w:rPr>
              <w:t>a</w:t>
            </w:r>
          </w:p>
        </w:tc>
        <w:tc>
          <w:tcPr>
            <w:tcW w:w="3969" w:type="dxa"/>
            <w:tcBorders>
              <w:top w:val="nil"/>
              <w:left w:val="nil"/>
              <w:bottom w:val="nil"/>
              <w:right w:val="nil"/>
            </w:tcBorders>
            <w:shd w:val="clear" w:color="auto" w:fill="FFFFFF"/>
            <w:tcMar>
              <w:left w:w="67" w:type="dxa"/>
              <w:right w:w="67" w:type="dxa"/>
            </w:tcMar>
            <w:vAlign w:val="center"/>
          </w:tcPr>
          <w:p w14:paraId="7A6D5E46" w14:textId="77777777" w:rsidR="00B77EA3" w:rsidRPr="0082484A" w:rsidRDefault="00B77EA3" w:rsidP="00B77EA3">
            <w:pPr>
              <w:spacing w:beforeLines="10" w:before="24" w:afterLines="10" w:after="24" w:line="240" w:lineRule="auto"/>
              <w:rPr>
                <w:sz w:val="22"/>
                <w:szCs w:val="22"/>
              </w:rPr>
            </w:pPr>
            <w:r w:rsidRPr="0082484A">
              <w:rPr>
                <w:sz w:val="22"/>
                <w:szCs w:val="22"/>
              </w:rPr>
              <w:t>Leeds PCT vs. Wakefield PCT</w:t>
            </w:r>
          </w:p>
        </w:tc>
        <w:tc>
          <w:tcPr>
            <w:tcW w:w="1134" w:type="dxa"/>
            <w:tcBorders>
              <w:top w:val="nil"/>
              <w:left w:val="nil"/>
              <w:bottom w:val="nil"/>
              <w:right w:val="nil"/>
            </w:tcBorders>
            <w:shd w:val="clear" w:color="auto" w:fill="FFFFFF"/>
            <w:tcMar>
              <w:left w:w="67" w:type="dxa"/>
              <w:right w:w="67" w:type="dxa"/>
            </w:tcMar>
            <w:vAlign w:val="center"/>
          </w:tcPr>
          <w:p w14:paraId="50C69A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-1.1563</w:t>
            </w:r>
          </w:p>
        </w:tc>
        <w:tc>
          <w:tcPr>
            <w:tcW w:w="1134" w:type="dxa"/>
            <w:tcBorders>
              <w:top w:val="nil"/>
              <w:left w:val="nil"/>
              <w:bottom w:val="nil"/>
              <w:right w:val="nil"/>
            </w:tcBorders>
            <w:shd w:val="clear" w:color="auto" w:fill="FFFFFF"/>
            <w:tcMar>
              <w:left w:w="67" w:type="dxa"/>
              <w:right w:w="67" w:type="dxa"/>
            </w:tcMar>
            <w:vAlign w:val="center"/>
          </w:tcPr>
          <w:p w14:paraId="6E32DE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0.5370</w:t>
            </w:r>
          </w:p>
        </w:tc>
        <w:tc>
          <w:tcPr>
            <w:tcW w:w="1134" w:type="dxa"/>
            <w:tcBorders>
              <w:top w:val="nil"/>
              <w:left w:val="nil"/>
              <w:bottom w:val="nil"/>
              <w:right w:val="nil"/>
            </w:tcBorders>
            <w:shd w:val="clear" w:color="auto" w:fill="FFFFFF"/>
            <w:tcMar>
              <w:left w:w="67" w:type="dxa"/>
              <w:right w:w="67" w:type="dxa"/>
            </w:tcMar>
            <w:vAlign w:val="center"/>
          </w:tcPr>
          <w:p w14:paraId="309285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0.3146</w:t>
            </w:r>
          </w:p>
        </w:tc>
        <w:tc>
          <w:tcPr>
            <w:tcW w:w="1134" w:type="dxa"/>
            <w:tcBorders>
              <w:top w:val="nil"/>
              <w:left w:val="nil"/>
              <w:bottom w:val="nil"/>
              <w:right w:val="nil"/>
            </w:tcBorders>
            <w:shd w:val="clear" w:color="auto" w:fill="FFFFFF"/>
            <w:tcMar>
              <w:left w:w="67" w:type="dxa"/>
              <w:right w:w="67" w:type="dxa"/>
            </w:tcMar>
            <w:vAlign w:val="center"/>
          </w:tcPr>
          <w:p w14:paraId="001D10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0.0938</w:t>
            </w:r>
          </w:p>
        </w:tc>
        <w:tc>
          <w:tcPr>
            <w:tcW w:w="1134" w:type="dxa"/>
            <w:tcBorders>
              <w:top w:val="nil"/>
              <w:left w:val="nil"/>
              <w:bottom w:val="nil"/>
              <w:right w:val="nil"/>
            </w:tcBorders>
            <w:shd w:val="clear" w:color="auto" w:fill="FFFFFF"/>
            <w:tcMar>
              <w:left w:w="67" w:type="dxa"/>
              <w:right w:w="67" w:type="dxa"/>
            </w:tcMar>
            <w:vAlign w:val="center"/>
          </w:tcPr>
          <w:p w14:paraId="76068D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1.0554</w:t>
            </w:r>
          </w:p>
        </w:tc>
        <w:tc>
          <w:tcPr>
            <w:tcW w:w="1134" w:type="dxa"/>
            <w:tcBorders>
              <w:top w:val="nil"/>
              <w:left w:val="nil"/>
              <w:bottom w:val="nil"/>
              <w:right w:val="nil"/>
            </w:tcBorders>
            <w:shd w:val="clear" w:color="auto" w:fill="FFFFFF"/>
            <w:tcMar>
              <w:left w:w="67" w:type="dxa"/>
              <w:right w:w="67" w:type="dxa"/>
            </w:tcMar>
            <w:vAlign w:val="center"/>
          </w:tcPr>
          <w:p w14:paraId="745FC3F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8EE82E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2172A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8B9468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770AC3"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7AE4AE4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1FFF3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-0.0201</w:t>
            </w:r>
          </w:p>
        </w:tc>
        <w:tc>
          <w:tcPr>
            <w:tcW w:w="1134" w:type="dxa"/>
            <w:tcBorders>
              <w:top w:val="nil"/>
              <w:left w:val="nil"/>
              <w:bottom w:val="nil"/>
              <w:right w:val="nil"/>
            </w:tcBorders>
            <w:shd w:val="clear" w:color="auto" w:fill="FFFFFF"/>
            <w:tcMar>
              <w:left w:w="67" w:type="dxa"/>
              <w:right w:w="67" w:type="dxa"/>
            </w:tcMar>
            <w:vAlign w:val="center"/>
          </w:tcPr>
          <w:p w14:paraId="433BB6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0.0454</w:t>
            </w:r>
          </w:p>
        </w:tc>
        <w:tc>
          <w:tcPr>
            <w:tcW w:w="1134" w:type="dxa"/>
            <w:tcBorders>
              <w:top w:val="nil"/>
              <w:left w:val="nil"/>
              <w:bottom w:val="nil"/>
              <w:right w:val="nil"/>
            </w:tcBorders>
            <w:shd w:val="clear" w:color="auto" w:fill="FFFFFF"/>
            <w:tcMar>
              <w:left w:w="67" w:type="dxa"/>
              <w:right w:w="67" w:type="dxa"/>
            </w:tcMar>
            <w:vAlign w:val="center"/>
          </w:tcPr>
          <w:p w14:paraId="64E2F1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0.9801</w:t>
            </w:r>
          </w:p>
        </w:tc>
        <w:tc>
          <w:tcPr>
            <w:tcW w:w="1134" w:type="dxa"/>
            <w:tcBorders>
              <w:top w:val="nil"/>
              <w:left w:val="nil"/>
              <w:bottom w:val="nil"/>
              <w:right w:val="nil"/>
            </w:tcBorders>
            <w:shd w:val="clear" w:color="auto" w:fill="FFFFFF"/>
            <w:tcMar>
              <w:left w:w="67" w:type="dxa"/>
              <w:right w:w="67" w:type="dxa"/>
            </w:tcMar>
            <w:vAlign w:val="center"/>
          </w:tcPr>
          <w:p w14:paraId="715CBA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0.8848</w:t>
            </w:r>
          </w:p>
        </w:tc>
        <w:tc>
          <w:tcPr>
            <w:tcW w:w="1134" w:type="dxa"/>
            <w:tcBorders>
              <w:top w:val="nil"/>
              <w:left w:val="nil"/>
              <w:bottom w:val="nil"/>
              <w:right w:val="nil"/>
            </w:tcBorders>
            <w:shd w:val="clear" w:color="auto" w:fill="FFFFFF"/>
            <w:tcMar>
              <w:left w:w="67" w:type="dxa"/>
              <w:right w:w="67" w:type="dxa"/>
            </w:tcMar>
            <w:vAlign w:val="center"/>
          </w:tcPr>
          <w:p w14:paraId="0D631B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1.0857</w:t>
            </w:r>
          </w:p>
        </w:tc>
        <w:tc>
          <w:tcPr>
            <w:tcW w:w="1134" w:type="dxa"/>
            <w:tcBorders>
              <w:top w:val="nil"/>
              <w:left w:val="nil"/>
              <w:bottom w:val="nil"/>
              <w:right w:val="nil"/>
            </w:tcBorders>
            <w:shd w:val="clear" w:color="auto" w:fill="FFFFFF"/>
            <w:tcMar>
              <w:left w:w="67" w:type="dxa"/>
              <w:right w:w="67" w:type="dxa"/>
            </w:tcMar>
            <w:vAlign w:val="center"/>
          </w:tcPr>
          <w:p w14:paraId="2E1917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w:t>
            </w:r>
          </w:p>
        </w:tc>
        <w:tc>
          <w:tcPr>
            <w:tcW w:w="567" w:type="dxa"/>
            <w:tcBorders>
              <w:top w:val="nil"/>
              <w:left w:val="nil"/>
              <w:bottom w:val="nil"/>
              <w:right w:val="nil"/>
            </w:tcBorders>
            <w:shd w:val="clear" w:color="auto" w:fill="FFFFFF"/>
            <w:tcMar>
              <w:left w:w="67" w:type="dxa"/>
              <w:right w:w="67" w:type="dxa"/>
            </w:tcMar>
            <w:vAlign w:val="center"/>
          </w:tcPr>
          <w:p w14:paraId="13AC49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9A7C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0.6583</w:t>
            </w:r>
          </w:p>
        </w:tc>
      </w:tr>
      <w:tr w:rsidR="00B77EA3" w:rsidRPr="0082484A" w14:paraId="11D70E6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D4973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4BA0CD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08AA7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0.0266</w:t>
            </w:r>
          </w:p>
        </w:tc>
        <w:tc>
          <w:tcPr>
            <w:tcW w:w="1134" w:type="dxa"/>
            <w:tcBorders>
              <w:top w:val="nil"/>
              <w:left w:val="nil"/>
              <w:bottom w:val="nil"/>
              <w:right w:val="nil"/>
            </w:tcBorders>
            <w:shd w:val="clear" w:color="auto" w:fill="FFFFFF"/>
            <w:tcMar>
              <w:left w:w="67" w:type="dxa"/>
              <w:right w:w="67" w:type="dxa"/>
            </w:tcMar>
            <w:vAlign w:val="center"/>
          </w:tcPr>
          <w:p w14:paraId="5238C5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0.0244</w:t>
            </w:r>
          </w:p>
        </w:tc>
        <w:tc>
          <w:tcPr>
            <w:tcW w:w="1134" w:type="dxa"/>
            <w:tcBorders>
              <w:top w:val="nil"/>
              <w:left w:val="nil"/>
              <w:bottom w:val="nil"/>
              <w:right w:val="nil"/>
            </w:tcBorders>
            <w:shd w:val="clear" w:color="auto" w:fill="FFFFFF"/>
            <w:tcMar>
              <w:left w:w="67" w:type="dxa"/>
              <w:right w:w="67" w:type="dxa"/>
            </w:tcMar>
            <w:vAlign w:val="center"/>
          </w:tcPr>
          <w:p w14:paraId="6709C0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1.0270</w:t>
            </w:r>
          </w:p>
        </w:tc>
        <w:tc>
          <w:tcPr>
            <w:tcW w:w="1134" w:type="dxa"/>
            <w:tcBorders>
              <w:top w:val="nil"/>
              <w:left w:val="nil"/>
              <w:bottom w:val="nil"/>
              <w:right w:val="nil"/>
            </w:tcBorders>
            <w:shd w:val="clear" w:color="auto" w:fill="FFFFFF"/>
            <w:tcMar>
              <w:left w:w="67" w:type="dxa"/>
              <w:right w:w="67" w:type="dxa"/>
            </w:tcMar>
            <w:vAlign w:val="center"/>
          </w:tcPr>
          <w:p w14:paraId="7C19F7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0.9721</w:t>
            </w:r>
          </w:p>
        </w:tc>
        <w:tc>
          <w:tcPr>
            <w:tcW w:w="1134" w:type="dxa"/>
            <w:tcBorders>
              <w:top w:val="nil"/>
              <w:left w:val="nil"/>
              <w:bottom w:val="nil"/>
              <w:right w:val="nil"/>
            </w:tcBorders>
            <w:shd w:val="clear" w:color="auto" w:fill="FFFFFF"/>
            <w:tcMar>
              <w:left w:w="67" w:type="dxa"/>
              <w:right w:w="67" w:type="dxa"/>
            </w:tcMar>
            <w:vAlign w:val="center"/>
          </w:tcPr>
          <w:p w14:paraId="0B2CA9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1.0850</w:t>
            </w:r>
          </w:p>
        </w:tc>
        <w:tc>
          <w:tcPr>
            <w:tcW w:w="1134" w:type="dxa"/>
            <w:tcBorders>
              <w:top w:val="nil"/>
              <w:left w:val="nil"/>
              <w:bottom w:val="nil"/>
              <w:right w:val="nil"/>
            </w:tcBorders>
            <w:shd w:val="clear" w:color="auto" w:fill="FFFFFF"/>
            <w:tcMar>
              <w:left w:w="67" w:type="dxa"/>
              <w:right w:w="67" w:type="dxa"/>
            </w:tcMar>
            <w:vAlign w:val="center"/>
          </w:tcPr>
          <w:p w14:paraId="4B80D4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w:t>
            </w:r>
          </w:p>
        </w:tc>
        <w:tc>
          <w:tcPr>
            <w:tcW w:w="567" w:type="dxa"/>
            <w:tcBorders>
              <w:top w:val="nil"/>
              <w:left w:val="nil"/>
              <w:bottom w:val="nil"/>
              <w:right w:val="nil"/>
            </w:tcBorders>
            <w:shd w:val="clear" w:color="auto" w:fill="FFFFFF"/>
            <w:tcMar>
              <w:left w:w="67" w:type="dxa"/>
              <w:right w:w="67" w:type="dxa"/>
            </w:tcMar>
            <w:vAlign w:val="center"/>
          </w:tcPr>
          <w:p w14:paraId="28622A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1190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0.2750</w:t>
            </w:r>
          </w:p>
        </w:tc>
      </w:tr>
      <w:tr w:rsidR="00B77EA3" w:rsidRPr="0082484A" w14:paraId="686DB1F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4FB579"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6F19DB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E3BC5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1612D3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0.0086</w:t>
            </w:r>
          </w:p>
        </w:tc>
        <w:tc>
          <w:tcPr>
            <w:tcW w:w="1134" w:type="dxa"/>
            <w:tcBorders>
              <w:top w:val="nil"/>
              <w:left w:val="nil"/>
              <w:bottom w:val="nil"/>
              <w:right w:val="nil"/>
            </w:tcBorders>
            <w:shd w:val="clear" w:color="auto" w:fill="FFFFFF"/>
            <w:tcMar>
              <w:left w:w="67" w:type="dxa"/>
              <w:right w:w="67" w:type="dxa"/>
            </w:tcMar>
            <w:vAlign w:val="center"/>
          </w:tcPr>
          <w:p w14:paraId="6B45BF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1.0002</w:t>
            </w:r>
          </w:p>
        </w:tc>
        <w:tc>
          <w:tcPr>
            <w:tcW w:w="1134" w:type="dxa"/>
            <w:tcBorders>
              <w:top w:val="nil"/>
              <w:left w:val="nil"/>
              <w:bottom w:val="nil"/>
              <w:right w:val="nil"/>
            </w:tcBorders>
            <w:shd w:val="clear" w:color="auto" w:fill="FFFFFF"/>
            <w:tcMar>
              <w:left w:w="67" w:type="dxa"/>
              <w:right w:w="67" w:type="dxa"/>
            </w:tcMar>
            <w:vAlign w:val="center"/>
          </w:tcPr>
          <w:p w14:paraId="6DD95F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0.9809</w:t>
            </w:r>
          </w:p>
        </w:tc>
        <w:tc>
          <w:tcPr>
            <w:tcW w:w="1134" w:type="dxa"/>
            <w:tcBorders>
              <w:top w:val="nil"/>
              <w:left w:val="nil"/>
              <w:bottom w:val="nil"/>
              <w:right w:val="nil"/>
            </w:tcBorders>
            <w:shd w:val="clear" w:color="auto" w:fill="FFFFFF"/>
            <w:tcMar>
              <w:left w:w="67" w:type="dxa"/>
              <w:right w:w="67" w:type="dxa"/>
            </w:tcMar>
            <w:vAlign w:val="center"/>
          </w:tcPr>
          <w:p w14:paraId="473346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1.0198</w:t>
            </w:r>
          </w:p>
        </w:tc>
        <w:tc>
          <w:tcPr>
            <w:tcW w:w="1134" w:type="dxa"/>
            <w:tcBorders>
              <w:top w:val="nil"/>
              <w:left w:val="nil"/>
              <w:bottom w:val="nil"/>
              <w:right w:val="nil"/>
            </w:tcBorders>
            <w:shd w:val="clear" w:color="auto" w:fill="FFFFFF"/>
            <w:tcMar>
              <w:left w:w="67" w:type="dxa"/>
              <w:right w:w="67" w:type="dxa"/>
            </w:tcMar>
            <w:vAlign w:val="center"/>
          </w:tcPr>
          <w:p w14:paraId="1511DE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6989D1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72744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0.9815</w:t>
            </w:r>
          </w:p>
        </w:tc>
      </w:tr>
      <w:tr w:rsidR="00B77EA3" w:rsidRPr="0082484A" w14:paraId="683A8A64"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350C32B"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C5C272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657F2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0.3888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6FAC8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0.2086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DEFD4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1.4752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4BEEB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0.9218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54FB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2.3609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63B8F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5FCF9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04F28D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0.0634</w:t>
            </w:r>
          </w:p>
        </w:tc>
      </w:tr>
    </w:tbl>
    <w:p w14:paraId="28DC165D" w14:textId="77777777" w:rsidR="00B77EA3" w:rsidRPr="0082484A" w:rsidRDefault="00B77EA3" w:rsidP="00B77EA3">
      <w:pPr>
        <w:spacing w:before="0" w:line="240" w:lineRule="auto"/>
        <w:contextualSpacing/>
        <w:rPr>
          <w:sz w:val="22"/>
          <w:szCs w:val="22"/>
        </w:rPr>
      </w:pPr>
      <w:r w:rsidRPr="0082484A">
        <w:rPr>
          <w:sz w:val="22"/>
          <w:szCs w:val="22"/>
          <w:vertAlign w:val="superscript"/>
        </w:rPr>
        <w:t>a</w:t>
      </w:r>
      <w:r w:rsidRPr="0082484A">
        <w:rPr>
          <w:sz w:val="22"/>
          <w:szCs w:val="22"/>
        </w:rPr>
        <w:t xml:space="preserve"> CCGs were grouped into former PCTs to aid model convergence</w:t>
      </w:r>
    </w:p>
    <w:p w14:paraId="1E52C72D"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being prescribed warfarin and low-dose aspirin or clopidogrel without co-prescription of gastro-protection was 82</w:t>
      </w:r>
    </w:p>
    <w:p w14:paraId="68AFD792" w14:textId="77777777" w:rsidR="00B77EA3" w:rsidRPr="0082484A" w:rsidRDefault="00B77EA3" w:rsidP="00B77EA3">
      <w:pPr>
        <w:spacing w:before="0" w:after="160" w:line="259" w:lineRule="auto"/>
        <w:rPr>
          <w:sz w:val="22"/>
          <w:szCs w:val="22"/>
        </w:rPr>
      </w:pPr>
      <w:r w:rsidRPr="0082484A">
        <w:rPr>
          <w:sz w:val="22"/>
          <w:szCs w:val="22"/>
        </w:rPr>
        <w:br w:type="page"/>
      </w:r>
    </w:p>
    <w:p w14:paraId="3CEDEE28" w14:textId="64B983E2" w:rsidR="00B77EA3" w:rsidRPr="0082484A" w:rsidRDefault="00B77EA3" w:rsidP="00B77EA3">
      <w:pPr>
        <w:spacing w:before="0" w:line="240" w:lineRule="auto"/>
        <w:rPr>
          <w:bCs/>
          <w:sz w:val="22"/>
          <w:szCs w:val="22"/>
        </w:rPr>
      </w:pPr>
      <w:bookmarkStart w:id="124" w:name="_Ref502917957"/>
      <w:bookmarkStart w:id="125" w:name="_Toc8728107"/>
      <w:bookmarkStart w:id="126" w:name="_Toc19526762"/>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33</w:t>
      </w:r>
      <w:r w:rsidRPr="0082484A">
        <w:rPr>
          <w:bCs/>
          <w:noProof/>
          <w:sz w:val="22"/>
          <w:szCs w:val="22"/>
        </w:rPr>
        <w:fldChar w:fldCharType="end"/>
      </w:r>
      <w:bookmarkEnd w:id="124"/>
      <w:r w:rsidRPr="0082484A">
        <w:rPr>
          <w:bCs/>
          <w:sz w:val="22"/>
          <w:szCs w:val="22"/>
        </w:rPr>
        <w:t>: Secondary outcome for Trial 1: Prescribing an oral NSAID in patients with heart failure (WP4A)</w:t>
      </w:r>
      <w:bookmarkEnd w:id="125"/>
      <w:bookmarkEnd w:id="126"/>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7C3A4AA9" w14:textId="77777777" w:rsidTr="00B77EA3">
        <w:trPr>
          <w:cantSplit/>
          <w:tblHeader/>
          <w:jc w:val="center"/>
        </w:trPr>
        <w:tc>
          <w:tcPr>
            <w:tcW w:w="2835" w:type="dxa"/>
            <w:tcBorders>
              <w:top w:val="single" w:sz="4" w:space="0" w:color="auto"/>
              <w:left w:val="single" w:sz="4" w:space="0" w:color="auto"/>
              <w:bottom w:val="single" w:sz="4" w:space="0" w:color="000000"/>
              <w:right w:val="nil"/>
            </w:tcBorders>
            <w:shd w:val="clear" w:color="auto" w:fill="FFFFFF"/>
            <w:tcMar>
              <w:left w:w="67" w:type="dxa"/>
              <w:right w:w="67" w:type="dxa"/>
            </w:tcMar>
            <w:vAlign w:val="bottom"/>
          </w:tcPr>
          <w:p w14:paraId="0ED64083" w14:textId="77777777" w:rsidR="00B77EA3" w:rsidRPr="0082484A" w:rsidRDefault="00B77EA3" w:rsidP="00B77EA3">
            <w:pPr>
              <w:spacing w:beforeLines="10" w:before="24" w:afterLines="10" w:after="24" w:line="240" w:lineRule="auto"/>
              <w:rPr>
                <w:bCs/>
                <w:sz w:val="22"/>
                <w:szCs w:val="22"/>
              </w:rPr>
            </w:pPr>
            <w:bookmarkStart w:id="127" w:name="IDX201"/>
            <w:bookmarkEnd w:id="127"/>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left w:w="67" w:type="dxa"/>
              <w:right w:w="67" w:type="dxa"/>
            </w:tcMar>
            <w:vAlign w:val="bottom"/>
          </w:tcPr>
          <w:p w14:paraId="4C759C1C"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56F2B2B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7BE05F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0FF6DFF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0CFBED4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7CA02F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5BDFF56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left w:w="67" w:type="dxa"/>
              <w:right w:w="67" w:type="dxa"/>
            </w:tcMar>
            <w:vAlign w:val="bottom"/>
          </w:tcPr>
          <w:p w14:paraId="39D7259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left w:w="67" w:type="dxa"/>
              <w:right w:w="67" w:type="dxa"/>
            </w:tcMar>
            <w:vAlign w:val="bottom"/>
          </w:tcPr>
          <w:p w14:paraId="0DC93D1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0BB789D"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634F4062"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265EDB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4B5D07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-0.2849</w:t>
            </w:r>
          </w:p>
        </w:tc>
        <w:tc>
          <w:tcPr>
            <w:tcW w:w="1134" w:type="dxa"/>
            <w:tcBorders>
              <w:top w:val="nil"/>
              <w:left w:val="nil"/>
              <w:bottom w:val="nil"/>
              <w:right w:val="nil"/>
            </w:tcBorders>
            <w:shd w:val="clear" w:color="auto" w:fill="FFFFFF"/>
            <w:tcMar>
              <w:left w:w="67" w:type="dxa"/>
              <w:right w:w="67" w:type="dxa"/>
            </w:tcMar>
            <w:vAlign w:val="center"/>
          </w:tcPr>
          <w:p w14:paraId="4AE756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0.2495</w:t>
            </w:r>
          </w:p>
        </w:tc>
        <w:tc>
          <w:tcPr>
            <w:tcW w:w="1134" w:type="dxa"/>
            <w:tcBorders>
              <w:top w:val="nil"/>
              <w:left w:val="nil"/>
              <w:bottom w:val="nil"/>
              <w:right w:val="nil"/>
            </w:tcBorders>
            <w:shd w:val="clear" w:color="auto" w:fill="FFFFFF"/>
            <w:tcMar>
              <w:left w:w="67" w:type="dxa"/>
              <w:right w:w="67" w:type="dxa"/>
            </w:tcMar>
            <w:vAlign w:val="center"/>
          </w:tcPr>
          <w:p w14:paraId="27FAD4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0.7521</w:t>
            </w:r>
          </w:p>
        </w:tc>
        <w:tc>
          <w:tcPr>
            <w:tcW w:w="1134" w:type="dxa"/>
            <w:tcBorders>
              <w:top w:val="nil"/>
              <w:left w:val="nil"/>
              <w:bottom w:val="nil"/>
              <w:right w:val="nil"/>
            </w:tcBorders>
            <w:shd w:val="clear" w:color="auto" w:fill="FFFFFF"/>
            <w:tcMar>
              <w:left w:w="67" w:type="dxa"/>
              <w:right w:w="67" w:type="dxa"/>
            </w:tcMar>
            <w:vAlign w:val="center"/>
          </w:tcPr>
          <w:p w14:paraId="5CBE3D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0.4298</w:t>
            </w:r>
          </w:p>
        </w:tc>
        <w:tc>
          <w:tcPr>
            <w:tcW w:w="1134" w:type="dxa"/>
            <w:tcBorders>
              <w:top w:val="nil"/>
              <w:left w:val="nil"/>
              <w:bottom w:val="nil"/>
              <w:right w:val="nil"/>
            </w:tcBorders>
            <w:shd w:val="clear" w:color="auto" w:fill="FFFFFF"/>
            <w:tcMar>
              <w:left w:w="67" w:type="dxa"/>
              <w:right w:w="67" w:type="dxa"/>
            </w:tcMar>
            <w:vAlign w:val="center"/>
          </w:tcPr>
          <w:p w14:paraId="09438D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1.3160</w:t>
            </w:r>
          </w:p>
        </w:tc>
        <w:tc>
          <w:tcPr>
            <w:tcW w:w="1134" w:type="dxa"/>
            <w:tcBorders>
              <w:top w:val="nil"/>
              <w:left w:val="nil"/>
              <w:bottom w:val="nil"/>
              <w:right w:val="nil"/>
            </w:tcBorders>
            <w:shd w:val="clear" w:color="auto" w:fill="FFFFFF"/>
            <w:tcMar>
              <w:left w:w="67" w:type="dxa"/>
              <w:right w:w="67" w:type="dxa"/>
            </w:tcMar>
            <w:vAlign w:val="center"/>
          </w:tcPr>
          <w:p w14:paraId="7FA17D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w:t>
            </w:r>
          </w:p>
        </w:tc>
        <w:tc>
          <w:tcPr>
            <w:tcW w:w="567" w:type="dxa"/>
            <w:tcBorders>
              <w:top w:val="nil"/>
              <w:left w:val="nil"/>
              <w:bottom w:val="nil"/>
              <w:right w:val="nil"/>
            </w:tcBorders>
            <w:shd w:val="clear" w:color="auto" w:fill="FFFFFF"/>
            <w:tcMar>
              <w:left w:w="67" w:type="dxa"/>
              <w:right w:w="67" w:type="dxa"/>
            </w:tcMar>
            <w:vAlign w:val="center"/>
          </w:tcPr>
          <w:p w14:paraId="716307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7F1AC3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0.2537</w:t>
            </w:r>
          </w:p>
        </w:tc>
      </w:tr>
      <w:tr w:rsidR="00B77EA3" w:rsidRPr="0082484A" w14:paraId="1BB304C6"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730EF37A"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F9F845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45A58C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0.0425</w:t>
            </w:r>
          </w:p>
        </w:tc>
        <w:tc>
          <w:tcPr>
            <w:tcW w:w="1134" w:type="dxa"/>
            <w:tcBorders>
              <w:top w:val="nil"/>
              <w:left w:val="nil"/>
              <w:bottom w:val="nil"/>
              <w:right w:val="nil"/>
            </w:tcBorders>
            <w:shd w:val="clear" w:color="auto" w:fill="FFFFFF"/>
            <w:tcMar>
              <w:left w:w="67" w:type="dxa"/>
              <w:right w:w="67" w:type="dxa"/>
            </w:tcMar>
            <w:vAlign w:val="center"/>
          </w:tcPr>
          <w:p w14:paraId="7B1649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0.2049</w:t>
            </w:r>
          </w:p>
        </w:tc>
        <w:tc>
          <w:tcPr>
            <w:tcW w:w="1134" w:type="dxa"/>
            <w:tcBorders>
              <w:top w:val="nil"/>
              <w:left w:val="nil"/>
              <w:bottom w:val="nil"/>
              <w:right w:val="nil"/>
            </w:tcBorders>
            <w:shd w:val="clear" w:color="auto" w:fill="FFFFFF"/>
            <w:tcMar>
              <w:left w:w="67" w:type="dxa"/>
              <w:right w:w="67" w:type="dxa"/>
            </w:tcMar>
            <w:vAlign w:val="center"/>
          </w:tcPr>
          <w:p w14:paraId="20FFDE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1.0434</w:t>
            </w:r>
          </w:p>
        </w:tc>
        <w:tc>
          <w:tcPr>
            <w:tcW w:w="1134" w:type="dxa"/>
            <w:tcBorders>
              <w:top w:val="nil"/>
              <w:left w:val="nil"/>
              <w:bottom w:val="nil"/>
              <w:right w:val="nil"/>
            </w:tcBorders>
            <w:shd w:val="clear" w:color="auto" w:fill="FFFFFF"/>
            <w:tcMar>
              <w:left w:w="67" w:type="dxa"/>
              <w:right w:w="67" w:type="dxa"/>
            </w:tcMar>
            <w:vAlign w:val="center"/>
          </w:tcPr>
          <w:p w14:paraId="1312AB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0.6591</w:t>
            </w:r>
          </w:p>
        </w:tc>
        <w:tc>
          <w:tcPr>
            <w:tcW w:w="1134" w:type="dxa"/>
            <w:tcBorders>
              <w:top w:val="nil"/>
              <w:left w:val="nil"/>
              <w:bottom w:val="nil"/>
              <w:right w:val="nil"/>
            </w:tcBorders>
            <w:shd w:val="clear" w:color="auto" w:fill="FFFFFF"/>
            <w:tcMar>
              <w:left w:w="67" w:type="dxa"/>
              <w:right w:w="67" w:type="dxa"/>
            </w:tcMar>
            <w:vAlign w:val="center"/>
          </w:tcPr>
          <w:p w14:paraId="4E4DD9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1.6517</w:t>
            </w:r>
          </w:p>
        </w:tc>
        <w:tc>
          <w:tcPr>
            <w:tcW w:w="1134" w:type="dxa"/>
            <w:tcBorders>
              <w:top w:val="nil"/>
              <w:left w:val="nil"/>
              <w:bottom w:val="nil"/>
              <w:right w:val="nil"/>
            </w:tcBorders>
            <w:shd w:val="clear" w:color="auto" w:fill="FFFFFF"/>
            <w:tcMar>
              <w:left w:w="67" w:type="dxa"/>
              <w:right w:w="67" w:type="dxa"/>
            </w:tcMar>
            <w:vAlign w:val="center"/>
          </w:tcPr>
          <w:p w14:paraId="1BA205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31A778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0C189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0.8358</w:t>
            </w:r>
          </w:p>
        </w:tc>
      </w:tr>
      <w:tr w:rsidR="00B77EA3" w:rsidRPr="0082484A" w14:paraId="61D4477A"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3DCAE5FD"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BE5F9E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0B022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-0.0230</w:t>
            </w:r>
          </w:p>
        </w:tc>
        <w:tc>
          <w:tcPr>
            <w:tcW w:w="1134" w:type="dxa"/>
            <w:tcBorders>
              <w:top w:val="nil"/>
              <w:left w:val="nil"/>
              <w:bottom w:val="nil"/>
              <w:right w:val="nil"/>
            </w:tcBorders>
            <w:shd w:val="clear" w:color="auto" w:fill="FFFFFF"/>
            <w:tcMar>
              <w:left w:w="67" w:type="dxa"/>
              <w:right w:w="67" w:type="dxa"/>
            </w:tcMar>
            <w:vAlign w:val="center"/>
          </w:tcPr>
          <w:p w14:paraId="70295D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0.0061</w:t>
            </w:r>
          </w:p>
        </w:tc>
        <w:tc>
          <w:tcPr>
            <w:tcW w:w="1134" w:type="dxa"/>
            <w:tcBorders>
              <w:top w:val="nil"/>
              <w:left w:val="nil"/>
              <w:bottom w:val="nil"/>
              <w:right w:val="nil"/>
            </w:tcBorders>
            <w:shd w:val="clear" w:color="auto" w:fill="FFFFFF"/>
            <w:tcMar>
              <w:left w:w="67" w:type="dxa"/>
              <w:right w:w="67" w:type="dxa"/>
            </w:tcMar>
            <w:vAlign w:val="center"/>
          </w:tcPr>
          <w:p w14:paraId="7DE944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0.9773</w:t>
            </w:r>
          </w:p>
        </w:tc>
        <w:tc>
          <w:tcPr>
            <w:tcW w:w="1134" w:type="dxa"/>
            <w:tcBorders>
              <w:top w:val="nil"/>
              <w:left w:val="nil"/>
              <w:bottom w:val="nil"/>
              <w:right w:val="nil"/>
            </w:tcBorders>
            <w:shd w:val="clear" w:color="auto" w:fill="FFFFFF"/>
            <w:tcMar>
              <w:left w:w="67" w:type="dxa"/>
              <w:right w:w="67" w:type="dxa"/>
            </w:tcMar>
            <w:vAlign w:val="center"/>
          </w:tcPr>
          <w:p w14:paraId="78EDD8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0.9641</w:t>
            </w:r>
          </w:p>
        </w:tc>
        <w:tc>
          <w:tcPr>
            <w:tcW w:w="1134" w:type="dxa"/>
            <w:tcBorders>
              <w:top w:val="nil"/>
              <w:left w:val="nil"/>
              <w:bottom w:val="nil"/>
              <w:right w:val="nil"/>
            </w:tcBorders>
            <w:shd w:val="clear" w:color="auto" w:fill="FFFFFF"/>
            <w:tcMar>
              <w:left w:w="67" w:type="dxa"/>
              <w:right w:w="67" w:type="dxa"/>
            </w:tcMar>
            <w:vAlign w:val="center"/>
          </w:tcPr>
          <w:p w14:paraId="578EC5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0.9907</w:t>
            </w:r>
          </w:p>
        </w:tc>
        <w:tc>
          <w:tcPr>
            <w:tcW w:w="1134" w:type="dxa"/>
            <w:tcBorders>
              <w:top w:val="nil"/>
              <w:left w:val="nil"/>
              <w:bottom w:val="nil"/>
              <w:right w:val="nil"/>
            </w:tcBorders>
            <w:shd w:val="clear" w:color="auto" w:fill="FFFFFF"/>
            <w:tcMar>
              <w:left w:w="67" w:type="dxa"/>
              <w:right w:w="67" w:type="dxa"/>
            </w:tcMar>
            <w:vAlign w:val="center"/>
          </w:tcPr>
          <w:p w14:paraId="1B4DEB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14.26</w:t>
            </w:r>
          </w:p>
        </w:tc>
        <w:tc>
          <w:tcPr>
            <w:tcW w:w="567" w:type="dxa"/>
            <w:tcBorders>
              <w:top w:val="nil"/>
              <w:left w:val="nil"/>
              <w:bottom w:val="nil"/>
              <w:right w:val="nil"/>
            </w:tcBorders>
            <w:shd w:val="clear" w:color="auto" w:fill="FFFFFF"/>
            <w:tcMar>
              <w:left w:w="67" w:type="dxa"/>
              <w:right w:w="67" w:type="dxa"/>
            </w:tcMar>
            <w:vAlign w:val="center"/>
          </w:tcPr>
          <w:p w14:paraId="175DD0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513C0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r>
      <w:tr w:rsidR="00B77EA3" w:rsidRPr="0082484A" w14:paraId="42F1C811"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27C6F2DB"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65F85BE"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99A76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65CAB4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nil"/>
              <w:right w:val="nil"/>
            </w:tcBorders>
            <w:shd w:val="clear" w:color="auto" w:fill="FFFFFF"/>
            <w:tcMar>
              <w:left w:w="67" w:type="dxa"/>
              <w:right w:w="67" w:type="dxa"/>
            </w:tcMar>
            <w:vAlign w:val="center"/>
          </w:tcPr>
          <w:p w14:paraId="2C875C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0.9997</w:t>
            </w:r>
          </w:p>
        </w:tc>
        <w:tc>
          <w:tcPr>
            <w:tcW w:w="1134" w:type="dxa"/>
            <w:tcBorders>
              <w:top w:val="nil"/>
              <w:left w:val="nil"/>
              <w:bottom w:val="nil"/>
              <w:right w:val="nil"/>
            </w:tcBorders>
            <w:shd w:val="clear" w:color="auto" w:fill="FFFFFF"/>
            <w:tcMar>
              <w:left w:w="67" w:type="dxa"/>
              <w:right w:w="67" w:type="dxa"/>
            </w:tcMar>
            <w:vAlign w:val="center"/>
          </w:tcPr>
          <w:p w14:paraId="5FE97C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0.9901</w:t>
            </w:r>
          </w:p>
        </w:tc>
        <w:tc>
          <w:tcPr>
            <w:tcW w:w="1134" w:type="dxa"/>
            <w:tcBorders>
              <w:top w:val="nil"/>
              <w:left w:val="nil"/>
              <w:bottom w:val="nil"/>
              <w:right w:val="nil"/>
            </w:tcBorders>
            <w:shd w:val="clear" w:color="auto" w:fill="FFFFFF"/>
            <w:tcMar>
              <w:left w:w="67" w:type="dxa"/>
              <w:right w:w="67" w:type="dxa"/>
            </w:tcMar>
            <w:vAlign w:val="center"/>
          </w:tcPr>
          <w:p w14:paraId="1B678C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1.0093</w:t>
            </w:r>
          </w:p>
        </w:tc>
        <w:tc>
          <w:tcPr>
            <w:tcW w:w="1134" w:type="dxa"/>
            <w:tcBorders>
              <w:top w:val="nil"/>
              <w:left w:val="nil"/>
              <w:bottom w:val="nil"/>
              <w:right w:val="nil"/>
            </w:tcBorders>
            <w:shd w:val="clear" w:color="auto" w:fill="FFFFFF"/>
            <w:tcMar>
              <w:left w:w="67" w:type="dxa"/>
              <w:right w:w="67" w:type="dxa"/>
            </w:tcMar>
            <w:vAlign w:val="center"/>
          </w:tcPr>
          <w:p w14:paraId="6E989E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7015BB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CD42D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0.9361</w:t>
            </w:r>
          </w:p>
        </w:tc>
      </w:tr>
      <w:tr w:rsidR="00B77EA3" w:rsidRPr="0082484A" w14:paraId="605E6CA9"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5095032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FA6B3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94F87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0.4112</w:t>
            </w:r>
          </w:p>
        </w:tc>
        <w:tc>
          <w:tcPr>
            <w:tcW w:w="1134" w:type="dxa"/>
            <w:tcBorders>
              <w:top w:val="nil"/>
              <w:left w:val="nil"/>
              <w:bottom w:val="nil"/>
              <w:right w:val="nil"/>
            </w:tcBorders>
            <w:shd w:val="clear" w:color="auto" w:fill="FFFFFF"/>
            <w:tcMar>
              <w:left w:w="67" w:type="dxa"/>
              <w:right w:w="67" w:type="dxa"/>
            </w:tcMar>
            <w:vAlign w:val="center"/>
          </w:tcPr>
          <w:p w14:paraId="3B1C34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0.5303</w:t>
            </w:r>
          </w:p>
        </w:tc>
        <w:tc>
          <w:tcPr>
            <w:tcW w:w="1134" w:type="dxa"/>
            <w:tcBorders>
              <w:top w:val="nil"/>
              <w:left w:val="nil"/>
              <w:bottom w:val="nil"/>
              <w:right w:val="nil"/>
            </w:tcBorders>
            <w:shd w:val="clear" w:color="auto" w:fill="FFFFFF"/>
            <w:tcMar>
              <w:left w:w="67" w:type="dxa"/>
              <w:right w:w="67" w:type="dxa"/>
            </w:tcMar>
            <w:vAlign w:val="center"/>
          </w:tcPr>
          <w:p w14:paraId="440E5F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1.5086</w:t>
            </w:r>
          </w:p>
        </w:tc>
        <w:tc>
          <w:tcPr>
            <w:tcW w:w="1134" w:type="dxa"/>
            <w:tcBorders>
              <w:top w:val="nil"/>
              <w:left w:val="nil"/>
              <w:bottom w:val="nil"/>
              <w:right w:val="nil"/>
            </w:tcBorders>
            <w:shd w:val="clear" w:color="auto" w:fill="FFFFFF"/>
            <w:tcMar>
              <w:left w:w="67" w:type="dxa"/>
              <w:right w:w="67" w:type="dxa"/>
            </w:tcMar>
            <w:vAlign w:val="center"/>
          </w:tcPr>
          <w:p w14:paraId="7670F9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0.4594</w:t>
            </w:r>
          </w:p>
        </w:tc>
        <w:tc>
          <w:tcPr>
            <w:tcW w:w="1134" w:type="dxa"/>
            <w:tcBorders>
              <w:top w:val="nil"/>
              <w:left w:val="nil"/>
              <w:bottom w:val="nil"/>
              <w:right w:val="nil"/>
            </w:tcBorders>
            <w:shd w:val="clear" w:color="auto" w:fill="FFFFFF"/>
            <w:tcMar>
              <w:left w:w="67" w:type="dxa"/>
              <w:right w:w="67" w:type="dxa"/>
            </w:tcMar>
            <w:vAlign w:val="center"/>
          </w:tcPr>
          <w:p w14:paraId="6717D0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4.9538</w:t>
            </w:r>
          </w:p>
        </w:tc>
        <w:tc>
          <w:tcPr>
            <w:tcW w:w="1134" w:type="dxa"/>
            <w:tcBorders>
              <w:top w:val="nil"/>
              <w:left w:val="nil"/>
              <w:bottom w:val="nil"/>
              <w:right w:val="nil"/>
            </w:tcBorders>
            <w:shd w:val="clear" w:color="auto" w:fill="FFFFFF"/>
            <w:tcMar>
              <w:left w:w="67" w:type="dxa"/>
              <w:right w:w="67" w:type="dxa"/>
            </w:tcMar>
            <w:vAlign w:val="center"/>
          </w:tcPr>
          <w:p w14:paraId="179C9D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w:t>
            </w:r>
          </w:p>
        </w:tc>
        <w:tc>
          <w:tcPr>
            <w:tcW w:w="567" w:type="dxa"/>
            <w:tcBorders>
              <w:top w:val="nil"/>
              <w:left w:val="nil"/>
              <w:bottom w:val="nil"/>
              <w:right w:val="nil"/>
            </w:tcBorders>
            <w:shd w:val="clear" w:color="auto" w:fill="FFFFFF"/>
            <w:tcMar>
              <w:left w:w="67" w:type="dxa"/>
              <w:right w:w="67" w:type="dxa"/>
            </w:tcMar>
            <w:vAlign w:val="center"/>
          </w:tcPr>
          <w:p w14:paraId="6E61CC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38E5BB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0.6964</w:t>
            </w:r>
          </w:p>
        </w:tc>
      </w:tr>
      <w:tr w:rsidR="00B77EA3" w:rsidRPr="0082484A" w14:paraId="5AB1B6B4"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217B76C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893D1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3F857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0.4441</w:t>
            </w:r>
          </w:p>
        </w:tc>
        <w:tc>
          <w:tcPr>
            <w:tcW w:w="1134" w:type="dxa"/>
            <w:tcBorders>
              <w:top w:val="nil"/>
              <w:left w:val="nil"/>
              <w:bottom w:val="nil"/>
              <w:right w:val="nil"/>
            </w:tcBorders>
            <w:shd w:val="clear" w:color="auto" w:fill="FFFFFF"/>
            <w:tcMar>
              <w:left w:w="67" w:type="dxa"/>
              <w:right w:w="67" w:type="dxa"/>
            </w:tcMar>
            <w:vAlign w:val="center"/>
          </w:tcPr>
          <w:p w14:paraId="4935DE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0.7348</w:t>
            </w:r>
          </w:p>
        </w:tc>
        <w:tc>
          <w:tcPr>
            <w:tcW w:w="1134" w:type="dxa"/>
            <w:tcBorders>
              <w:top w:val="nil"/>
              <w:left w:val="nil"/>
              <w:bottom w:val="nil"/>
              <w:right w:val="nil"/>
            </w:tcBorders>
            <w:shd w:val="clear" w:color="auto" w:fill="FFFFFF"/>
            <w:tcMar>
              <w:left w:w="67" w:type="dxa"/>
              <w:right w:w="67" w:type="dxa"/>
            </w:tcMar>
            <w:vAlign w:val="center"/>
          </w:tcPr>
          <w:p w14:paraId="32A4A2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1.5591</w:t>
            </w:r>
          </w:p>
        </w:tc>
        <w:tc>
          <w:tcPr>
            <w:tcW w:w="1134" w:type="dxa"/>
            <w:tcBorders>
              <w:top w:val="nil"/>
              <w:left w:val="nil"/>
              <w:bottom w:val="nil"/>
              <w:right w:val="nil"/>
            </w:tcBorders>
            <w:shd w:val="clear" w:color="auto" w:fill="FFFFFF"/>
            <w:tcMar>
              <w:left w:w="67" w:type="dxa"/>
              <w:right w:w="67" w:type="dxa"/>
            </w:tcMar>
            <w:vAlign w:val="center"/>
          </w:tcPr>
          <w:p w14:paraId="70F9BF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0.3001</w:t>
            </w:r>
          </w:p>
        </w:tc>
        <w:tc>
          <w:tcPr>
            <w:tcW w:w="1134" w:type="dxa"/>
            <w:tcBorders>
              <w:top w:val="nil"/>
              <w:left w:val="nil"/>
              <w:bottom w:val="nil"/>
              <w:right w:val="nil"/>
            </w:tcBorders>
            <w:shd w:val="clear" w:color="auto" w:fill="FFFFFF"/>
            <w:tcMar>
              <w:left w:w="67" w:type="dxa"/>
              <w:right w:w="67" w:type="dxa"/>
            </w:tcMar>
            <w:vAlign w:val="center"/>
          </w:tcPr>
          <w:p w14:paraId="3838EB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8.0991</w:t>
            </w:r>
          </w:p>
        </w:tc>
        <w:tc>
          <w:tcPr>
            <w:tcW w:w="1134" w:type="dxa"/>
            <w:tcBorders>
              <w:top w:val="nil"/>
              <w:left w:val="nil"/>
              <w:bottom w:val="nil"/>
              <w:right w:val="nil"/>
            </w:tcBorders>
            <w:shd w:val="clear" w:color="auto" w:fill="FFFFFF"/>
            <w:tcMar>
              <w:left w:w="67" w:type="dxa"/>
              <w:right w:w="67" w:type="dxa"/>
            </w:tcMar>
            <w:vAlign w:val="center"/>
          </w:tcPr>
          <w:p w14:paraId="7A9E968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102CC4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5364BCF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6F92C04"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6EBAFDF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ADE01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77BD4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0.5383</w:t>
            </w:r>
          </w:p>
        </w:tc>
        <w:tc>
          <w:tcPr>
            <w:tcW w:w="1134" w:type="dxa"/>
            <w:tcBorders>
              <w:top w:val="nil"/>
              <w:left w:val="nil"/>
              <w:bottom w:val="nil"/>
              <w:right w:val="nil"/>
            </w:tcBorders>
            <w:shd w:val="clear" w:color="auto" w:fill="FFFFFF"/>
            <w:tcMar>
              <w:left w:w="67" w:type="dxa"/>
              <w:right w:w="67" w:type="dxa"/>
            </w:tcMar>
            <w:vAlign w:val="center"/>
          </w:tcPr>
          <w:p w14:paraId="54984C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0.4300</w:t>
            </w:r>
          </w:p>
        </w:tc>
        <w:tc>
          <w:tcPr>
            <w:tcW w:w="1134" w:type="dxa"/>
            <w:tcBorders>
              <w:top w:val="nil"/>
              <w:left w:val="nil"/>
              <w:bottom w:val="nil"/>
              <w:right w:val="nil"/>
            </w:tcBorders>
            <w:shd w:val="clear" w:color="auto" w:fill="FFFFFF"/>
            <w:tcMar>
              <w:left w:w="67" w:type="dxa"/>
              <w:right w:w="67" w:type="dxa"/>
            </w:tcMar>
            <w:vAlign w:val="center"/>
          </w:tcPr>
          <w:p w14:paraId="71B101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1.7132</w:t>
            </w:r>
          </w:p>
        </w:tc>
        <w:tc>
          <w:tcPr>
            <w:tcW w:w="1134" w:type="dxa"/>
            <w:tcBorders>
              <w:top w:val="nil"/>
              <w:left w:val="nil"/>
              <w:bottom w:val="nil"/>
              <w:right w:val="nil"/>
            </w:tcBorders>
            <w:shd w:val="clear" w:color="auto" w:fill="FFFFFF"/>
            <w:tcMar>
              <w:left w:w="67" w:type="dxa"/>
              <w:right w:w="67" w:type="dxa"/>
            </w:tcMar>
            <w:vAlign w:val="center"/>
          </w:tcPr>
          <w:p w14:paraId="2E970A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0.6533</w:t>
            </w:r>
          </w:p>
        </w:tc>
        <w:tc>
          <w:tcPr>
            <w:tcW w:w="1134" w:type="dxa"/>
            <w:tcBorders>
              <w:top w:val="nil"/>
              <w:left w:val="nil"/>
              <w:bottom w:val="nil"/>
              <w:right w:val="nil"/>
            </w:tcBorders>
            <w:shd w:val="clear" w:color="auto" w:fill="FFFFFF"/>
            <w:tcMar>
              <w:left w:w="67" w:type="dxa"/>
              <w:right w:w="67" w:type="dxa"/>
            </w:tcMar>
            <w:vAlign w:val="center"/>
          </w:tcPr>
          <w:p w14:paraId="738321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4.4926</w:t>
            </w:r>
          </w:p>
        </w:tc>
        <w:tc>
          <w:tcPr>
            <w:tcW w:w="1134" w:type="dxa"/>
            <w:tcBorders>
              <w:top w:val="nil"/>
              <w:left w:val="nil"/>
              <w:bottom w:val="nil"/>
              <w:right w:val="nil"/>
            </w:tcBorders>
            <w:shd w:val="clear" w:color="auto" w:fill="FFFFFF"/>
            <w:tcMar>
              <w:left w:w="67" w:type="dxa"/>
              <w:right w:w="67" w:type="dxa"/>
            </w:tcMar>
            <w:vAlign w:val="center"/>
          </w:tcPr>
          <w:p w14:paraId="08A0012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D59DC4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7B65AF0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D4FA469"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201A420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A64300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09377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0.7372</w:t>
            </w:r>
          </w:p>
        </w:tc>
        <w:tc>
          <w:tcPr>
            <w:tcW w:w="1134" w:type="dxa"/>
            <w:tcBorders>
              <w:top w:val="nil"/>
              <w:left w:val="nil"/>
              <w:bottom w:val="nil"/>
              <w:right w:val="nil"/>
            </w:tcBorders>
            <w:shd w:val="clear" w:color="auto" w:fill="FFFFFF"/>
            <w:tcMar>
              <w:left w:w="67" w:type="dxa"/>
              <w:right w:w="67" w:type="dxa"/>
            </w:tcMar>
            <w:vAlign w:val="center"/>
          </w:tcPr>
          <w:p w14:paraId="1467C5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0.5457</w:t>
            </w:r>
          </w:p>
        </w:tc>
        <w:tc>
          <w:tcPr>
            <w:tcW w:w="1134" w:type="dxa"/>
            <w:tcBorders>
              <w:top w:val="nil"/>
              <w:left w:val="nil"/>
              <w:bottom w:val="nil"/>
              <w:right w:val="nil"/>
            </w:tcBorders>
            <w:shd w:val="clear" w:color="auto" w:fill="FFFFFF"/>
            <w:tcMar>
              <w:left w:w="67" w:type="dxa"/>
              <w:right w:w="67" w:type="dxa"/>
            </w:tcMar>
            <w:vAlign w:val="center"/>
          </w:tcPr>
          <w:p w14:paraId="6C1435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2.0901</w:t>
            </w:r>
          </w:p>
        </w:tc>
        <w:tc>
          <w:tcPr>
            <w:tcW w:w="1134" w:type="dxa"/>
            <w:tcBorders>
              <w:top w:val="nil"/>
              <w:left w:val="nil"/>
              <w:bottom w:val="nil"/>
              <w:right w:val="nil"/>
            </w:tcBorders>
            <w:shd w:val="clear" w:color="auto" w:fill="FFFFFF"/>
            <w:tcMar>
              <w:left w:w="67" w:type="dxa"/>
              <w:right w:w="67" w:type="dxa"/>
            </w:tcMar>
            <w:vAlign w:val="center"/>
          </w:tcPr>
          <w:p w14:paraId="5E4435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0.6148</w:t>
            </w:r>
          </w:p>
        </w:tc>
        <w:tc>
          <w:tcPr>
            <w:tcW w:w="1134" w:type="dxa"/>
            <w:tcBorders>
              <w:top w:val="nil"/>
              <w:left w:val="nil"/>
              <w:bottom w:val="nil"/>
              <w:right w:val="nil"/>
            </w:tcBorders>
            <w:shd w:val="clear" w:color="auto" w:fill="FFFFFF"/>
            <w:tcMar>
              <w:left w:w="67" w:type="dxa"/>
              <w:right w:w="67" w:type="dxa"/>
            </w:tcMar>
            <w:vAlign w:val="center"/>
          </w:tcPr>
          <w:p w14:paraId="79D679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7.1053</w:t>
            </w:r>
          </w:p>
        </w:tc>
        <w:tc>
          <w:tcPr>
            <w:tcW w:w="1134" w:type="dxa"/>
            <w:tcBorders>
              <w:top w:val="nil"/>
              <w:left w:val="nil"/>
              <w:bottom w:val="nil"/>
              <w:right w:val="nil"/>
            </w:tcBorders>
            <w:shd w:val="clear" w:color="auto" w:fill="FFFFFF"/>
            <w:tcMar>
              <w:left w:w="67" w:type="dxa"/>
              <w:right w:w="67" w:type="dxa"/>
            </w:tcMar>
            <w:vAlign w:val="center"/>
          </w:tcPr>
          <w:p w14:paraId="33FD35B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403B0A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C9C254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F495876"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336314D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B23DEA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A22EA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0.0119</w:t>
            </w:r>
          </w:p>
        </w:tc>
        <w:tc>
          <w:tcPr>
            <w:tcW w:w="1134" w:type="dxa"/>
            <w:tcBorders>
              <w:top w:val="nil"/>
              <w:left w:val="nil"/>
              <w:bottom w:val="nil"/>
              <w:right w:val="nil"/>
            </w:tcBorders>
            <w:shd w:val="clear" w:color="auto" w:fill="FFFFFF"/>
            <w:tcMar>
              <w:left w:w="67" w:type="dxa"/>
              <w:right w:w="67" w:type="dxa"/>
            </w:tcMar>
            <w:vAlign w:val="center"/>
          </w:tcPr>
          <w:p w14:paraId="188D94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0.6706</w:t>
            </w:r>
          </w:p>
        </w:tc>
        <w:tc>
          <w:tcPr>
            <w:tcW w:w="1134" w:type="dxa"/>
            <w:tcBorders>
              <w:top w:val="nil"/>
              <w:left w:val="nil"/>
              <w:bottom w:val="nil"/>
              <w:right w:val="nil"/>
            </w:tcBorders>
            <w:shd w:val="clear" w:color="auto" w:fill="FFFFFF"/>
            <w:tcMar>
              <w:left w:w="67" w:type="dxa"/>
              <w:right w:w="67" w:type="dxa"/>
            </w:tcMar>
            <w:vAlign w:val="center"/>
          </w:tcPr>
          <w:p w14:paraId="0A839B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1.0119</w:t>
            </w:r>
          </w:p>
        </w:tc>
        <w:tc>
          <w:tcPr>
            <w:tcW w:w="1134" w:type="dxa"/>
            <w:tcBorders>
              <w:top w:val="nil"/>
              <w:left w:val="nil"/>
              <w:bottom w:val="nil"/>
              <w:right w:val="nil"/>
            </w:tcBorders>
            <w:shd w:val="clear" w:color="auto" w:fill="FFFFFF"/>
            <w:tcMar>
              <w:left w:w="67" w:type="dxa"/>
              <w:right w:w="67" w:type="dxa"/>
            </w:tcMar>
            <w:vAlign w:val="center"/>
          </w:tcPr>
          <w:p w14:paraId="75E799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0.2250</w:t>
            </w:r>
          </w:p>
        </w:tc>
        <w:tc>
          <w:tcPr>
            <w:tcW w:w="1134" w:type="dxa"/>
            <w:tcBorders>
              <w:top w:val="nil"/>
              <w:left w:val="nil"/>
              <w:bottom w:val="nil"/>
              <w:right w:val="nil"/>
            </w:tcBorders>
            <w:shd w:val="clear" w:color="auto" w:fill="FFFFFF"/>
            <w:tcMar>
              <w:left w:w="67" w:type="dxa"/>
              <w:right w:w="67" w:type="dxa"/>
            </w:tcMar>
            <w:vAlign w:val="center"/>
          </w:tcPr>
          <w:p w14:paraId="50FB86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4.5515</w:t>
            </w:r>
          </w:p>
        </w:tc>
        <w:tc>
          <w:tcPr>
            <w:tcW w:w="1134" w:type="dxa"/>
            <w:tcBorders>
              <w:top w:val="nil"/>
              <w:left w:val="nil"/>
              <w:bottom w:val="nil"/>
              <w:right w:val="nil"/>
            </w:tcBorders>
            <w:shd w:val="clear" w:color="auto" w:fill="FFFFFF"/>
            <w:tcMar>
              <w:left w:w="67" w:type="dxa"/>
              <w:right w:w="67" w:type="dxa"/>
            </w:tcMar>
            <w:vAlign w:val="center"/>
          </w:tcPr>
          <w:p w14:paraId="5C63BE2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81EBD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0840F6D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5EE18A4"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7BD38AF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D873FB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A3E7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-0.1437</w:t>
            </w:r>
          </w:p>
        </w:tc>
        <w:tc>
          <w:tcPr>
            <w:tcW w:w="1134" w:type="dxa"/>
            <w:tcBorders>
              <w:top w:val="nil"/>
              <w:left w:val="nil"/>
              <w:bottom w:val="nil"/>
              <w:right w:val="nil"/>
            </w:tcBorders>
            <w:shd w:val="clear" w:color="auto" w:fill="FFFFFF"/>
            <w:tcMar>
              <w:left w:w="67" w:type="dxa"/>
              <w:right w:w="67" w:type="dxa"/>
            </w:tcMar>
            <w:vAlign w:val="center"/>
          </w:tcPr>
          <w:p w14:paraId="52E4F2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0.7494</w:t>
            </w:r>
          </w:p>
        </w:tc>
        <w:tc>
          <w:tcPr>
            <w:tcW w:w="1134" w:type="dxa"/>
            <w:tcBorders>
              <w:top w:val="nil"/>
              <w:left w:val="nil"/>
              <w:bottom w:val="nil"/>
              <w:right w:val="nil"/>
            </w:tcBorders>
            <w:shd w:val="clear" w:color="auto" w:fill="FFFFFF"/>
            <w:tcMar>
              <w:left w:w="67" w:type="dxa"/>
              <w:right w:w="67" w:type="dxa"/>
            </w:tcMar>
            <w:vAlign w:val="center"/>
          </w:tcPr>
          <w:p w14:paraId="3445C0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0.8661</w:t>
            </w:r>
          </w:p>
        </w:tc>
        <w:tc>
          <w:tcPr>
            <w:tcW w:w="1134" w:type="dxa"/>
            <w:tcBorders>
              <w:top w:val="nil"/>
              <w:left w:val="nil"/>
              <w:bottom w:val="nil"/>
              <w:right w:val="nil"/>
            </w:tcBorders>
            <w:shd w:val="clear" w:color="auto" w:fill="FFFFFF"/>
            <w:tcMar>
              <w:left w:w="67" w:type="dxa"/>
              <w:right w:w="67" w:type="dxa"/>
            </w:tcMar>
            <w:vAlign w:val="center"/>
          </w:tcPr>
          <w:p w14:paraId="730190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0.1614</w:t>
            </w:r>
          </w:p>
        </w:tc>
        <w:tc>
          <w:tcPr>
            <w:tcW w:w="1134" w:type="dxa"/>
            <w:tcBorders>
              <w:top w:val="nil"/>
              <w:left w:val="nil"/>
              <w:bottom w:val="nil"/>
              <w:right w:val="nil"/>
            </w:tcBorders>
            <w:shd w:val="clear" w:color="auto" w:fill="FFFFFF"/>
            <w:tcMar>
              <w:left w:w="67" w:type="dxa"/>
              <w:right w:w="67" w:type="dxa"/>
            </w:tcMar>
            <w:vAlign w:val="center"/>
          </w:tcPr>
          <w:p w14:paraId="1E1EA6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4.6482</w:t>
            </w:r>
          </w:p>
        </w:tc>
        <w:tc>
          <w:tcPr>
            <w:tcW w:w="1134" w:type="dxa"/>
            <w:tcBorders>
              <w:top w:val="nil"/>
              <w:left w:val="nil"/>
              <w:bottom w:val="nil"/>
              <w:right w:val="nil"/>
            </w:tcBorders>
            <w:shd w:val="clear" w:color="auto" w:fill="FFFFFF"/>
            <w:tcMar>
              <w:left w:w="67" w:type="dxa"/>
              <w:right w:w="67" w:type="dxa"/>
            </w:tcMar>
            <w:vAlign w:val="center"/>
          </w:tcPr>
          <w:p w14:paraId="18EC3BF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9C66B9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0C1B7F4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9DE58A9"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6A34033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6D868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CCE4E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0.1356</w:t>
            </w:r>
          </w:p>
        </w:tc>
        <w:tc>
          <w:tcPr>
            <w:tcW w:w="1134" w:type="dxa"/>
            <w:tcBorders>
              <w:top w:val="nil"/>
              <w:left w:val="nil"/>
              <w:bottom w:val="nil"/>
              <w:right w:val="nil"/>
            </w:tcBorders>
            <w:shd w:val="clear" w:color="auto" w:fill="FFFFFF"/>
            <w:tcMar>
              <w:left w:w="67" w:type="dxa"/>
              <w:right w:w="67" w:type="dxa"/>
            </w:tcMar>
            <w:vAlign w:val="center"/>
          </w:tcPr>
          <w:p w14:paraId="21AFB2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0.5753</w:t>
            </w:r>
          </w:p>
        </w:tc>
        <w:tc>
          <w:tcPr>
            <w:tcW w:w="1134" w:type="dxa"/>
            <w:tcBorders>
              <w:top w:val="nil"/>
              <w:left w:val="nil"/>
              <w:bottom w:val="nil"/>
              <w:right w:val="nil"/>
            </w:tcBorders>
            <w:shd w:val="clear" w:color="auto" w:fill="FFFFFF"/>
            <w:tcMar>
              <w:left w:w="67" w:type="dxa"/>
              <w:right w:w="67" w:type="dxa"/>
            </w:tcMar>
            <w:vAlign w:val="center"/>
          </w:tcPr>
          <w:p w14:paraId="6C5547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1.1452</w:t>
            </w:r>
          </w:p>
        </w:tc>
        <w:tc>
          <w:tcPr>
            <w:tcW w:w="1134" w:type="dxa"/>
            <w:tcBorders>
              <w:top w:val="nil"/>
              <w:left w:val="nil"/>
              <w:bottom w:val="nil"/>
              <w:right w:val="nil"/>
            </w:tcBorders>
            <w:shd w:val="clear" w:color="auto" w:fill="FFFFFF"/>
            <w:tcMar>
              <w:left w:w="67" w:type="dxa"/>
              <w:right w:w="67" w:type="dxa"/>
            </w:tcMar>
            <w:vAlign w:val="center"/>
          </w:tcPr>
          <w:p w14:paraId="1EAFFF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0.3153</w:t>
            </w:r>
          </w:p>
        </w:tc>
        <w:tc>
          <w:tcPr>
            <w:tcW w:w="1134" w:type="dxa"/>
            <w:tcBorders>
              <w:top w:val="nil"/>
              <w:left w:val="nil"/>
              <w:bottom w:val="nil"/>
              <w:right w:val="nil"/>
            </w:tcBorders>
            <w:shd w:val="clear" w:color="auto" w:fill="FFFFFF"/>
            <w:tcMar>
              <w:left w:w="67" w:type="dxa"/>
              <w:right w:w="67" w:type="dxa"/>
            </w:tcMar>
            <w:vAlign w:val="center"/>
          </w:tcPr>
          <w:p w14:paraId="60F259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4.1599</w:t>
            </w:r>
          </w:p>
        </w:tc>
        <w:tc>
          <w:tcPr>
            <w:tcW w:w="1134" w:type="dxa"/>
            <w:tcBorders>
              <w:top w:val="nil"/>
              <w:left w:val="nil"/>
              <w:bottom w:val="nil"/>
              <w:right w:val="nil"/>
            </w:tcBorders>
            <w:shd w:val="clear" w:color="auto" w:fill="FFFFFF"/>
            <w:tcMar>
              <w:left w:w="67" w:type="dxa"/>
              <w:right w:w="67" w:type="dxa"/>
            </w:tcMar>
            <w:vAlign w:val="center"/>
          </w:tcPr>
          <w:p w14:paraId="4C5CFEF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AF14B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25B9898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5DF45BA"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41FC29F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E2585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36324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-0.6502</w:t>
            </w:r>
          </w:p>
        </w:tc>
        <w:tc>
          <w:tcPr>
            <w:tcW w:w="1134" w:type="dxa"/>
            <w:tcBorders>
              <w:top w:val="nil"/>
              <w:left w:val="nil"/>
              <w:bottom w:val="nil"/>
              <w:right w:val="nil"/>
            </w:tcBorders>
            <w:shd w:val="clear" w:color="auto" w:fill="FFFFFF"/>
            <w:tcMar>
              <w:left w:w="67" w:type="dxa"/>
              <w:right w:w="67" w:type="dxa"/>
            </w:tcMar>
            <w:vAlign w:val="center"/>
          </w:tcPr>
          <w:p w14:paraId="6D6C92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0.8735</w:t>
            </w:r>
          </w:p>
        </w:tc>
        <w:tc>
          <w:tcPr>
            <w:tcW w:w="1134" w:type="dxa"/>
            <w:tcBorders>
              <w:top w:val="nil"/>
              <w:left w:val="nil"/>
              <w:bottom w:val="nil"/>
              <w:right w:val="nil"/>
            </w:tcBorders>
            <w:shd w:val="clear" w:color="auto" w:fill="FFFFFF"/>
            <w:tcMar>
              <w:left w:w="67" w:type="dxa"/>
              <w:right w:w="67" w:type="dxa"/>
            </w:tcMar>
            <w:vAlign w:val="center"/>
          </w:tcPr>
          <w:p w14:paraId="793EEF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0.5220</w:t>
            </w:r>
          </w:p>
        </w:tc>
        <w:tc>
          <w:tcPr>
            <w:tcW w:w="1134" w:type="dxa"/>
            <w:tcBorders>
              <w:top w:val="nil"/>
              <w:left w:val="nil"/>
              <w:bottom w:val="nil"/>
              <w:right w:val="nil"/>
            </w:tcBorders>
            <w:shd w:val="clear" w:color="auto" w:fill="FFFFFF"/>
            <w:tcMar>
              <w:left w:w="67" w:type="dxa"/>
              <w:right w:w="67" w:type="dxa"/>
            </w:tcMar>
            <w:vAlign w:val="center"/>
          </w:tcPr>
          <w:p w14:paraId="7E876D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0.0736</w:t>
            </w:r>
          </w:p>
        </w:tc>
        <w:tc>
          <w:tcPr>
            <w:tcW w:w="1134" w:type="dxa"/>
            <w:tcBorders>
              <w:top w:val="nil"/>
              <w:left w:val="nil"/>
              <w:bottom w:val="nil"/>
              <w:right w:val="nil"/>
            </w:tcBorders>
            <w:shd w:val="clear" w:color="auto" w:fill="FFFFFF"/>
            <w:tcMar>
              <w:left w:w="67" w:type="dxa"/>
              <w:right w:w="67" w:type="dxa"/>
            </w:tcMar>
            <w:vAlign w:val="center"/>
          </w:tcPr>
          <w:p w14:paraId="2C6E91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3.6999</w:t>
            </w:r>
          </w:p>
        </w:tc>
        <w:tc>
          <w:tcPr>
            <w:tcW w:w="1134" w:type="dxa"/>
            <w:tcBorders>
              <w:top w:val="nil"/>
              <w:left w:val="nil"/>
              <w:bottom w:val="nil"/>
              <w:right w:val="nil"/>
            </w:tcBorders>
            <w:shd w:val="clear" w:color="auto" w:fill="FFFFFF"/>
            <w:tcMar>
              <w:left w:w="67" w:type="dxa"/>
              <w:right w:w="67" w:type="dxa"/>
            </w:tcMar>
            <w:vAlign w:val="center"/>
          </w:tcPr>
          <w:p w14:paraId="28C5C59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6393CA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1CD942A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A2B3B26"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7182E5D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5B8007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EF762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0.3379</w:t>
            </w:r>
          </w:p>
        </w:tc>
        <w:tc>
          <w:tcPr>
            <w:tcW w:w="1134" w:type="dxa"/>
            <w:tcBorders>
              <w:top w:val="nil"/>
              <w:left w:val="nil"/>
              <w:bottom w:val="nil"/>
              <w:right w:val="nil"/>
            </w:tcBorders>
            <w:shd w:val="clear" w:color="auto" w:fill="FFFFFF"/>
            <w:tcMar>
              <w:left w:w="67" w:type="dxa"/>
              <w:right w:w="67" w:type="dxa"/>
            </w:tcMar>
            <w:vAlign w:val="center"/>
          </w:tcPr>
          <w:p w14:paraId="3382E1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0.5244</w:t>
            </w:r>
          </w:p>
        </w:tc>
        <w:tc>
          <w:tcPr>
            <w:tcW w:w="1134" w:type="dxa"/>
            <w:tcBorders>
              <w:top w:val="nil"/>
              <w:left w:val="nil"/>
              <w:bottom w:val="nil"/>
              <w:right w:val="nil"/>
            </w:tcBorders>
            <w:shd w:val="clear" w:color="auto" w:fill="FFFFFF"/>
            <w:tcMar>
              <w:left w:w="67" w:type="dxa"/>
              <w:right w:w="67" w:type="dxa"/>
            </w:tcMar>
            <w:vAlign w:val="center"/>
          </w:tcPr>
          <w:p w14:paraId="3F1FB6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1.4021</w:t>
            </w:r>
          </w:p>
        </w:tc>
        <w:tc>
          <w:tcPr>
            <w:tcW w:w="1134" w:type="dxa"/>
            <w:tcBorders>
              <w:top w:val="nil"/>
              <w:left w:val="nil"/>
              <w:bottom w:val="nil"/>
              <w:right w:val="nil"/>
            </w:tcBorders>
            <w:shd w:val="clear" w:color="auto" w:fill="FFFFFF"/>
            <w:tcMar>
              <w:left w:w="67" w:type="dxa"/>
              <w:right w:w="67" w:type="dxa"/>
            </w:tcMar>
            <w:vAlign w:val="center"/>
          </w:tcPr>
          <w:p w14:paraId="3EA81B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0.4327</w:t>
            </w:r>
          </w:p>
        </w:tc>
        <w:tc>
          <w:tcPr>
            <w:tcW w:w="1134" w:type="dxa"/>
            <w:tcBorders>
              <w:top w:val="nil"/>
              <w:left w:val="nil"/>
              <w:bottom w:val="nil"/>
              <w:right w:val="nil"/>
            </w:tcBorders>
            <w:shd w:val="clear" w:color="auto" w:fill="FFFFFF"/>
            <w:tcMar>
              <w:left w:w="67" w:type="dxa"/>
              <w:right w:w="67" w:type="dxa"/>
            </w:tcMar>
            <w:vAlign w:val="center"/>
          </w:tcPr>
          <w:p w14:paraId="5245D5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4.5436</w:t>
            </w:r>
          </w:p>
        </w:tc>
        <w:tc>
          <w:tcPr>
            <w:tcW w:w="1134" w:type="dxa"/>
            <w:tcBorders>
              <w:top w:val="nil"/>
              <w:left w:val="nil"/>
              <w:bottom w:val="nil"/>
              <w:right w:val="nil"/>
            </w:tcBorders>
            <w:shd w:val="clear" w:color="auto" w:fill="FFFFFF"/>
            <w:tcMar>
              <w:left w:w="67" w:type="dxa"/>
              <w:right w:w="67" w:type="dxa"/>
            </w:tcMar>
            <w:vAlign w:val="center"/>
          </w:tcPr>
          <w:p w14:paraId="5C0A68E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666327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9AAD7F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1487467"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478911A6"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7076D5E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9F925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0.1126</w:t>
            </w:r>
          </w:p>
        </w:tc>
        <w:tc>
          <w:tcPr>
            <w:tcW w:w="1134" w:type="dxa"/>
            <w:tcBorders>
              <w:top w:val="nil"/>
              <w:left w:val="nil"/>
              <w:bottom w:val="nil"/>
              <w:right w:val="nil"/>
            </w:tcBorders>
            <w:shd w:val="clear" w:color="auto" w:fill="FFFFFF"/>
            <w:tcMar>
              <w:left w:w="67" w:type="dxa"/>
              <w:right w:w="67" w:type="dxa"/>
            </w:tcMar>
            <w:vAlign w:val="center"/>
          </w:tcPr>
          <w:p w14:paraId="062E37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0.0315</w:t>
            </w:r>
          </w:p>
        </w:tc>
        <w:tc>
          <w:tcPr>
            <w:tcW w:w="1134" w:type="dxa"/>
            <w:tcBorders>
              <w:top w:val="nil"/>
              <w:left w:val="nil"/>
              <w:bottom w:val="nil"/>
              <w:right w:val="nil"/>
            </w:tcBorders>
            <w:shd w:val="clear" w:color="auto" w:fill="FFFFFF"/>
            <w:tcMar>
              <w:left w:w="67" w:type="dxa"/>
              <w:right w:w="67" w:type="dxa"/>
            </w:tcMar>
            <w:vAlign w:val="center"/>
          </w:tcPr>
          <w:p w14:paraId="360398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1.1192</w:t>
            </w:r>
          </w:p>
        </w:tc>
        <w:tc>
          <w:tcPr>
            <w:tcW w:w="1134" w:type="dxa"/>
            <w:tcBorders>
              <w:top w:val="nil"/>
              <w:left w:val="nil"/>
              <w:bottom w:val="nil"/>
              <w:right w:val="nil"/>
            </w:tcBorders>
            <w:shd w:val="clear" w:color="auto" w:fill="FFFFFF"/>
            <w:tcMar>
              <w:left w:w="67" w:type="dxa"/>
              <w:right w:w="67" w:type="dxa"/>
            </w:tcMar>
            <w:vAlign w:val="center"/>
          </w:tcPr>
          <w:p w14:paraId="430568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1.0429</w:t>
            </w:r>
          </w:p>
        </w:tc>
        <w:tc>
          <w:tcPr>
            <w:tcW w:w="1134" w:type="dxa"/>
            <w:tcBorders>
              <w:top w:val="nil"/>
              <w:left w:val="nil"/>
              <w:bottom w:val="nil"/>
              <w:right w:val="nil"/>
            </w:tcBorders>
            <w:shd w:val="clear" w:color="auto" w:fill="FFFFFF"/>
            <w:tcMar>
              <w:left w:w="67" w:type="dxa"/>
              <w:right w:w="67" w:type="dxa"/>
            </w:tcMar>
            <w:vAlign w:val="center"/>
          </w:tcPr>
          <w:p w14:paraId="417501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1.2010</w:t>
            </w:r>
          </w:p>
        </w:tc>
        <w:tc>
          <w:tcPr>
            <w:tcW w:w="1134" w:type="dxa"/>
            <w:tcBorders>
              <w:top w:val="nil"/>
              <w:left w:val="nil"/>
              <w:bottom w:val="nil"/>
              <w:right w:val="nil"/>
            </w:tcBorders>
            <w:shd w:val="clear" w:color="auto" w:fill="FFFFFF"/>
            <w:tcMar>
              <w:left w:w="67" w:type="dxa"/>
              <w:right w:w="67" w:type="dxa"/>
            </w:tcMar>
            <w:vAlign w:val="center"/>
          </w:tcPr>
          <w:p w14:paraId="40D207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12.78</w:t>
            </w:r>
          </w:p>
        </w:tc>
        <w:tc>
          <w:tcPr>
            <w:tcW w:w="567" w:type="dxa"/>
            <w:tcBorders>
              <w:top w:val="nil"/>
              <w:left w:val="nil"/>
              <w:bottom w:val="nil"/>
              <w:right w:val="nil"/>
            </w:tcBorders>
            <w:shd w:val="clear" w:color="auto" w:fill="FFFFFF"/>
            <w:tcMar>
              <w:left w:w="67" w:type="dxa"/>
              <w:right w:w="67" w:type="dxa"/>
            </w:tcMar>
            <w:vAlign w:val="center"/>
          </w:tcPr>
          <w:p w14:paraId="547032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6F3FE5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r>
      <w:tr w:rsidR="00B77EA3" w:rsidRPr="0082484A" w14:paraId="4240E360"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53A6409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C091BB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47994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773C01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0.0193</w:t>
            </w:r>
          </w:p>
        </w:tc>
        <w:tc>
          <w:tcPr>
            <w:tcW w:w="1134" w:type="dxa"/>
            <w:tcBorders>
              <w:top w:val="nil"/>
              <w:left w:val="nil"/>
              <w:bottom w:val="nil"/>
              <w:right w:val="nil"/>
            </w:tcBorders>
            <w:shd w:val="clear" w:color="auto" w:fill="FFFFFF"/>
            <w:tcMar>
              <w:left w:w="67" w:type="dxa"/>
              <w:right w:w="67" w:type="dxa"/>
            </w:tcMar>
            <w:vAlign w:val="center"/>
          </w:tcPr>
          <w:p w14:paraId="5408F1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1.0038</w:t>
            </w:r>
          </w:p>
        </w:tc>
        <w:tc>
          <w:tcPr>
            <w:tcW w:w="1134" w:type="dxa"/>
            <w:tcBorders>
              <w:top w:val="nil"/>
              <w:left w:val="nil"/>
              <w:bottom w:val="nil"/>
              <w:right w:val="nil"/>
            </w:tcBorders>
            <w:shd w:val="clear" w:color="auto" w:fill="FFFFFF"/>
            <w:tcMar>
              <w:left w:w="67" w:type="dxa"/>
              <w:right w:w="67" w:type="dxa"/>
            </w:tcMar>
            <w:vAlign w:val="center"/>
          </w:tcPr>
          <w:p w14:paraId="76129D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0.9613</w:t>
            </w:r>
          </w:p>
        </w:tc>
        <w:tc>
          <w:tcPr>
            <w:tcW w:w="1134" w:type="dxa"/>
            <w:tcBorders>
              <w:top w:val="nil"/>
              <w:left w:val="nil"/>
              <w:bottom w:val="nil"/>
              <w:right w:val="nil"/>
            </w:tcBorders>
            <w:shd w:val="clear" w:color="auto" w:fill="FFFFFF"/>
            <w:tcMar>
              <w:left w:w="67" w:type="dxa"/>
              <w:right w:w="67" w:type="dxa"/>
            </w:tcMar>
            <w:vAlign w:val="center"/>
          </w:tcPr>
          <w:p w14:paraId="433DF8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1.0482</w:t>
            </w:r>
          </w:p>
        </w:tc>
        <w:tc>
          <w:tcPr>
            <w:tcW w:w="1134" w:type="dxa"/>
            <w:tcBorders>
              <w:top w:val="nil"/>
              <w:left w:val="nil"/>
              <w:bottom w:val="nil"/>
              <w:right w:val="nil"/>
            </w:tcBorders>
            <w:shd w:val="clear" w:color="auto" w:fill="FFFFFF"/>
            <w:tcMar>
              <w:left w:w="67" w:type="dxa"/>
              <w:right w:w="67" w:type="dxa"/>
            </w:tcMar>
            <w:vAlign w:val="center"/>
          </w:tcPr>
          <w:p w14:paraId="3B80A2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50E42A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5C4446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0.8438</w:t>
            </w:r>
          </w:p>
        </w:tc>
      </w:tr>
      <w:tr w:rsidR="00B77EA3" w:rsidRPr="0082484A" w14:paraId="7DF124DF" w14:textId="77777777" w:rsidTr="00B77EA3">
        <w:trPr>
          <w:cantSplit/>
          <w:jc w:val="center"/>
        </w:trPr>
        <w:tc>
          <w:tcPr>
            <w:tcW w:w="2835" w:type="dxa"/>
            <w:tcBorders>
              <w:top w:val="nil"/>
              <w:left w:val="single" w:sz="4" w:space="0" w:color="auto"/>
              <w:bottom w:val="nil"/>
              <w:right w:val="nil"/>
            </w:tcBorders>
            <w:shd w:val="clear" w:color="auto" w:fill="FFFFFF"/>
            <w:tcMar>
              <w:left w:w="67" w:type="dxa"/>
              <w:right w:w="67" w:type="dxa"/>
            </w:tcMar>
            <w:vAlign w:val="center"/>
          </w:tcPr>
          <w:p w14:paraId="4E5FB49D"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48A0C39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A7CB9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7DDB78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0.0067</w:t>
            </w:r>
          </w:p>
        </w:tc>
        <w:tc>
          <w:tcPr>
            <w:tcW w:w="1134" w:type="dxa"/>
            <w:tcBorders>
              <w:top w:val="nil"/>
              <w:left w:val="nil"/>
              <w:bottom w:val="nil"/>
              <w:right w:val="nil"/>
            </w:tcBorders>
            <w:shd w:val="clear" w:color="auto" w:fill="FFFFFF"/>
            <w:tcMar>
              <w:left w:w="67" w:type="dxa"/>
              <w:right w:w="67" w:type="dxa"/>
            </w:tcMar>
            <w:vAlign w:val="center"/>
          </w:tcPr>
          <w:p w14:paraId="67AEC0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1.0019</w:t>
            </w:r>
          </w:p>
        </w:tc>
        <w:tc>
          <w:tcPr>
            <w:tcW w:w="1134" w:type="dxa"/>
            <w:tcBorders>
              <w:top w:val="nil"/>
              <w:left w:val="nil"/>
              <w:bottom w:val="nil"/>
              <w:right w:val="nil"/>
            </w:tcBorders>
            <w:shd w:val="clear" w:color="auto" w:fill="FFFFFF"/>
            <w:tcMar>
              <w:left w:w="67" w:type="dxa"/>
              <w:right w:w="67" w:type="dxa"/>
            </w:tcMar>
            <w:vAlign w:val="center"/>
          </w:tcPr>
          <w:p w14:paraId="361CDC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0.9870</w:t>
            </w:r>
          </w:p>
        </w:tc>
        <w:tc>
          <w:tcPr>
            <w:tcW w:w="1134" w:type="dxa"/>
            <w:tcBorders>
              <w:top w:val="nil"/>
              <w:left w:val="nil"/>
              <w:bottom w:val="nil"/>
              <w:right w:val="nil"/>
            </w:tcBorders>
            <w:shd w:val="clear" w:color="auto" w:fill="FFFFFF"/>
            <w:tcMar>
              <w:left w:w="67" w:type="dxa"/>
              <w:right w:w="67" w:type="dxa"/>
            </w:tcMar>
            <w:vAlign w:val="center"/>
          </w:tcPr>
          <w:p w14:paraId="0C3F26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1.0171</w:t>
            </w:r>
          </w:p>
        </w:tc>
        <w:tc>
          <w:tcPr>
            <w:tcW w:w="1134" w:type="dxa"/>
            <w:tcBorders>
              <w:top w:val="nil"/>
              <w:left w:val="nil"/>
              <w:bottom w:val="nil"/>
              <w:right w:val="nil"/>
            </w:tcBorders>
            <w:shd w:val="clear" w:color="auto" w:fill="FFFFFF"/>
            <w:tcMar>
              <w:left w:w="67" w:type="dxa"/>
              <w:right w:w="67" w:type="dxa"/>
            </w:tcMar>
            <w:vAlign w:val="center"/>
          </w:tcPr>
          <w:p w14:paraId="6DC1E9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w:t>
            </w:r>
          </w:p>
        </w:tc>
        <w:tc>
          <w:tcPr>
            <w:tcW w:w="567" w:type="dxa"/>
            <w:tcBorders>
              <w:top w:val="nil"/>
              <w:left w:val="nil"/>
              <w:bottom w:val="nil"/>
              <w:right w:val="nil"/>
            </w:tcBorders>
            <w:shd w:val="clear" w:color="auto" w:fill="FFFFFF"/>
            <w:tcMar>
              <w:left w:w="67" w:type="dxa"/>
              <w:right w:w="67" w:type="dxa"/>
            </w:tcMar>
            <w:vAlign w:val="center"/>
          </w:tcPr>
          <w:p w14:paraId="432348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3B992A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0.7723</w:t>
            </w:r>
          </w:p>
        </w:tc>
      </w:tr>
      <w:tr w:rsidR="00B77EA3" w:rsidRPr="0082484A" w14:paraId="625795D7" w14:textId="77777777" w:rsidTr="00B77EA3">
        <w:trPr>
          <w:cantSplit/>
          <w:jc w:val="center"/>
        </w:trPr>
        <w:tc>
          <w:tcPr>
            <w:tcW w:w="2835" w:type="dxa"/>
            <w:tcBorders>
              <w:top w:val="nil"/>
              <w:left w:val="single" w:sz="4" w:space="0" w:color="auto"/>
              <w:bottom w:val="single" w:sz="4" w:space="0" w:color="auto"/>
              <w:right w:val="nil"/>
            </w:tcBorders>
            <w:shd w:val="clear" w:color="auto" w:fill="FFFFFF"/>
            <w:tcMar>
              <w:left w:w="67" w:type="dxa"/>
              <w:right w:w="67" w:type="dxa"/>
            </w:tcMar>
            <w:vAlign w:val="center"/>
          </w:tcPr>
          <w:p w14:paraId="272081C3"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left w:w="67" w:type="dxa"/>
              <w:right w:w="67" w:type="dxa"/>
            </w:tcMar>
            <w:vAlign w:val="center"/>
          </w:tcPr>
          <w:p w14:paraId="251EEE5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4" w:space="0" w:color="auto"/>
              <w:right w:val="nil"/>
            </w:tcBorders>
            <w:shd w:val="clear" w:color="auto" w:fill="FFFFFF"/>
            <w:tcMar>
              <w:left w:w="67" w:type="dxa"/>
              <w:right w:w="67" w:type="dxa"/>
            </w:tcMar>
            <w:vAlign w:val="center"/>
          </w:tcPr>
          <w:p w14:paraId="2EA9FA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-0.2006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49F0C0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0.1863</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341436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0.8183</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0675D9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0.5389</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7216EC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1.2426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74864D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w:t>
            </w:r>
          </w:p>
        </w:tc>
        <w:tc>
          <w:tcPr>
            <w:tcW w:w="567" w:type="dxa"/>
            <w:tcBorders>
              <w:top w:val="nil"/>
              <w:left w:val="nil"/>
              <w:bottom w:val="single" w:sz="4" w:space="0" w:color="auto"/>
              <w:right w:val="nil"/>
            </w:tcBorders>
            <w:shd w:val="clear" w:color="auto" w:fill="FFFFFF"/>
            <w:tcMar>
              <w:left w:w="67" w:type="dxa"/>
              <w:right w:w="67" w:type="dxa"/>
            </w:tcMar>
            <w:vAlign w:val="center"/>
          </w:tcPr>
          <w:p w14:paraId="5F5660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left w:w="67" w:type="dxa"/>
              <w:right w:w="67" w:type="dxa"/>
            </w:tcMar>
            <w:vAlign w:val="center"/>
          </w:tcPr>
          <w:p w14:paraId="0FB308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0.2818</w:t>
            </w:r>
          </w:p>
        </w:tc>
      </w:tr>
    </w:tbl>
    <w:p w14:paraId="551C3B30"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with heart failure being prescribed an oral NSAID is 200</w:t>
      </w:r>
    </w:p>
    <w:p w14:paraId="3717715C" w14:textId="77777777" w:rsidR="00B77EA3" w:rsidRPr="0082484A" w:rsidRDefault="00B77EA3" w:rsidP="00B77EA3">
      <w:pPr>
        <w:spacing w:before="0" w:after="160" w:line="259" w:lineRule="auto"/>
        <w:rPr>
          <w:sz w:val="22"/>
          <w:szCs w:val="22"/>
        </w:rPr>
      </w:pPr>
      <w:r w:rsidRPr="0082484A">
        <w:rPr>
          <w:sz w:val="22"/>
          <w:szCs w:val="22"/>
        </w:rPr>
        <w:br w:type="page"/>
      </w:r>
    </w:p>
    <w:p w14:paraId="1964B6DB" w14:textId="69DE1B5B" w:rsidR="00B77EA3" w:rsidRPr="0082484A" w:rsidRDefault="00B77EA3" w:rsidP="00B77EA3">
      <w:pPr>
        <w:spacing w:before="0" w:line="240" w:lineRule="auto"/>
        <w:rPr>
          <w:bCs/>
          <w:sz w:val="22"/>
          <w:szCs w:val="22"/>
        </w:rPr>
      </w:pPr>
      <w:bookmarkStart w:id="128" w:name="_Ref502917958"/>
      <w:bookmarkStart w:id="129" w:name="_Toc8728108"/>
      <w:bookmarkStart w:id="130" w:name="_Toc19526763"/>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34</w:t>
      </w:r>
      <w:r w:rsidRPr="0082484A">
        <w:rPr>
          <w:bCs/>
          <w:noProof/>
          <w:sz w:val="22"/>
          <w:szCs w:val="22"/>
        </w:rPr>
        <w:fldChar w:fldCharType="end"/>
      </w:r>
      <w:bookmarkEnd w:id="128"/>
      <w:r w:rsidRPr="0082484A">
        <w:rPr>
          <w:bCs/>
          <w:sz w:val="22"/>
          <w:szCs w:val="22"/>
        </w:rPr>
        <w:t>: Secondary outcome for Trial 1: Prescribing an oral NSAID in patients prescribed both a diuretic and an angiotensin-converting enzyme inhibitor (ACE-I) or angiotensin receptor blocker (ARB)</w:t>
      </w:r>
      <w:bookmarkEnd w:id="129"/>
      <w:bookmarkEnd w:id="130"/>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05D909F5"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7C7C0A1" w14:textId="77777777" w:rsidR="00B77EA3" w:rsidRPr="0082484A" w:rsidRDefault="00B77EA3" w:rsidP="00B77EA3">
            <w:pPr>
              <w:spacing w:beforeLines="10" w:before="24" w:afterLines="10" w:after="24" w:line="240" w:lineRule="auto"/>
              <w:rPr>
                <w:bCs/>
                <w:sz w:val="22"/>
                <w:szCs w:val="22"/>
              </w:rPr>
            </w:pPr>
            <w:bookmarkStart w:id="131" w:name="IDX167"/>
            <w:bookmarkEnd w:id="131"/>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535CEDB"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C4D96C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79D32D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4B556C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BCFBC6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B7AC12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5024C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09F773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0ADC7D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3844957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25FB6F8"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CFB466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2EC980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-0.2383</w:t>
            </w:r>
          </w:p>
        </w:tc>
        <w:tc>
          <w:tcPr>
            <w:tcW w:w="1134" w:type="dxa"/>
            <w:tcBorders>
              <w:top w:val="nil"/>
              <w:left w:val="nil"/>
              <w:bottom w:val="nil"/>
              <w:right w:val="nil"/>
            </w:tcBorders>
            <w:shd w:val="clear" w:color="auto" w:fill="FFFFFF"/>
            <w:tcMar>
              <w:left w:w="67" w:type="dxa"/>
              <w:right w:w="67" w:type="dxa"/>
            </w:tcMar>
            <w:vAlign w:val="center"/>
          </w:tcPr>
          <w:p w14:paraId="0359D5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0.1131</w:t>
            </w:r>
          </w:p>
        </w:tc>
        <w:tc>
          <w:tcPr>
            <w:tcW w:w="1134" w:type="dxa"/>
            <w:tcBorders>
              <w:top w:val="nil"/>
              <w:left w:val="nil"/>
              <w:bottom w:val="nil"/>
              <w:right w:val="nil"/>
            </w:tcBorders>
            <w:shd w:val="clear" w:color="auto" w:fill="FFFFFF"/>
            <w:tcMar>
              <w:left w:w="67" w:type="dxa"/>
              <w:right w:w="67" w:type="dxa"/>
            </w:tcMar>
            <w:vAlign w:val="center"/>
          </w:tcPr>
          <w:p w14:paraId="284E03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0.7880</w:t>
            </w:r>
          </w:p>
        </w:tc>
        <w:tc>
          <w:tcPr>
            <w:tcW w:w="1134" w:type="dxa"/>
            <w:tcBorders>
              <w:top w:val="nil"/>
              <w:left w:val="nil"/>
              <w:bottom w:val="nil"/>
              <w:right w:val="nil"/>
            </w:tcBorders>
            <w:shd w:val="clear" w:color="auto" w:fill="FFFFFF"/>
            <w:tcMar>
              <w:left w:w="67" w:type="dxa"/>
              <w:right w:w="67" w:type="dxa"/>
            </w:tcMar>
            <w:vAlign w:val="center"/>
          </w:tcPr>
          <w:p w14:paraId="53F480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0.6115</w:t>
            </w:r>
          </w:p>
        </w:tc>
        <w:tc>
          <w:tcPr>
            <w:tcW w:w="1134" w:type="dxa"/>
            <w:tcBorders>
              <w:top w:val="nil"/>
              <w:left w:val="nil"/>
              <w:bottom w:val="nil"/>
              <w:right w:val="nil"/>
            </w:tcBorders>
            <w:shd w:val="clear" w:color="auto" w:fill="FFFFFF"/>
            <w:tcMar>
              <w:left w:w="67" w:type="dxa"/>
              <w:right w:w="67" w:type="dxa"/>
            </w:tcMar>
            <w:vAlign w:val="center"/>
          </w:tcPr>
          <w:p w14:paraId="6602D9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1.0153</w:t>
            </w:r>
          </w:p>
        </w:tc>
        <w:tc>
          <w:tcPr>
            <w:tcW w:w="1134" w:type="dxa"/>
            <w:tcBorders>
              <w:top w:val="nil"/>
              <w:left w:val="nil"/>
              <w:bottom w:val="nil"/>
              <w:right w:val="nil"/>
            </w:tcBorders>
            <w:shd w:val="clear" w:color="auto" w:fill="FFFFFF"/>
            <w:tcMar>
              <w:left w:w="67" w:type="dxa"/>
              <w:right w:w="67" w:type="dxa"/>
            </w:tcMar>
            <w:vAlign w:val="center"/>
          </w:tcPr>
          <w:p w14:paraId="165C99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4.44</w:t>
            </w:r>
          </w:p>
        </w:tc>
        <w:tc>
          <w:tcPr>
            <w:tcW w:w="567" w:type="dxa"/>
            <w:tcBorders>
              <w:top w:val="nil"/>
              <w:left w:val="nil"/>
              <w:bottom w:val="nil"/>
              <w:right w:val="nil"/>
            </w:tcBorders>
            <w:shd w:val="clear" w:color="auto" w:fill="FFFFFF"/>
            <w:tcMar>
              <w:left w:w="67" w:type="dxa"/>
              <w:right w:w="67" w:type="dxa"/>
            </w:tcMar>
            <w:vAlign w:val="center"/>
          </w:tcPr>
          <w:p w14:paraId="797E2C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8C45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0.0351</w:t>
            </w:r>
          </w:p>
        </w:tc>
      </w:tr>
      <w:tr w:rsidR="00B77EA3" w:rsidRPr="0082484A" w14:paraId="42AC2C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27FDE2"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2B438B4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94354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0.1466</w:t>
            </w:r>
          </w:p>
        </w:tc>
        <w:tc>
          <w:tcPr>
            <w:tcW w:w="1134" w:type="dxa"/>
            <w:tcBorders>
              <w:top w:val="nil"/>
              <w:left w:val="nil"/>
              <w:bottom w:val="nil"/>
              <w:right w:val="nil"/>
            </w:tcBorders>
            <w:shd w:val="clear" w:color="auto" w:fill="FFFFFF"/>
            <w:tcMar>
              <w:left w:w="67" w:type="dxa"/>
              <w:right w:w="67" w:type="dxa"/>
            </w:tcMar>
            <w:vAlign w:val="center"/>
          </w:tcPr>
          <w:p w14:paraId="07114C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0.0689</w:t>
            </w:r>
          </w:p>
        </w:tc>
        <w:tc>
          <w:tcPr>
            <w:tcW w:w="1134" w:type="dxa"/>
            <w:tcBorders>
              <w:top w:val="nil"/>
              <w:left w:val="nil"/>
              <w:bottom w:val="nil"/>
              <w:right w:val="nil"/>
            </w:tcBorders>
            <w:shd w:val="clear" w:color="auto" w:fill="FFFFFF"/>
            <w:tcMar>
              <w:left w:w="67" w:type="dxa"/>
              <w:right w:w="67" w:type="dxa"/>
            </w:tcMar>
            <w:vAlign w:val="center"/>
          </w:tcPr>
          <w:p w14:paraId="3DB81D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1.1579</w:t>
            </w:r>
          </w:p>
        </w:tc>
        <w:tc>
          <w:tcPr>
            <w:tcW w:w="1134" w:type="dxa"/>
            <w:tcBorders>
              <w:top w:val="nil"/>
              <w:left w:val="nil"/>
              <w:bottom w:val="nil"/>
              <w:right w:val="nil"/>
            </w:tcBorders>
            <w:shd w:val="clear" w:color="auto" w:fill="FFFFFF"/>
            <w:tcMar>
              <w:left w:w="67" w:type="dxa"/>
              <w:right w:w="67" w:type="dxa"/>
            </w:tcMar>
            <w:vAlign w:val="center"/>
          </w:tcPr>
          <w:p w14:paraId="5B5888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0.9921</w:t>
            </w:r>
          </w:p>
        </w:tc>
        <w:tc>
          <w:tcPr>
            <w:tcW w:w="1134" w:type="dxa"/>
            <w:tcBorders>
              <w:top w:val="nil"/>
              <w:left w:val="nil"/>
              <w:bottom w:val="nil"/>
              <w:right w:val="nil"/>
            </w:tcBorders>
            <w:shd w:val="clear" w:color="auto" w:fill="FFFFFF"/>
            <w:tcMar>
              <w:left w:w="67" w:type="dxa"/>
              <w:right w:w="67" w:type="dxa"/>
            </w:tcMar>
            <w:vAlign w:val="center"/>
          </w:tcPr>
          <w:p w14:paraId="6E8568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1.3514</w:t>
            </w:r>
          </w:p>
        </w:tc>
        <w:tc>
          <w:tcPr>
            <w:tcW w:w="1134" w:type="dxa"/>
            <w:tcBorders>
              <w:top w:val="nil"/>
              <w:left w:val="nil"/>
              <w:bottom w:val="nil"/>
              <w:right w:val="nil"/>
            </w:tcBorders>
            <w:shd w:val="clear" w:color="auto" w:fill="FFFFFF"/>
            <w:tcMar>
              <w:left w:w="67" w:type="dxa"/>
              <w:right w:w="67" w:type="dxa"/>
            </w:tcMar>
            <w:vAlign w:val="center"/>
          </w:tcPr>
          <w:p w14:paraId="0EF9A3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4.52</w:t>
            </w:r>
          </w:p>
        </w:tc>
        <w:tc>
          <w:tcPr>
            <w:tcW w:w="567" w:type="dxa"/>
            <w:tcBorders>
              <w:top w:val="nil"/>
              <w:left w:val="nil"/>
              <w:bottom w:val="nil"/>
              <w:right w:val="nil"/>
            </w:tcBorders>
            <w:shd w:val="clear" w:color="auto" w:fill="FFFFFF"/>
            <w:tcMar>
              <w:left w:w="67" w:type="dxa"/>
              <w:right w:w="67" w:type="dxa"/>
            </w:tcMar>
            <w:vAlign w:val="center"/>
          </w:tcPr>
          <w:p w14:paraId="19F489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547E8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0.0335</w:t>
            </w:r>
          </w:p>
        </w:tc>
      </w:tr>
      <w:tr w:rsidR="00B77EA3" w:rsidRPr="0082484A" w14:paraId="3F60292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24595E8"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294DC7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3DBA7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-0.0309</w:t>
            </w:r>
          </w:p>
        </w:tc>
        <w:tc>
          <w:tcPr>
            <w:tcW w:w="1134" w:type="dxa"/>
            <w:tcBorders>
              <w:top w:val="nil"/>
              <w:left w:val="nil"/>
              <w:bottom w:val="nil"/>
              <w:right w:val="nil"/>
            </w:tcBorders>
            <w:shd w:val="clear" w:color="auto" w:fill="FFFFFF"/>
            <w:tcMar>
              <w:left w:w="67" w:type="dxa"/>
              <w:right w:w="67" w:type="dxa"/>
            </w:tcMar>
            <w:vAlign w:val="center"/>
          </w:tcPr>
          <w:p w14:paraId="5CABA4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3FCCFE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0.9696</w:t>
            </w:r>
          </w:p>
        </w:tc>
        <w:tc>
          <w:tcPr>
            <w:tcW w:w="1134" w:type="dxa"/>
            <w:tcBorders>
              <w:top w:val="nil"/>
              <w:left w:val="nil"/>
              <w:bottom w:val="nil"/>
              <w:right w:val="nil"/>
            </w:tcBorders>
            <w:shd w:val="clear" w:color="auto" w:fill="FFFFFF"/>
            <w:tcMar>
              <w:left w:w="67" w:type="dxa"/>
              <w:right w:w="67" w:type="dxa"/>
            </w:tcMar>
            <w:vAlign w:val="center"/>
          </w:tcPr>
          <w:p w14:paraId="365398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0.9636</w:t>
            </w:r>
          </w:p>
        </w:tc>
        <w:tc>
          <w:tcPr>
            <w:tcW w:w="1134" w:type="dxa"/>
            <w:tcBorders>
              <w:top w:val="nil"/>
              <w:left w:val="nil"/>
              <w:bottom w:val="nil"/>
              <w:right w:val="nil"/>
            </w:tcBorders>
            <w:shd w:val="clear" w:color="auto" w:fill="FFFFFF"/>
            <w:tcMar>
              <w:left w:w="67" w:type="dxa"/>
              <w:right w:w="67" w:type="dxa"/>
            </w:tcMar>
            <w:vAlign w:val="center"/>
          </w:tcPr>
          <w:p w14:paraId="40141C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0.9756</w:t>
            </w:r>
          </w:p>
        </w:tc>
        <w:tc>
          <w:tcPr>
            <w:tcW w:w="1134" w:type="dxa"/>
            <w:tcBorders>
              <w:top w:val="nil"/>
              <w:left w:val="nil"/>
              <w:bottom w:val="nil"/>
              <w:right w:val="nil"/>
            </w:tcBorders>
            <w:shd w:val="clear" w:color="auto" w:fill="FFFFFF"/>
            <w:tcMar>
              <w:left w:w="67" w:type="dxa"/>
              <w:right w:w="67" w:type="dxa"/>
            </w:tcMar>
            <w:vAlign w:val="center"/>
          </w:tcPr>
          <w:p w14:paraId="5E841E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126.47</w:t>
            </w:r>
          </w:p>
        </w:tc>
        <w:tc>
          <w:tcPr>
            <w:tcW w:w="567" w:type="dxa"/>
            <w:tcBorders>
              <w:top w:val="nil"/>
              <w:left w:val="nil"/>
              <w:bottom w:val="nil"/>
              <w:right w:val="nil"/>
            </w:tcBorders>
            <w:shd w:val="clear" w:color="auto" w:fill="FFFFFF"/>
            <w:tcMar>
              <w:left w:w="67" w:type="dxa"/>
              <w:right w:w="67" w:type="dxa"/>
            </w:tcMar>
            <w:vAlign w:val="center"/>
          </w:tcPr>
          <w:p w14:paraId="0D9F35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DFFF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93BAE8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1865F5"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E0C5434"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A070D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6B9C0E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5CEC06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0.9994</w:t>
            </w:r>
          </w:p>
        </w:tc>
        <w:tc>
          <w:tcPr>
            <w:tcW w:w="1134" w:type="dxa"/>
            <w:tcBorders>
              <w:top w:val="nil"/>
              <w:left w:val="nil"/>
              <w:bottom w:val="nil"/>
              <w:right w:val="nil"/>
            </w:tcBorders>
            <w:shd w:val="clear" w:color="auto" w:fill="FFFFFF"/>
            <w:tcMar>
              <w:left w:w="67" w:type="dxa"/>
              <w:right w:w="67" w:type="dxa"/>
            </w:tcMar>
            <w:vAlign w:val="center"/>
          </w:tcPr>
          <w:p w14:paraId="65C215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0.9955</w:t>
            </w:r>
          </w:p>
        </w:tc>
        <w:tc>
          <w:tcPr>
            <w:tcW w:w="1134" w:type="dxa"/>
            <w:tcBorders>
              <w:top w:val="nil"/>
              <w:left w:val="nil"/>
              <w:bottom w:val="nil"/>
              <w:right w:val="nil"/>
            </w:tcBorders>
            <w:shd w:val="clear" w:color="auto" w:fill="FFFFFF"/>
            <w:tcMar>
              <w:left w:w="67" w:type="dxa"/>
              <w:right w:w="67" w:type="dxa"/>
            </w:tcMar>
            <w:vAlign w:val="center"/>
          </w:tcPr>
          <w:p w14:paraId="61C071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1.0034</w:t>
            </w:r>
          </w:p>
        </w:tc>
        <w:tc>
          <w:tcPr>
            <w:tcW w:w="1134" w:type="dxa"/>
            <w:tcBorders>
              <w:top w:val="nil"/>
              <w:left w:val="nil"/>
              <w:bottom w:val="nil"/>
              <w:right w:val="nil"/>
            </w:tcBorders>
            <w:shd w:val="clear" w:color="auto" w:fill="FFFFFF"/>
            <w:tcMar>
              <w:left w:w="67" w:type="dxa"/>
              <w:right w:w="67" w:type="dxa"/>
            </w:tcMar>
            <w:vAlign w:val="center"/>
          </w:tcPr>
          <w:p w14:paraId="2EDF46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w:t>
            </w:r>
          </w:p>
        </w:tc>
        <w:tc>
          <w:tcPr>
            <w:tcW w:w="567" w:type="dxa"/>
            <w:tcBorders>
              <w:top w:val="nil"/>
              <w:left w:val="nil"/>
              <w:bottom w:val="nil"/>
              <w:right w:val="nil"/>
            </w:tcBorders>
            <w:shd w:val="clear" w:color="auto" w:fill="FFFFFF"/>
            <w:tcMar>
              <w:left w:w="67" w:type="dxa"/>
              <w:right w:w="67" w:type="dxa"/>
            </w:tcMar>
            <w:vAlign w:val="center"/>
          </w:tcPr>
          <w:p w14:paraId="46900A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EF31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0.7533</w:t>
            </w:r>
          </w:p>
        </w:tc>
      </w:tr>
      <w:tr w:rsidR="00B77EA3" w:rsidRPr="0082484A" w14:paraId="00055EE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A3431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F519F3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562D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0.1877</w:t>
            </w:r>
          </w:p>
        </w:tc>
        <w:tc>
          <w:tcPr>
            <w:tcW w:w="1134" w:type="dxa"/>
            <w:tcBorders>
              <w:top w:val="nil"/>
              <w:left w:val="nil"/>
              <w:bottom w:val="nil"/>
              <w:right w:val="nil"/>
            </w:tcBorders>
            <w:shd w:val="clear" w:color="auto" w:fill="FFFFFF"/>
            <w:tcMar>
              <w:left w:w="67" w:type="dxa"/>
              <w:right w:w="67" w:type="dxa"/>
            </w:tcMar>
            <w:vAlign w:val="center"/>
          </w:tcPr>
          <w:p w14:paraId="4A23AC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0.2757</w:t>
            </w:r>
          </w:p>
        </w:tc>
        <w:tc>
          <w:tcPr>
            <w:tcW w:w="1134" w:type="dxa"/>
            <w:tcBorders>
              <w:top w:val="nil"/>
              <w:left w:val="nil"/>
              <w:bottom w:val="nil"/>
              <w:right w:val="nil"/>
            </w:tcBorders>
            <w:shd w:val="clear" w:color="auto" w:fill="FFFFFF"/>
            <w:tcMar>
              <w:left w:w="67" w:type="dxa"/>
              <w:right w:w="67" w:type="dxa"/>
            </w:tcMar>
            <w:vAlign w:val="center"/>
          </w:tcPr>
          <w:p w14:paraId="55ADE0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1.2064</w:t>
            </w:r>
          </w:p>
        </w:tc>
        <w:tc>
          <w:tcPr>
            <w:tcW w:w="1134" w:type="dxa"/>
            <w:tcBorders>
              <w:top w:val="nil"/>
              <w:left w:val="nil"/>
              <w:bottom w:val="nil"/>
              <w:right w:val="nil"/>
            </w:tcBorders>
            <w:shd w:val="clear" w:color="auto" w:fill="FFFFFF"/>
            <w:tcMar>
              <w:left w:w="67" w:type="dxa"/>
              <w:right w:w="67" w:type="dxa"/>
            </w:tcMar>
            <w:vAlign w:val="center"/>
          </w:tcPr>
          <w:p w14:paraId="0A9711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0.6503</w:t>
            </w:r>
          </w:p>
        </w:tc>
        <w:tc>
          <w:tcPr>
            <w:tcW w:w="1134" w:type="dxa"/>
            <w:tcBorders>
              <w:top w:val="nil"/>
              <w:left w:val="nil"/>
              <w:bottom w:val="nil"/>
              <w:right w:val="nil"/>
            </w:tcBorders>
            <w:shd w:val="clear" w:color="auto" w:fill="FFFFFF"/>
            <w:tcMar>
              <w:left w:w="67" w:type="dxa"/>
              <w:right w:w="67" w:type="dxa"/>
            </w:tcMar>
            <w:vAlign w:val="center"/>
          </w:tcPr>
          <w:p w14:paraId="6098E8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2.2382</w:t>
            </w:r>
          </w:p>
        </w:tc>
        <w:tc>
          <w:tcPr>
            <w:tcW w:w="1134" w:type="dxa"/>
            <w:tcBorders>
              <w:top w:val="nil"/>
              <w:left w:val="nil"/>
              <w:bottom w:val="nil"/>
              <w:right w:val="nil"/>
            </w:tcBorders>
            <w:shd w:val="clear" w:color="auto" w:fill="FFFFFF"/>
            <w:tcMar>
              <w:left w:w="67" w:type="dxa"/>
              <w:right w:w="67" w:type="dxa"/>
            </w:tcMar>
            <w:vAlign w:val="center"/>
          </w:tcPr>
          <w:p w14:paraId="6512CF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w:t>
            </w:r>
          </w:p>
        </w:tc>
        <w:tc>
          <w:tcPr>
            <w:tcW w:w="567" w:type="dxa"/>
            <w:tcBorders>
              <w:top w:val="nil"/>
              <w:left w:val="nil"/>
              <w:bottom w:val="nil"/>
              <w:right w:val="nil"/>
            </w:tcBorders>
            <w:shd w:val="clear" w:color="auto" w:fill="FFFFFF"/>
            <w:tcMar>
              <w:left w:w="67" w:type="dxa"/>
              <w:right w:w="67" w:type="dxa"/>
            </w:tcMar>
            <w:vAlign w:val="center"/>
          </w:tcPr>
          <w:p w14:paraId="1DC031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3B03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0.1198</w:t>
            </w:r>
          </w:p>
        </w:tc>
      </w:tr>
      <w:tr w:rsidR="00B77EA3" w:rsidRPr="0082484A" w14:paraId="1A4E445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16431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18C9A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FFC32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0.2046</w:t>
            </w:r>
          </w:p>
        </w:tc>
        <w:tc>
          <w:tcPr>
            <w:tcW w:w="1134" w:type="dxa"/>
            <w:tcBorders>
              <w:top w:val="nil"/>
              <w:left w:val="nil"/>
              <w:bottom w:val="nil"/>
              <w:right w:val="nil"/>
            </w:tcBorders>
            <w:shd w:val="clear" w:color="auto" w:fill="FFFFFF"/>
            <w:tcMar>
              <w:left w:w="67" w:type="dxa"/>
              <w:right w:w="67" w:type="dxa"/>
            </w:tcMar>
            <w:vAlign w:val="center"/>
          </w:tcPr>
          <w:p w14:paraId="192493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0.2972</w:t>
            </w:r>
          </w:p>
        </w:tc>
        <w:tc>
          <w:tcPr>
            <w:tcW w:w="1134" w:type="dxa"/>
            <w:tcBorders>
              <w:top w:val="nil"/>
              <w:left w:val="nil"/>
              <w:bottom w:val="nil"/>
              <w:right w:val="nil"/>
            </w:tcBorders>
            <w:shd w:val="clear" w:color="auto" w:fill="FFFFFF"/>
            <w:tcMar>
              <w:left w:w="67" w:type="dxa"/>
              <w:right w:w="67" w:type="dxa"/>
            </w:tcMar>
            <w:vAlign w:val="center"/>
          </w:tcPr>
          <w:p w14:paraId="2B2CB9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1.2270</w:t>
            </w:r>
          </w:p>
        </w:tc>
        <w:tc>
          <w:tcPr>
            <w:tcW w:w="1134" w:type="dxa"/>
            <w:tcBorders>
              <w:top w:val="nil"/>
              <w:left w:val="nil"/>
              <w:bottom w:val="nil"/>
              <w:right w:val="nil"/>
            </w:tcBorders>
            <w:shd w:val="clear" w:color="auto" w:fill="FFFFFF"/>
            <w:tcMar>
              <w:left w:w="67" w:type="dxa"/>
              <w:right w:w="67" w:type="dxa"/>
            </w:tcMar>
            <w:vAlign w:val="center"/>
          </w:tcPr>
          <w:p w14:paraId="6DD032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0.6302</w:t>
            </w:r>
          </w:p>
        </w:tc>
        <w:tc>
          <w:tcPr>
            <w:tcW w:w="1134" w:type="dxa"/>
            <w:tcBorders>
              <w:top w:val="nil"/>
              <w:left w:val="nil"/>
              <w:bottom w:val="nil"/>
              <w:right w:val="nil"/>
            </w:tcBorders>
            <w:shd w:val="clear" w:color="auto" w:fill="FFFFFF"/>
            <w:tcMar>
              <w:left w:w="67" w:type="dxa"/>
              <w:right w:w="67" w:type="dxa"/>
            </w:tcMar>
            <w:vAlign w:val="center"/>
          </w:tcPr>
          <w:p w14:paraId="672778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2.3889</w:t>
            </w:r>
          </w:p>
        </w:tc>
        <w:tc>
          <w:tcPr>
            <w:tcW w:w="1134" w:type="dxa"/>
            <w:tcBorders>
              <w:top w:val="nil"/>
              <w:left w:val="nil"/>
              <w:bottom w:val="nil"/>
              <w:right w:val="nil"/>
            </w:tcBorders>
            <w:shd w:val="clear" w:color="auto" w:fill="FFFFFF"/>
            <w:tcMar>
              <w:left w:w="67" w:type="dxa"/>
              <w:right w:w="67" w:type="dxa"/>
            </w:tcMar>
            <w:vAlign w:val="center"/>
          </w:tcPr>
          <w:p w14:paraId="7049010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BBA60A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1A0C1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9FFFAD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79FA46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71E59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82CA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0.0692</w:t>
            </w:r>
          </w:p>
        </w:tc>
        <w:tc>
          <w:tcPr>
            <w:tcW w:w="1134" w:type="dxa"/>
            <w:tcBorders>
              <w:top w:val="nil"/>
              <w:left w:val="nil"/>
              <w:bottom w:val="nil"/>
              <w:right w:val="nil"/>
            </w:tcBorders>
            <w:shd w:val="clear" w:color="auto" w:fill="FFFFFF"/>
            <w:tcMar>
              <w:left w:w="67" w:type="dxa"/>
              <w:right w:w="67" w:type="dxa"/>
            </w:tcMar>
            <w:vAlign w:val="center"/>
          </w:tcPr>
          <w:p w14:paraId="128EEF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0.1907</w:t>
            </w:r>
          </w:p>
        </w:tc>
        <w:tc>
          <w:tcPr>
            <w:tcW w:w="1134" w:type="dxa"/>
            <w:tcBorders>
              <w:top w:val="nil"/>
              <w:left w:val="nil"/>
              <w:bottom w:val="nil"/>
              <w:right w:val="nil"/>
            </w:tcBorders>
            <w:shd w:val="clear" w:color="auto" w:fill="FFFFFF"/>
            <w:tcMar>
              <w:left w:w="67" w:type="dxa"/>
              <w:right w:w="67" w:type="dxa"/>
            </w:tcMar>
            <w:vAlign w:val="center"/>
          </w:tcPr>
          <w:p w14:paraId="1075AF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1.0716</w:t>
            </w:r>
          </w:p>
        </w:tc>
        <w:tc>
          <w:tcPr>
            <w:tcW w:w="1134" w:type="dxa"/>
            <w:tcBorders>
              <w:top w:val="nil"/>
              <w:left w:val="nil"/>
              <w:bottom w:val="nil"/>
              <w:right w:val="nil"/>
            </w:tcBorders>
            <w:shd w:val="clear" w:color="auto" w:fill="FFFFFF"/>
            <w:tcMar>
              <w:left w:w="67" w:type="dxa"/>
              <w:right w:w="67" w:type="dxa"/>
            </w:tcMar>
            <w:vAlign w:val="center"/>
          </w:tcPr>
          <w:p w14:paraId="0DE40D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0.6990</w:t>
            </w:r>
          </w:p>
        </w:tc>
        <w:tc>
          <w:tcPr>
            <w:tcW w:w="1134" w:type="dxa"/>
            <w:tcBorders>
              <w:top w:val="nil"/>
              <w:left w:val="nil"/>
              <w:bottom w:val="nil"/>
              <w:right w:val="nil"/>
            </w:tcBorders>
            <w:shd w:val="clear" w:color="auto" w:fill="FFFFFF"/>
            <w:tcMar>
              <w:left w:w="67" w:type="dxa"/>
              <w:right w:w="67" w:type="dxa"/>
            </w:tcMar>
            <w:vAlign w:val="center"/>
          </w:tcPr>
          <w:p w14:paraId="00D57D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1.6431</w:t>
            </w:r>
          </w:p>
        </w:tc>
        <w:tc>
          <w:tcPr>
            <w:tcW w:w="1134" w:type="dxa"/>
            <w:tcBorders>
              <w:top w:val="nil"/>
              <w:left w:val="nil"/>
              <w:bottom w:val="nil"/>
              <w:right w:val="nil"/>
            </w:tcBorders>
            <w:shd w:val="clear" w:color="auto" w:fill="FFFFFF"/>
            <w:tcMar>
              <w:left w:w="67" w:type="dxa"/>
              <w:right w:w="67" w:type="dxa"/>
            </w:tcMar>
            <w:vAlign w:val="center"/>
          </w:tcPr>
          <w:p w14:paraId="1935853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5443AF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96EC9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E17BD4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C4619D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859996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05EF7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0.1531</w:t>
            </w:r>
          </w:p>
        </w:tc>
        <w:tc>
          <w:tcPr>
            <w:tcW w:w="1134" w:type="dxa"/>
            <w:tcBorders>
              <w:top w:val="nil"/>
              <w:left w:val="nil"/>
              <w:bottom w:val="nil"/>
              <w:right w:val="nil"/>
            </w:tcBorders>
            <w:shd w:val="clear" w:color="auto" w:fill="FFFFFF"/>
            <w:tcMar>
              <w:left w:w="67" w:type="dxa"/>
              <w:right w:w="67" w:type="dxa"/>
            </w:tcMar>
            <w:vAlign w:val="center"/>
          </w:tcPr>
          <w:p w14:paraId="36586F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0.2557</w:t>
            </w:r>
          </w:p>
        </w:tc>
        <w:tc>
          <w:tcPr>
            <w:tcW w:w="1134" w:type="dxa"/>
            <w:tcBorders>
              <w:top w:val="nil"/>
              <w:left w:val="nil"/>
              <w:bottom w:val="nil"/>
              <w:right w:val="nil"/>
            </w:tcBorders>
            <w:shd w:val="clear" w:color="auto" w:fill="FFFFFF"/>
            <w:tcMar>
              <w:left w:w="67" w:type="dxa"/>
              <w:right w:w="67" w:type="dxa"/>
            </w:tcMar>
            <w:vAlign w:val="center"/>
          </w:tcPr>
          <w:p w14:paraId="79B73F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1.1655</w:t>
            </w:r>
          </w:p>
        </w:tc>
        <w:tc>
          <w:tcPr>
            <w:tcW w:w="1134" w:type="dxa"/>
            <w:tcBorders>
              <w:top w:val="nil"/>
              <w:left w:val="nil"/>
              <w:bottom w:val="nil"/>
              <w:right w:val="nil"/>
            </w:tcBorders>
            <w:shd w:val="clear" w:color="auto" w:fill="FFFFFF"/>
            <w:tcMar>
              <w:left w:w="67" w:type="dxa"/>
              <w:right w:w="67" w:type="dxa"/>
            </w:tcMar>
            <w:vAlign w:val="center"/>
          </w:tcPr>
          <w:p w14:paraId="060448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0.6570</w:t>
            </w:r>
          </w:p>
        </w:tc>
        <w:tc>
          <w:tcPr>
            <w:tcW w:w="1134" w:type="dxa"/>
            <w:tcBorders>
              <w:top w:val="nil"/>
              <w:left w:val="nil"/>
              <w:bottom w:val="nil"/>
              <w:right w:val="nil"/>
            </w:tcBorders>
            <w:shd w:val="clear" w:color="auto" w:fill="FFFFFF"/>
            <w:tcMar>
              <w:left w:w="67" w:type="dxa"/>
              <w:right w:w="67" w:type="dxa"/>
            </w:tcMar>
            <w:vAlign w:val="center"/>
          </w:tcPr>
          <w:p w14:paraId="6D5408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2.0675</w:t>
            </w:r>
          </w:p>
        </w:tc>
        <w:tc>
          <w:tcPr>
            <w:tcW w:w="1134" w:type="dxa"/>
            <w:tcBorders>
              <w:top w:val="nil"/>
              <w:left w:val="nil"/>
              <w:bottom w:val="nil"/>
              <w:right w:val="nil"/>
            </w:tcBorders>
            <w:shd w:val="clear" w:color="auto" w:fill="FFFFFF"/>
            <w:tcMar>
              <w:left w:w="67" w:type="dxa"/>
              <w:right w:w="67" w:type="dxa"/>
            </w:tcMar>
            <w:vAlign w:val="center"/>
          </w:tcPr>
          <w:p w14:paraId="4BE751D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43BE57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8DE2AA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0F6302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C65BB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7B9310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69BBB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0.3368</w:t>
            </w:r>
          </w:p>
        </w:tc>
        <w:tc>
          <w:tcPr>
            <w:tcW w:w="1134" w:type="dxa"/>
            <w:tcBorders>
              <w:top w:val="nil"/>
              <w:left w:val="nil"/>
              <w:bottom w:val="nil"/>
              <w:right w:val="nil"/>
            </w:tcBorders>
            <w:shd w:val="clear" w:color="auto" w:fill="FFFFFF"/>
            <w:tcMar>
              <w:left w:w="67" w:type="dxa"/>
              <w:right w:w="67" w:type="dxa"/>
            </w:tcMar>
            <w:vAlign w:val="center"/>
          </w:tcPr>
          <w:p w14:paraId="6F66C1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0.2665</w:t>
            </w:r>
          </w:p>
        </w:tc>
        <w:tc>
          <w:tcPr>
            <w:tcW w:w="1134" w:type="dxa"/>
            <w:tcBorders>
              <w:top w:val="nil"/>
              <w:left w:val="nil"/>
              <w:bottom w:val="nil"/>
              <w:right w:val="nil"/>
            </w:tcBorders>
            <w:shd w:val="clear" w:color="auto" w:fill="FFFFFF"/>
            <w:tcMar>
              <w:left w:w="67" w:type="dxa"/>
              <w:right w:w="67" w:type="dxa"/>
            </w:tcMar>
            <w:vAlign w:val="center"/>
          </w:tcPr>
          <w:p w14:paraId="540B9D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1.4004</w:t>
            </w:r>
          </w:p>
        </w:tc>
        <w:tc>
          <w:tcPr>
            <w:tcW w:w="1134" w:type="dxa"/>
            <w:tcBorders>
              <w:top w:val="nil"/>
              <w:left w:val="nil"/>
              <w:bottom w:val="nil"/>
              <w:right w:val="nil"/>
            </w:tcBorders>
            <w:shd w:val="clear" w:color="auto" w:fill="FFFFFF"/>
            <w:tcMar>
              <w:left w:w="67" w:type="dxa"/>
              <w:right w:w="67" w:type="dxa"/>
            </w:tcMar>
            <w:vAlign w:val="center"/>
          </w:tcPr>
          <w:p w14:paraId="5CB280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0.7706</w:t>
            </w:r>
          </w:p>
        </w:tc>
        <w:tc>
          <w:tcPr>
            <w:tcW w:w="1134" w:type="dxa"/>
            <w:tcBorders>
              <w:top w:val="nil"/>
              <w:left w:val="nil"/>
              <w:bottom w:val="nil"/>
              <w:right w:val="nil"/>
            </w:tcBorders>
            <w:shd w:val="clear" w:color="auto" w:fill="FFFFFF"/>
            <w:tcMar>
              <w:left w:w="67" w:type="dxa"/>
              <w:right w:w="67" w:type="dxa"/>
            </w:tcMar>
            <w:vAlign w:val="center"/>
          </w:tcPr>
          <w:p w14:paraId="46F092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2.5451</w:t>
            </w:r>
          </w:p>
        </w:tc>
        <w:tc>
          <w:tcPr>
            <w:tcW w:w="1134" w:type="dxa"/>
            <w:tcBorders>
              <w:top w:val="nil"/>
              <w:left w:val="nil"/>
              <w:bottom w:val="nil"/>
              <w:right w:val="nil"/>
            </w:tcBorders>
            <w:shd w:val="clear" w:color="auto" w:fill="FFFFFF"/>
            <w:tcMar>
              <w:left w:w="67" w:type="dxa"/>
              <w:right w:w="67" w:type="dxa"/>
            </w:tcMar>
            <w:vAlign w:val="center"/>
          </w:tcPr>
          <w:p w14:paraId="1631A08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E92FD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DC42A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DA0551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A20B3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6959FB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51CFB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-0.0786</w:t>
            </w:r>
          </w:p>
        </w:tc>
        <w:tc>
          <w:tcPr>
            <w:tcW w:w="1134" w:type="dxa"/>
            <w:tcBorders>
              <w:top w:val="nil"/>
              <w:left w:val="nil"/>
              <w:bottom w:val="nil"/>
              <w:right w:val="nil"/>
            </w:tcBorders>
            <w:shd w:val="clear" w:color="auto" w:fill="FFFFFF"/>
            <w:tcMar>
              <w:left w:w="67" w:type="dxa"/>
              <w:right w:w="67" w:type="dxa"/>
            </w:tcMar>
            <w:vAlign w:val="center"/>
          </w:tcPr>
          <w:p w14:paraId="73F037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0.2862</w:t>
            </w:r>
          </w:p>
        </w:tc>
        <w:tc>
          <w:tcPr>
            <w:tcW w:w="1134" w:type="dxa"/>
            <w:tcBorders>
              <w:top w:val="nil"/>
              <w:left w:val="nil"/>
              <w:bottom w:val="nil"/>
              <w:right w:val="nil"/>
            </w:tcBorders>
            <w:shd w:val="clear" w:color="auto" w:fill="FFFFFF"/>
            <w:tcMar>
              <w:left w:w="67" w:type="dxa"/>
              <w:right w:w="67" w:type="dxa"/>
            </w:tcMar>
            <w:vAlign w:val="center"/>
          </w:tcPr>
          <w:p w14:paraId="61A120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0.9244</w:t>
            </w:r>
          </w:p>
        </w:tc>
        <w:tc>
          <w:tcPr>
            <w:tcW w:w="1134" w:type="dxa"/>
            <w:tcBorders>
              <w:top w:val="nil"/>
              <w:left w:val="nil"/>
              <w:bottom w:val="nil"/>
              <w:right w:val="nil"/>
            </w:tcBorders>
            <w:shd w:val="clear" w:color="auto" w:fill="FFFFFF"/>
            <w:tcMar>
              <w:left w:w="67" w:type="dxa"/>
              <w:right w:w="67" w:type="dxa"/>
            </w:tcMar>
            <w:vAlign w:val="center"/>
          </w:tcPr>
          <w:p w14:paraId="7D5B75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0.4867</w:t>
            </w:r>
          </w:p>
        </w:tc>
        <w:tc>
          <w:tcPr>
            <w:tcW w:w="1134" w:type="dxa"/>
            <w:tcBorders>
              <w:top w:val="nil"/>
              <w:left w:val="nil"/>
              <w:bottom w:val="nil"/>
              <w:right w:val="nil"/>
            </w:tcBorders>
            <w:shd w:val="clear" w:color="auto" w:fill="FFFFFF"/>
            <w:tcMar>
              <w:left w:w="67" w:type="dxa"/>
              <w:right w:w="67" w:type="dxa"/>
            </w:tcMar>
            <w:vAlign w:val="center"/>
          </w:tcPr>
          <w:p w14:paraId="38B2AB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1.7557</w:t>
            </w:r>
          </w:p>
        </w:tc>
        <w:tc>
          <w:tcPr>
            <w:tcW w:w="1134" w:type="dxa"/>
            <w:tcBorders>
              <w:top w:val="nil"/>
              <w:left w:val="nil"/>
              <w:bottom w:val="nil"/>
              <w:right w:val="nil"/>
            </w:tcBorders>
            <w:shd w:val="clear" w:color="auto" w:fill="FFFFFF"/>
            <w:tcMar>
              <w:left w:w="67" w:type="dxa"/>
              <w:right w:w="67" w:type="dxa"/>
            </w:tcMar>
            <w:vAlign w:val="center"/>
          </w:tcPr>
          <w:p w14:paraId="3964A6F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67051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C3AFA4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DA02A1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EDA21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96FDF1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CE38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-0.3741</w:t>
            </w:r>
          </w:p>
        </w:tc>
        <w:tc>
          <w:tcPr>
            <w:tcW w:w="1134" w:type="dxa"/>
            <w:tcBorders>
              <w:top w:val="nil"/>
              <w:left w:val="nil"/>
              <w:bottom w:val="nil"/>
              <w:right w:val="nil"/>
            </w:tcBorders>
            <w:shd w:val="clear" w:color="auto" w:fill="FFFFFF"/>
            <w:tcMar>
              <w:left w:w="67" w:type="dxa"/>
              <w:right w:w="67" w:type="dxa"/>
            </w:tcMar>
            <w:vAlign w:val="center"/>
          </w:tcPr>
          <w:p w14:paraId="495CE9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0.2401</w:t>
            </w:r>
          </w:p>
        </w:tc>
        <w:tc>
          <w:tcPr>
            <w:tcW w:w="1134" w:type="dxa"/>
            <w:tcBorders>
              <w:top w:val="nil"/>
              <w:left w:val="nil"/>
              <w:bottom w:val="nil"/>
              <w:right w:val="nil"/>
            </w:tcBorders>
            <w:shd w:val="clear" w:color="auto" w:fill="FFFFFF"/>
            <w:tcMar>
              <w:left w:w="67" w:type="dxa"/>
              <w:right w:w="67" w:type="dxa"/>
            </w:tcMar>
            <w:vAlign w:val="center"/>
          </w:tcPr>
          <w:p w14:paraId="0C85BA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0.6879</w:t>
            </w:r>
          </w:p>
        </w:tc>
        <w:tc>
          <w:tcPr>
            <w:tcW w:w="1134" w:type="dxa"/>
            <w:tcBorders>
              <w:top w:val="nil"/>
              <w:left w:val="nil"/>
              <w:bottom w:val="nil"/>
              <w:right w:val="nil"/>
            </w:tcBorders>
            <w:shd w:val="clear" w:color="auto" w:fill="FFFFFF"/>
            <w:tcMar>
              <w:left w:w="67" w:type="dxa"/>
              <w:right w:w="67" w:type="dxa"/>
            </w:tcMar>
            <w:vAlign w:val="center"/>
          </w:tcPr>
          <w:p w14:paraId="01433A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0.4016</w:t>
            </w:r>
          </w:p>
        </w:tc>
        <w:tc>
          <w:tcPr>
            <w:tcW w:w="1134" w:type="dxa"/>
            <w:tcBorders>
              <w:top w:val="nil"/>
              <w:left w:val="nil"/>
              <w:bottom w:val="nil"/>
              <w:right w:val="nil"/>
            </w:tcBorders>
            <w:shd w:val="clear" w:color="auto" w:fill="FFFFFF"/>
            <w:tcMar>
              <w:left w:w="67" w:type="dxa"/>
              <w:right w:w="67" w:type="dxa"/>
            </w:tcMar>
            <w:vAlign w:val="center"/>
          </w:tcPr>
          <w:p w14:paraId="0B2203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1.1782</w:t>
            </w:r>
          </w:p>
        </w:tc>
        <w:tc>
          <w:tcPr>
            <w:tcW w:w="1134" w:type="dxa"/>
            <w:tcBorders>
              <w:top w:val="nil"/>
              <w:left w:val="nil"/>
              <w:bottom w:val="nil"/>
              <w:right w:val="nil"/>
            </w:tcBorders>
            <w:shd w:val="clear" w:color="auto" w:fill="FFFFFF"/>
            <w:tcMar>
              <w:left w:w="67" w:type="dxa"/>
              <w:right w:w="67" w:type="dxa"/>
            </w:tcMar>
            <w:vAlign w:val="center"/>
          </w:tcPr>
          <w:p w14:paraId="32DD108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D0C0F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8857E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FD55C1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47C1FB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8D92AA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E4763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-0.4396</w:t>
            </w:r>
          </w:p>
        </w:tc>
        <w:tc>
          <w:tcPr>
            <w:tcW w:w="1134" w:type="dxa"/>
            <w:tcBorders>
              <w:top w:val="nil"/>
              <w:left w:val="nil"/>
              <w:bottom w:val="nil"/>
              <w:right w:val="nil"/>
            </w:tcBorders>
            <w:shd w:val="clear" w:color="auto" w:fill="FFFFFF"/>
            <w:tcMar>
              <w:left w:w="67" w:type="dxa"/>
              <w:right w:w="67" w:type="dxa"/>
            </w:tcMar>
            <w:vAlign w:val="center"/>
          </w:tcPr>
          <w:p w14:paraId="53CC7C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0.2946</w:t>
            </w:r>
          </w:p>
        </w:tc>
        <w:tc>
          <w:tcPr>
            <w:tcW w:w="1134" w:type="dxa"/>
            <w:tcBorders>
              <w:top w:val="nil"/>
              <w:left w:val="nil"/>
              <w:bottom w:val="nil"/>
              <w:right w:val="nil"/>
            </w:tcBorders>
            <w:shd w:val="clear" w:color="auto" w:fill="FFFFFF"/>
            <w:tcMar>
              <w:left w:w="67" w:type="dxa"/>
              <w:right w:w="67" w:type="dxa"/>
            </w:tcMar>
            <w:vAlign w:val="center"/>
          </w:tcPr>
          <w:p w14:paraId="66CE2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0.6443</w:t>
            </w:r>
          </w:p>
        </w:tc>
        <w:tc>
          <w:tcPr>
            <w:tcW w:w="1134" w:type="dxa"/>
            <w:tcBorders>
              <w:top w:val="nil"/>
              <w:left w:val="nil"/>
              <w:bottom w:val="nil"/>
              <w:right w:val="nil"/>
            </w:tcBorders>
            <w:shd w:val="clear" w:color="auto" w:fill="FFFFFF"/>
            <w:tcMar>
              <w:left w:w="67" w:type="dxa"/>
              <w:right w:w="67" w:type="dxa"/>
            </w:tcMar>
            <w:vAlign w:val="center"/>
          </w:tcPr>
          <w:p w14:paraId="0E2D47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0.3329</w:t>
            </w:r>
          </w:p>
        </w:tc>
        <w:tc>
          <w:tcPr>
            <w:tcW w:w="1134" w:type="dxa"/>
            <w:tcBorders>
              <w:top w:val="nil"/>
              <w:left w:val="nil"/>
              <w:bottom w:val="nil"/>
              <w:right w:val="nil"/>
            </w:tcBorders>
            <w:shd w:val="clear" w:color="auto" w:fill="FFFFFF"/>
            <w:tcMar>
              <w:left w:w="67" w:type="dxa"/>
              <w:right w:w="67" w:type="dxa"/>
            </w:tcMar>
            <w:vAlign w:val="center"/>
          </w:tcPr>
          <w:p w14:paraId="7A1C87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1.2471</w:t>
            </w:r>
          </w:p>
        </w:tc>
        <w:tc>
          <w:tcPr>
            <w:tcW w:w="1134" w:type="dxa"/>
            <w:tcBorders>
              <w:top w:val="nil"/>
              <w:left w:val="nil"/>
              <w:bottom w:val="nil"/>
              <w:right w:val="nil"/>
            </w:tcBorders>
            <w:shd w:val="clear" w:color="auto" w:fill="FFFFFF"/>
            <w:tcMar>
              <w:left w:w="67" w:type="dxa"/>
              <w:right w:w="67" w:type="dxa"/>
            </w:tcMar>
            <w:vAlign w:val="center"/>
          </w:tcPr>
          <w:p w14:paraId="337EE58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38E03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EFF365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DBFF3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73A8AC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BEB363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8B6C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0.1762</w:t>
            </w:r>
          </w:p>
        </w:tc>
        <w:tc>
          <w:tcPr>
            <w:tcW w:w="1134" w:type="dxa"/>
            <w:tcBorders>
              <w:top w:val="nil"/>
              <w:left w:val="nil"/>
              <w:bottom w:val="nil"/>
              <w:right w:val="nil"/>
            </w:tcBorders>
            <w:shd w:val="clear" w:color="auto" w:fill="FFFFFF"/>
            <w:tcMar>
              <w:left w:w="67" w:type="dxa"/>
              <w:right w:w="67" w:type="dxa"/>
            </w:tcMar>
            <w:vAlign w:val="center"/>
          </w:tcPr>
          <w:p w14:paraId="74CA09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0.2331</w:t>
            </w:r>
          </w:p>
        </w:tc>
        <w:tc>
          <w:tcPr>
            <w:tcW w:w="1134" w:type="dxa"/>
            <w:tcBorders>
              <w:top w:val="nil"/>
              <w:left w:val="nil"/>
              <w:bottom w:val="nil"/>
              <w:right w:val="nil"/>
            </w:tcBorders>
            <w:shd w:val="clear" w:color="auto" w:fill="FFFFFF"/>
            <w:tcMar>
              <w:left w:w="67" w:type="dxa"/>
              <w:right w:w="67" w:type="dxa"/>
            </w:tcMar>
            <w:vAlign w:val="center"/>
          </w:tcPr>
          <w:p w14:paraId="05E2FC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1.1927</w:t>
            </w:r>
          </w:p>
        </w:tc>
        <w:tc>
          <w:tcPr>
            <w:tcW w:w="1134" w:type="dxa"/>
            <w:tcBorders>
              <w:top w:val="nil"/>
              <w:left w:val="nil"/>
              <w:bottom w:val="nil"/>
              <w:right w:val="nil"/>
            </w:tcBorders>
            <w:shd w:val="clear" w:color="auto" w:fill="FFFFFF"/>
            <w:tcMar>
              <w:left w:w="67" w:type="dxa"/>
              <w:right w:w="67" w:type="dxa"/>
            </w:tcMar>
            <w:vAlign w:val="center"/>
          </w:tcPr>
          <w:p w14:paraId="6FEC91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0.7073</w:t>
            </w:r>
          </w:p>
        </w:tc>
        <w:tc>
          <w:tcPr>
            <w:tcW w:w="1134" w:type="dxa"/>
            <w:tcBorders>
              <w:top w:val="nil"/>
              <w:left w:val="nil"/>
              <w:bottom w:val="nil"/>
              <w:right w:val="nil"/>
            </w:tcBorders>
            <w:shd w:val="clear" w:color="auto" w:fill="FFFFFF"/>
            <w:tcMar>
              <w:left w:w="67" w:type="dxa"/>
              <w:right w:w="67" w:type="dxa"/>
            </w:tcMar>
            <w:vAlign w:val="center"/>
          </w:tcPr>
          <w:p w14:paraId="61A27B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2.0112</w:t>
            </w:r>
          </w:p>
        </w:tc>
        <w:tc>
          <w:tcPr>
            <w:tcW w:w="1134" w:type="dxa"/>
            <w:tcBorders>
              <w:top w:val="nil"/>
              <w:left w:val="nil"/>
              <w:bottom w:val="nil"/>
              <w:right w:val="nil"/>
            </w:tcBorders>
            <w:shd w:val="clear" w:color="auto" w:fill="FFFFFF"/>
            <w:tcMar>
              <w:left w:w="67" w:type="dxa"/>
              <w:right w:w="67" w:type="dxa"/>
            </w:tcMar>
            <w:vAlign w:val="center"/>
          </w:tcPr>
          <w:p w14:paraId="315C6A8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170911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7A1DF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D87941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3DBD30D"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633C784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1DF44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0.0744</w:t>
            </w:r>
          </w:p>
        </w:tc>
        <w:tc>
          <w:tcPr>
            <w:tcW w:w="1134" w:type="dxa"/>
            <w:tcBorders>
              <w:top w:val="nil"/>
              <w:left w:val="nil"/>
              <w:bottom w:val="nil"/>
              <w:right w:val="nil"/>
            </w:tcBorders>
            <w:shd w:val="clear" w:color="auto" w:fill="FFFFFF"/>
            <w:tcMar>
              <w:left w:w="67" w:type="dxa"/>
              <w:right w:w="67" w:type="dxa"/>
            </w:tcMar>
            <w:vAlign w:val="center"/>
          </w:tcPr>
          <w:p w14:paraId="0D60A8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0.0140</w:t>
            </w:r>
          </w:p>
        </w:tc>
        <w:tc>
          <w:tcPr>
            <w:tcW w:w="1134" w:type="dxa"/>
            <w:tcBorders>
              <w:top w:val="nil"/>
              <w:left w:val="nil"/>
              <w:bottom w:val="nil"/>
              <w:right w:val="nil"/>
            </w:tcBorders>
            <w:shd w:val="clear" w:color="auto" w:fill="FFFFFF"/>
            <w:tcMar>
              <w:left w:w="67" w:type="dxa"/>
              <w:right w:w="67" w:type="dxa"/>
            </w:tcMar>
            <w:vAlign w:val="center"/>
          </w:tcPr>
          <w:p w14:paraId="501BBA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1.0773</w:t>
            </w:r>
          </w:p>
        </w:tc>
        <w:tc>
          <w:tcPr>
            <w:tcW w:w="1134" w:type="dxa"/>
            <w:tcBorders>
              <w:top w:val="nil"/>
              <w:left w:val="nil"/>
              <w:bottom w:val="nil"/>
              <w:right w:val="nil"/>
            </w:tcBorders>
            <w:shd w:val="clear" w:color="auto" w:fill="FFFFFF"/>
            <w:tcMar>
              <w:left w:w="67" w:type="dxa"/>
              <w:right w:w="67" w:type="dxa"/>
            </w:tcMar>
            <w:vAlign w:val="center"/>
          </w:tcPr>
          <w:p w14:paraId="52C297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1.0439</w:t>
            </w:r>
          </w:p>
        </w:tc>
        <w:tc>
          <w:tcPr>
            <w:tcW w:w="1134" w:type="dxa"/>
            <w:tcBorders>
              <w:top w:val="nil"/>
              <w:left w:val="nil"/>
              <w:bottom w:val="nil"/>
              <w:right w:val="nil"/>
            </w:tcBorders>
            <w:shd w:val="clear" w:color="auto" w:fill="FFFFFF"/>
            <w:tcMar>
              <w:left w:w="67" w:type="dxa"/>
              <w:right w:w="67" w:type="dxa"/>
            </w:tcMar>
            <w:vAlign w:val="center"/>
          </w:tcPr>
          <w:p w14:paraId="0E3B28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1.1117</w:t>
            </w:r>
          </w:p>
        </w:tc>
        <w:tc>
          <w:tcPr>
            <w:tcW w:w="1134" w:type="dxa"/>
            <w:tcBorders>
              <w:top w:val="nil"/>
              <w:left w:val="nil"/>
              <w:bottom w:val="nil"/>
              <w:right w:val="nil"/>
            </w:tcBorders>
            <w:shd w:val="clear" w:color="auto" w:fill="FFFFFF"/>
            <w:tcMar>
              <w:left w:w="67" w:type="dxa"/>
              <w:right w:w="67" w:type="dxa"/>
            </w:tcMar>
            <w:vAlign w:val="center"/>
          </w:tcPr>
          <w:p w14:paraId="0E8A9B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28.14</w:t>
            </w:r>
          </w:p>
        </w:tc>
        <w:tc>
          <w:tcPr>
            <w:tcW w:w="567" w:type="dxa"/>
            <w:tcBorders>
              <w:top w:val="nil"/>
              <w:left w:val="nil"/>
              <w:bottom w:val="nil"/>
              <w:right w:val="nil"/>
            </w:tcBorders>
            <w:shd w:val="clear" w:color="auto" w:fill="FFFFFF"/>
            <w:tcMar>
              <w:left w:w="67" w:type="dxa"/>
              <w:right w:w="67" w:type="dxa"/>
            </w:tcMar>
            <w:vAlign w:val="center"/>
          </w:tcPr>
          <w:p w14:paraId="766AA6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7D7F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5B43CD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549081B"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7DC8ADC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6C081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-0.0070</w:t>
            </w:r>
          </w:p>
        </w:tc>
        <w:tc>
          <w:tcPr>
            <w:tcW w:w="1134" w:type="dxa"/>
            <w:tcBorders>
              <w:top w:val="nil"/>
              <w:left w:val="nil"/>
              <w:bottom w:val="nil"/>
              <w:right w:val="nil"/>
            </w:tcBorders>
            <w:shd w:val="clear" w:color="auto" w:fill="FFFFFF"/>
            <w:tcMar>
              <w:left w:w="67" w:type="dxa"/>
              <w:right w:w="67" w:type="dxa"/>
            </w:tcMar>
            <w:vAlign w:val="center"/>
          </w:tcPr>
          <w:p w14:paraId="7245C6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0.0088</w:t>
            </w:r>
          </w:p>
        </w:tc>
        <w:tc>
          <w:tcPr>
            <w:tcW w:w="1134" w:type="dxa"/>
            <w:tcBorders>
              <w:top w:val="nil"/>
              <w:left w:val="nil"/>
              <w:bottom w:val="nil"/>
              <w:right w:val="nil"/>
            </w:tcBorders>
            <w:shd w:val="clear" w:color="auto" w:fill="FFFFFF"/>
            <w:tcMar>
              <w:left w:w="67" w:type="dxa"/>
              <w:right w:w="67" w:type="dxa"/>
            </w:tcMar>
            <w:vAlign w:val="center"/>
          </w:tcPr>
          <w:p w14:paraId="79E6A9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0.9930</w:t>
            </w:r>
          </w:p>
        </w:tc>
        <w:tc>
          <w:tcPr>
            <w:tcW w:w="1134" w:type="dxa"/>
            <w:tcBorders>
              <w:top w:val="nil"/>
              <w:left w:val="nil"/>
              <w:bottom w:val="nil"/>
              <w:right w:val="nil"/>
            </w:tcBorders>
            <w:shd w:val="clear" w:color="auto" w:fill="FFFFFF"/>
            <w:tcMar>
              <w:left w:w="67" w:type="dxa"/>
              <w:right w:w="67" w:type="dxa"/>
            </w:tcMar>
            <w:vAlign w:val="center"/>
          </w:tcPr>
          <w:p w14:paraId="2102DB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0.9736</w:t>
            </w:r>
          </w:p>
        </w:tc>
        <w:tc>
          <w:tcPr>
            <w:tcW w:w="1134" w:type="dxa"/>
            <w:tcBorders>
              <w:top w:val="nil"/>
              <w:left w:val="nil"/>
              <w:bottom w:val="nil"/>
              <w:right w:val="nil"/>
            </w:tcBorders>
            <w:shd w:val="clear" w:color="auto" w:fill="FFFFFF"/>
            <w:tcMar>
              <w:left w:w="67" w:type="dxa"/>
              <w:right w:w="67" w:type="dxa"/>
            </w:tcMar>
            <w:vAlign w:val="center"/>
          </w:tcPr>
          <w:p w14:paraId="05A37C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1.0128</w:t>
            </w:r>
          </w:p>
        </w:tc>
        <w:tc>
          <w:tcPr>
            <w:tcW w:w="1134" w:type="dxa"/>
            <w:tcBorders>
              <w:top w:val="nil"/>
              <w:left w:val="nil"/>
              <w:bottom w:val="nil"/>
              <w:right w:val="nil"/>
            </w:tcBorders>
            <w:shd w:val="clear" w:color="auto" w:fill="FFFFFF"/>
            <w:tcMar>
              <w:left w:w="67" w:type="dxa"/>
              <w:right w:w="67" w:type="dxa"/>
            </w:tcMar>
            <w:vAlign w:val="center"/>
          </w:tcPr>
          <w:p w14:paraId="6BF4B3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w:t>
            </w:r>
          </w:p>
        </w:tc>
        <w:tc>
          <w:tcPr>
            <w:tcW w:w="567" w:type="dxa"/>
            <w:tcBorders>
              <w:top w:val="nil"/>
              <w:left w:val="nil"/>
              <w:bottom w:val="nil"/>
              <w:right w:val="nil"/>
            </w:tcBorders>
            <w:shd w:val="clear" w:color="auto" w:fill="FFFFFF"/>
            <w:tcMar>
              <w:left w:w="67" w:type="dxa"/>
              <w:right w:w="67" w:type="dxa"/>
            </w:tcMar>
            <w:vAlign w:val="center"/>
          </w:tcPr>
          <w:p w14:paraId="2585DE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BB5BA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0.4252</w:t>
            </w:r>
          </w:p>
        </w:tc>
      </w:tr>
      <w:tr w:rsidR="00B77EA3" w:rsidRPr="0082484A" w14:paraId="57E5D44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8F04E9"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1FBC1B5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E7191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35D58A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5C3957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0.9991</w:t>
            </w:r>
          </w:p>
        </w:tc>
        <w:tc>
          <w:tcPr>
            <w:tcW w:w="1134" w:type="dxa"/>
            <w:tcBorders>
              <w:top w:val="nil"/>
              <w:left w:val="nil"/>
              <w:bottom w:val="nil"/>
              <w:right w:val="nil"/>
            </w:tcBorders>
            <w:shd w:val="clear" w:color="auto" w:fill="FFFFFF"/>
            <w:tcMar>
              <w:left w:w="67" w:type="dxa"/>
              <w:right w:w="67" w:type="dxa"/>
            </w:tcMar>
            <w:vAlign w:val="center"/>
          </w:tcPr>
          <w:p w14:paraId="1ED10D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0.9938</w:t>
            </w:r>
          </w:p>
        </w:tc>
        <w:tc>
          <w:tcPr>
            <w:tcW w:w="1134" w:type="dxa"/>
            <w:tcBorders>
              <w:top w:val="nil"/>
              <w:left w:val="nil"/>
              <w:bottom w:val="nil"/>
              <w:right w:val="nil"/>
            </w:tcBorders>
            <w:shd w:val="clear" w:color="auto" w:fill="FFFFFF"/>
            <w:tcMar>
              <w:left w:w="67" w:type="dxa"/>
              <w:right w:w="67" w:type="dxa"/>
            </w:tcMar>
            <w:vAlign w:val="center"/>
          </w:tcPr>
          <w:p w14:paraId="54FBA5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1.0044</w:t>
            </w:r>
          </w:p>
        </w:tc>
        <w:tc>
          <w:tcPr>
            <w:tcW w:w="1134" w:type="dxa"/>
            <w:tcBorders>
              <w:top w:val="nil"/>
              <w:left w:val="nil"/>
              <w:bottom w:val="nil"/>
              <w:right w:val="nil"/>
            </w:tcBorders>
            <w:shd w:val="clear" w:color="auto" w:fill="FFFFFF"/>
            <w:tcMar>
              <w:left w:w="67" w:type="dxa"/>
              <w:right w:w="67" w:type="dxa"/>
            </w:tcMar>
            <w:vAlign w:val="center"/>
          </w:tcPr>
          <w:p w14:paraId="54FD50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w:t>
            </w:r>
          </w:p>
        </w:tc>
        <w:tc>
          <w:tcPr>
            <w:tcW w:w="567" w:type="dxa"/>
            <w:tcBorders>
              <w:top w:val="nil"/>
              <w:left w:val="nil"/>
              <w:bottom w:val="nil"/>
              <w:right w:val="nil"/>
            </w:tcBorders>
            <w:shd w:val="clear" w:color="auto" w:fill="FFFFFF"/>
            <w:tcMar>
              <w:left w:w="67" w:type="dxa"/>
              <w:right w:w="67" w:type="dxa"/>
            </w:tcMar>
            <w:vAlign w:val="center"/>
          </w:tcPr>
          <w:p w14:paraId="14FD50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505BB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0.7007</w:t>
            </w:r>
          </w:p>
        </w:tc>
      </w:tr>
      <w:tr w:rsidR="00B77EA3" w:rsidRPr="0082484A" w14:paraId="649EF1DC"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270DEA4F"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BE2A0D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041C8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6AEFF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0.0758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27A98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0.9405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4370C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0.7935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EDEE8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89773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052DFE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097A4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0.4180</w:t>
            </w:r>
          </w:p>
        </w:tc>
      </w:tr>
    </w:tbl>
    <w:p w14:paraId="40B175FD"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prescribed both a diuretic and an angiotensin-converting enzyme inhibitor (ACE-I) or angiotensin receptor blocker (ARB) being prescribed an oral NSAID was 99</w:t>
      </w:r>
    </w:p>
    <w:p w14:paraId="7308486B" w14:textId="77777777" w:rsidR="00B77EA3" w:rsidRPr="0082484A" w:rsidRDefault="00B77EA3" w:rsidP="00B77EA3">
      <w:pPr>
        <w:spacing w:before="0" w:after="160" w:line="259" w:lineRule="auto"/>
        <w:rPr>
          <w:sz w:val="22"/>
          <w:szCs w:val="22"/>
        </w:rPr>
      </w:pPr>
      <w:r w:rsidRPr="0082484A">
        <w:rPr>
          <w:sz w:val="22"/>
          <w:szCs w:val="22"/>
        </w:rPr>
        <w:br w:type="page"/>
      </w:r>
    </w:p>
    <w:p w14:paraId="1FCF2516" w14:textId="6680B4F4" w:rsidR="00B77EA3" w:rsidRPr="0082484A" w:rsidRDefault="00B77EA3" w:rsidP="00B77EA3">
      <w:pPr>
        <w:spacing w:before="0" w:line="240" w:lineRule="auto"/>
        <w:rPr>
          <w:bCs/>
          <w:sz w:val="22"/>
          <w:szCs w:val="22"/>
        </w:rPr>
      </w:pPr>
      <w:bookmarkStart w:id="132" w:name="_Ref502917967"/>
      <w:bookmarkStart w:id="133" w:name="_Toc8728109"/>
      <w:bookmarkStart w:id="134" w:name="_Toc19526764"/>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35</w:t>
      </w:r>
      <w:r w:rsidRPr="0082484A">
        <w:rPr>
          <w:bCs/>
          <w:noProof/>
          <w:sz w:val="22"/>
          <w:szCs w:val="22"/>
        </w:rPr>
        <w:fldChar w:fldCharType="end"/>
      </w:r>
      <w:bookmarkEnd w:id="132"/>
      <w:r w:rsidRPr="0082484A">
        <w:rPr>
          <w:bCs/>
          <w:sz w:val="22"/>
          <w:szCs w:val="22"/>
        </w:rPr>
        <w:t>: Secondary outcome for Trial 1: Prescribing an oral NSAID in patients with chronic kidney disease (WP4A)</w:t>
      </w:r>
      <w:bookmarkEnd w:id="133"/>
      <w:bookmarkEnd w:id="134"/>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61305914"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68CE8C57" w14:textId="77777777" w:rsidR="00B77EA3" w:rsidRPr="0082484A" w:rsidRDefault="00B77EA3" w:rsidP="00B77EA3">
            <w:pPr>
              <w:spacing w:beforeLines="10" w:before="24" w:afterLines="10" w:after="24" w:line="240" w:lineRule="auto"/>
              <w:rPr>
                <w:bCs/>
                <w:sz w:val="22"/>
                <w:szCs w:val="22"/>
              </w:rPr>
            </w:pPr>
            <w:bookmarkStart w:id="135" w:name="IDX184"/>
            <w:bookmarkEnd w:id="135"/>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6EACD28"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CD526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7DFB95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D75DE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D3B6D4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BDCBD9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E61766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07807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6D8408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544E0C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D62C9C"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17A16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33AD69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-0.0873</w:t>
            </w:r>
          </w:p>
        </w:tc>
        <w:tc>
          <w:tcPr>
            <w:tcW w:w="1134" w:type="dxa"/>
            <w:tcBorders>
              <w:top w:val="nil"/>
              <w:left w:val="nil"/>
              <w:bottom w:val="nil"/>
              <w:right w:val="nil"/>
            </w:tcBorders>
            <w:shd w:val="clear" w:color="auto" w:fill="FFFFFF"/>
            <w:tcMar>
              <w:left w:w="67" w:type="dxa"/>
              <w:right w:w="67" w:type="dxa"/>
            </w:tcMar>
            <w:vAlign w:val="center"/>
          </w:tcPr>
          <w:p w14:paraId="1EABF6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0.1216</w:t>
            </w:r>
          </w:p>
        </w:tc>
        <w:tc>
          <w:tcPr>
            <w:tcW w:w="1134" w:type="dxa"/>
            <w:tcBorders>
              <w:top w:val="nil"/>
              <w:left w:val="nil"/>
              <w:bottom w:val="nil"/>
              <w:right w:val="nil"/>
            </w:tcBorders>
            <w:shd w:val="clear" w:color="auto" w:fill="FFFFFF"/>
            <w:tcMar>
              <w:left w:w="67" w:type="dxa"/>
              <w:right w:w="67" w:type="dxa"/>
            </w:tcMar>
            <w:vAlign w:val="center"/>
          </w:tcPr>
          <w:p w14:paraId="460BFC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0.9164</w:t>
            </w:r>
          </w:p>
        </w:tc>
        <w:tc>
          <w:tcPr>
            <w:tcW w:w="1134" w:type="dxa"/>
            <w:tcBorders>
              <w:top w:val="nil"/>
              <w:left w:val="nil"/>
              <w:bottom w:val="nil"/>
              <w:right w:val="nil"/>
            </w:tcBorders>
            <w:shd w:val="clear" w:color="auto" w:fill="FFFFFF"/>
            <w:tcMar>
              <w:left w:w="67" w:type="dxa"/>
              <w:right w:w="67" w:type="dxa"/>
            </w:tcMar>
            <w:vAlign w:val="center"/>
          </w:tcPr>
          <w:p w14:paraId="54DD3D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0.6978</w:t>
            </w:r>
          </w:p>
        </w:tc>
        <w:tc>
          <w:tcPr>
            <w:tcW w:w="1134" w:type="dxa"/>
            <w:tcBorders>
              <w:top w:val="nil"/>
              <w:left w:val="nil"/>
              <w:bottom w:val="nil"/>
              <w:right w:val="nil"/>
            </w:tcBorders>
            <w:shd w:val="clear" w:color="auto" w:fill="FFFFFF"/>
            <w:tcMar>
              <w:left w:w="67" w:type="dxa"/>
              <w:right w:w="67" w:type="dxa"/>
            </w:tcMar>
            <w:vAlign w:val="center"/>
          </w:tcPr>
          <w:p w14:paraId="469B75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1.2035</w:t>
            </w:r>
          </w:p>
        </w:tc>
        <w:tc>
          <w:tcPr>
            <w:tcW w:w="1134" w:type="dxa"/>
            <w:tcBorders>
              <w:top w:val="nil"/>
              <w:left w:val="nil"/>
              <w:bottom w:val="nil"/>
              <w:right w:val="nil"/>
            </w:tcBorders>
            <w:shd w:val="clear" w:color="auto" w:fill="FFFFFF"/>
            <w:tcMar>
              <w:left w:w="67" w:type="dxa"/>
              <w:right w:w="67" w:type="dxa"/>
            </w:tcMar>
            <w:vAlign w:val="center"/>
          </w:tcPr>
          <w:p w14:paraId="5502C8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w:t>
            </w:r>
          </w:p>
        </w:tc>
        <w:tc>
          <w:tcPr>
            <w:tcW w:w="567" w:type="dxa"/>
            <w:tcBorders>
              <w:top w:val="nil"/>
              <w:left w:val="nil"/>
              <w:bottom w:val="nil"/>
              <w:right w:val="nil"/>
            </w:tcBorders>
            <w:shd w:val="clear" w:color="auto" w:fill="FFFFFF"/>
            <w:tcMar>
              <w:left w:w="67" w:type="dxa"/>
              <w:right w:w="67" w:type="dxa"/>
            </w:tcMar>
            <w:vAlign w:val="center"/>
          </w:tcPr>
          <w:p w14:paraId="66C597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4FE6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0.4729</w:t>
            </w:r>
          </w:p>
        </w:tc>
      </w:tr>
      <w:tr w:rsidR="00B77EA3" w:rsidRPr="0082484A" w14:paraId="11B9EBA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7073E8"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B1B72E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71410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0.1091</w:t>
            </w:r>
          </w:p>
        </w:tc>
        <w:tc>
          <w:tcPr>
            <w:tcW w:w="1134" w:type="dxa"/>
            <w:tcBorders>
              <w:top w:val="nil"/>
              <w:left w:val="nil"/>
              <w:bottom w:val="nil"/>
              <w:right w:val="nil"/>
            </w:tcBorders>
            <w:shd w:val="clear" w:color="auto" w:fill="FFFFFF"/>
            <w:tcMar>
              <w:left w:w="67" w:type="dxa"/>
              <w:right w:w="67" w:type="dxa"/>
            </w:tcMar>
            <w:vAlign w:val="center"/>
          </w:tcPr>
          <w:p w14:paraId="27BBF1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0.0897</w:t>
            </w:r>
          </w:p>
        </w:tc>
        <w:tc>
          <w:tcPr>
            <w:tcW w:w="1134" w:type="dxa"/>
            <w:tcBorders>
              <w:top w:val="nil"/>
              <w:left w:val="nil"/>
              <w:bottom w:val="nil"/>
              <w:right w:val="nil"/>
            </w:tcBorders>
            <w:shd w:val="clear" w:color="auto" w:fill="FFFFFF"/>
            <w:tcMar>
              <w:left w:w="67" w:type="dxa"/>
              <w:right w:w="67" w:type="dxa"/>
            </w:tcMar>
            <w:vAlign w:val="center"/>
          </w:tcPr>
          <w:p w14:paraId="701D12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1.1152</w:t>
            </w:r>
          </w:p>
        </w:tc>
        <w:tc>
          <w:tcPr>
            <w:tcW w:w="1134" w:type="dxa"/>
            <w:tcBorders>
              <w:top w:val="nil"/>
              <w:left w:val="nil"/>
              <w:bottom w:val="nil"/>
              <w:right w:val="nil"/>
            </w:tcBorders>
            <w:shd w:val="clear" w:color="auto" w:fill="FFFFFF"/>
            <w:tcMar>
              <w:left w:w="67" w:type="dxa"/>
              <w:right w:w="67" w:type="dxa"/>
            </w:tcMar>
            <w:vAlign w:val="center"/>
          </w:tcPr>
          <w:p w14:paraId="265C21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0.9120</w:t>
            </w:r>
          </w:p>
        </w:tc>
        <w:tc>
          <w:tcPr>
            <w:tcW w:w="1134" w:type="dxa"/>
            <w:tcBorders>
              <w:top w:val="nil"/>
              <w:left w:val="nil"/>
              <w:bottom w:val="nil"/>
              <w:right w:val="nil"/>
            </w:tcBorders>
            <w:shd w:val="clear" w:color="auto" w:fill="FFFFFF"/>
            <w:tcMar>
              <w:left w:w="67" w:type="dxa"/>
              <w:right w:w="67" w:type="dxa"/>
            </w:tcMar>
            <w:vAlign w:val="center"/>
          </w:tcPr>
          <w:p w14:paraId="378D6D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1.3637</w:t>
            </w:r>
          </w:p>
        </w:tc>
        <w:tc>
          <w:tcPr>
            <w:tcW w:w="1134" w:type="dxa"/>
            <w:tcBorders>
              <w:top w:val="nil"/>
              <w:left w:val="nil"/>
              <w:bottom w:val="nil"/>
              <w:right w:val="nil"/>
            </w:tcBorders>
            <w:shd w:val="clear" w:color="auto" w:fill="FFFFFF"/>
            <w:tcMar>
              <w:left w:w="67" w:type="dxa"/>
              <w:right w:w="67" w:type="dxa"/>
            </w:tcMar>
            <w:vAlign w:val="center"/>
          </w:tcPr>
          <w:p w14:paraId="47B114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1.48</w:t>
            </w:r>
          </w:p>
        </w:tc>
        <w:tc>
          <w:tcPr>
            <w:tcW w:w="567" w:type="dxa"/>
            <w:tcBorders>
              <w:top w:val="nil"/>
              <w:left w:val="nil"/>
              <w:bottom w:val="nil"/>
              <w:right w:val="nil"/>
            </w:tcBorders>
            <w:shd w:val="clear" w:color="auto" w:fill="FFFFFF"/>
            <w:tcMar>
              <w:left w:w="67" w:type="dxa"/>
              <w:right w:w="67" w:type="dxa"/>
            </w:tcMar>
            <w:vAlign w:val="center"/>
          </w:tcPr>
          <w:p w14:paraId="6F6EBD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6FFF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0.2242</w:t>
            </w:r>
          </w:p>
        </w:tc>
      </w:tr>
      <w:tr w:rsidR="00B77EA3" w:rsidRPr="0082484A" w14:paraId="7E728FE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4926D97"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083005E"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CB1C6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-0.0247</w:t>
            </w:r>
          </w:p>
        </w:tc>
        <w:tc>
          <w:tcPr>
            <w:tcW w:w="1134" w:type="dxa"/>
            <w:tcBorders>
              <w:top w:val="nil"/>
              <w:left w:val="nil"/>
              <w:bottom w:val="nil"/>
              <w:right w:val="nil"/>
            </w:tcBorders>
            <w:shd w:val="clear" w:color="auto" w:fill="FFFFFF"/>
            <w:tcMar>
              <w:left w:w="67" w:type="dxa"/>
              <w:right w:w="67" w:type="dxa"/>
            </w:tcMar>
            <w:vAlign w:val="center"/>
          </w:tcPr>
          <w:p w14:paraId="2B20B5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w:t>
            </w:r>
          </w:p>
        </w:tc>
        <w:tc>
          <w:tcPr>
            <w:tcW w:w="1134" w:type="dxa"/>
            <w:tcBorders>
              <w:top w:val="nil"/>
              <w:left w:val="nil"/>
              <w:bottom w:val="nil"/>
              <w:right w:val="nil"/>
            </w:tcBorders>
            <w:shd w:val="clear" w:color="auto" w:fill="FFFFFF"/>
            <w:tcMar>
              <w:left w:w="67" w:type="dxa"/>
              <w:right w:w="67" w:type="dxa"/>
            </w:tcMar>
            <w:vAlign w:val="center"/>
          </w:tcPr>
          <w:p w14:paraId="20ECD9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0.9756</w:t>
            </w:r>
          </w:p>
        </w:tc>
        <w:tc>
          <w:tcPr>
            <w:tcW w:w="1134" w:type="dxa"/>
            <w:tcBorders>
              <w:top w:val="nil"/>
              <w:left w:val="nil"/>
              <w:bottom w:val="nil"/>
              <w:right w:val="nil"/>
            </w:tcBorders>
            <w:shd w:val="clear" w:color="auto" w:fill="FFFFFF"/>
            <w:tcMar>
              <w:left w:w="67" w:type="dxa"/>
              <w:right w:w="67" w:type="dxa"/>
            </w:tcMar>
            <w:vAlign w:val="center"/>
          </w:tcPr>
          <w:p w14:paraId="396AF3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0.9686</w:t>
            </w:r>
          </w:p>
        </w:tc>
        <w:tc>
          <w:tcPr>
            <w:tcW w:w="1134" w:type="dxa"/>
            <w:tcBorders>
              <w:top w:val="nil"/>
              <w:left w:val="nil"/>
              <w:bottom w:val="nil"/>
              <w:right w:val="nil"/>
            </w:tcBorders>
            <w:shd w:val="clear" w:color="auto" w:fill="FFFFFF"/>
            <w:tcMar>
              <w:left w:w="67" w:type="dxa"/>
              <w:right w:w="67" w:type="dxa"/>
            </w:tcMar>
            <w:vAlign w:val="center"/>
          </w:tcPr>
          <w:p w14:paraId="57187A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0.9827</w:t>
            </w:r>
          </w:p>
        </w:tc>
        <w:tc>
          <w:tcPr>
            <w:tcW w:w="1134" w:type="dxa"/>
            <w:tcBorders>
              <w:top w:val="nil"/>
              <w:left w:val="nil"/>
              <w:bottom w:val="nil"/>
              <w:right w:val="nil"/>
            </w:tcBorders>
            <w:shd w:val="clear" w:color="auto" w:fill="FFFFFF"/>
            <w:tcMar>
              <w:left w:w="67" w:type="dxa"/>
              <w:right w:w="67" w:type="dxa"/>
            </w:tcMar>
            <w:vAlign w:val="center"/>
          </w:tcPr>
          <w:p w14:paraId="6130EC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58.38</w:t>
            </w:r>
          </w:p>
        </w:tc>
        <w:tc>
          <w:tcPr>
            <w:tcW w:w="567" w:type="dxa"/>
            <w:tcBorders>
              <w:top w:val="nil"/>
              <w:left w:val="nil"/>
              <w:bottom w:val="nil"/>
              <w:right w:val="nil"/>
            </w:tcBorders>
            <w:shd w:val="clear" w:color="auto" w:fill="FFFFFF"/>
            <w:tcMar>
              <w:left w:w="67" w:type="dxa"/>
              <w:right w:w="67" w:type="dxa"/>
            </w:tcMar>
            <w:vAlign w:val="center"/>
          </w:tcPr>
          <w:p w14:paraId="2CF872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25ABF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A40D05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C08A14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21F4E4C"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60B93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453893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26811E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0.9995</w:t>
            </w:r>
          </w:p>
        </w:tc>
        <w:tc>
          <w:tcPr>
            <w:tcW w:w="1134" w:type="dxa"/>
            <w:tcBorders>
              <w:top w:val="nil"/>
              <w:left w:val="nil"/>
              <w:bottom w:val="nil"/>
              <w:right w:val="nil"/>
            </w:tcBorders>
            <w:shd w:val="clear" w:color="auto" w:fill="FFFFFF"/>
            <w:tcMar>
              <w:left w:w="67" w:type="dxa"/>
              <w:right w:w="67" w:type="dxa"/>
            </w:tcMar>
            <w:vAlign w:val="center"/>
          </w:tcPr>
          <w:p w14:paraId="427826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0.9952</w:t>
            </w:r>
          </w:p>
        </w:tc>
        <w:tc>
          <w:tcPr>
            <w:tcW w:w="1134" w:type="dxa"/>
            <w:tcBorders>
              <w:top w:val="nil"/>
              <w:left w:val="nil"/>
              <w:bottom w:val="nil"/>
              <w:right w:val="nil"/>
            </w:tcBorders>
            <w:shd w:val="clear" w:color="auto" w:fill="FFFFFF"/>
            <w:tcMar>
              <w:left w:w="67" w:type="dxa"/>
              <w:right w:w="67" w:type="dxa"/>
            </w:tcMar>
            <w:vAlign w:val="center"/>
          </w:tcPr>
          <w:p w14:paraId="1660D8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1.0037</w:t>
            </w:r>
          </w:p>
        </w:tc>
        <w:tc>
          <w:tcPr>
            <w:tcW w:w="1134" w:type="dxa"/>
            <w:tcBorders>
              <w:top w:val="nil"/>
              <w:left w:val="nil"/>
              <w:bottom w:val="nil"/>
              <w:right w:val="nil"/>
            </w:tcBorders>
            <w:shd w:val="clear" w:color="auto" w:fill="FFFFFF"/>
            <w:tcMar>
              <w:left w:w="67" w:type="dxa"/>
              <w:right w:w="67" w:type="dxa"/>
            </w:tcMar>
            <w:vAlign w:val="center"/>
          </w:tcPr>
          <w:p w14:paraId="1C51BE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w:t>
            </w:r>
          </w:p>
        </w:tc>
        <w:tc>
          <w:tcPr>
            <w:tcW w:w="567" w:type="dxa"/>
            <w:tcBorders>
              <w:top w:val="nil"/>
              <w:left w:val="nil"/>
              <w:bottom w:val="nil"/>
              <w:right w:val="nil"/>
            </w:tcBorders>
            <w:shd w:val="clear" w:color="auto" w:fill="FFFFFF"/>
            <w:tcMar>
              <w:left w:w="67" w:type="dxa"/>
              <w:right w:w="67" w:type="dxa"/>
            </w:tcMar>
            <w:vAlign w:val="center"/>
          </w:tcPr>
          <w:p w14:paraId="07121F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D517D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0.7822</w:t>
            </w:r>
          </w:p>
        </w:tc>
      </w:tr>
      <w:tr w:rsidR="00B77EA3" w:rsidRPr="0082484A" w14:paraId="64B7525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385332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085D0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E675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-0.0093</w:t>
            </w:r>
          </w:p>
        </w:tc>
        <w:tc>
          <w:tcPr>
            <w:tcW w:w="1134" w:type="dxa"/>
            <w:tcBorders>
              <w:top w:val="nil"/>
              <w:left w:val="nil"/>
              <w:bottom w:val="nil"/>
              <w:right w:val="nil"/>
            </w:tcBorders>
            <w:shd w:val="clear" w:color="auto" w:fill="FFFFFF"/>
            <w:tcMar>
              <w:left w:w="67" w:type="dxa"/>
              <w:right w:w="67" w:type="dxa"/>
            </w:tcMar>
            <w:vAlign w:val="center"/>
          </w:tcPr>
          <w:p w14:paraId="5B2ABE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0.2740</w:t>
            </w:r>
          </w:p>
        </w:tc>
        <w:tc>
          <w:tcPr>
            <w:tcW w:w="1134" w:type="dxa"/>
            <w:tcBorders>
              <w:top w:val="nil"/>
              <w:left w:val="nil"/>
              <w:bottom w:val="nil"/>
              <w:right w:val="nil"/>
            </w:tcBorders>
            <w:shd w:val="clear" w:color="auto" w:fill="FFFFFF"/>
            <w:tcMar>
              <w:left w:w="67" w:type="dxa"/>
              <w:right w:w="67" w:type="dxa"/>
            </w:tcMar>
            <w:vAlign w:val="center"/>
          </w:tcPr>
          <w:p w14:paraId="11E89A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0.9907</w:t>
            </w:r>
          </w:p>
        </w:tc>
        <w:tc>
          <w:tcPr>
            <w:tcW w:w="1134" w:type="dxa"/>
            <w:tcBorders>
              <w:top w:val="nil"/>
              <w:left w:val="nil"/>
              <w:bottom w:val="nil"/>
              <w:right w:val="nil"/>
            </w:tcBorders>
            <w:shd w:val="clear" w:color="auto" w:fill="FFFFFF"/>
            <w:tcMar>
              <w:left w:w="67" w:type="dxa"/>
              <w:right w:w="67" w:type="dxa"/>
            </w:tcMar>
            <w:vAlign w:val="center"/>
          </w:tcPr>
          <w:p w14:paraId="236F4F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0.5361</w:t>
            </w:r>
          </w:p>
        </w:tc>
        <w:tc>
          <w:tcPr>
            <w:tcW w:w="1134" w:type="dxa"/>
            <w:tcBorders>
              <w:top w:val="nil"/>
              <w:left w:val="nil"/>
              <w:bottom w:val="nil"/>
              <w:right w:val="nil"/>
            </w:tcBorders>
            <w:shd w:val="clear" w:color="auto" w:fill="FFFFFF"/>
            <w:tcMar>
              <w:left w:w="67" w:type="dxa"/>
              <w:right w:w="67" w:type="dxa"/>
            </w:tcMar>
            <w:vAlign w:val="center"/>
          </w:tcPr>
          <w:p w14:paraId="0055E9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1.8311</w:t>
            </w:r>
          </w:p>
        </w:tc>
        <w:tc>
          <w:tcPr>
            <w:tcW w:w="1134" w:type="dxa"/>
            <w:tcBorders>
              <w:top w:val="nil"/>
              <w:left w:val="nil"/>
              <w:bottom w:val="nil"/>
              <w:right w:val="nil"/>
            </w:tcBorders>
            <w:shd w:val="clear" w:color="auto" w:fill="FFFFFF"/>
            <w:tcMar>
              <w:left w:w="67" w:type="dxa"/>
              <w:right w:w="67" w:type="dxa"/>
            </w:tcMar>
            <w:vAlign w:val="center"/>
          </w:tcPr>
          <w:p w14:paraId="7AF943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w:t>
            </w:r>
          </w:p>
        </w:tc>
        <w:tc>
          <w:tcPr>
            <w:tcW w:w="567" w:type="dxa"/>
            <w:tcBorders>
              <w:top w:val="nil"/>
              <w:left w:val="nil"/>
              <w:bottom w:val="nil"/>
              <w:right w:val="nil"/>
            </w:tcBorders>
            <w:shd w:val="clear" w:color="auto" w:fill="FFFFFF"/>
            <w:tcMar>
              <w:left w:w="67" w:type="dxa"/>
              <w:right w:w="67" w:type="dxa"/>
            </w:tcMar>
            <w:vAlign w:val="center"/>
          </w:tcPr>
          <w:p w14:paraId="47A860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8E21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0.8410</w:t>
            </w:r>
          </w:p>
        </w:tc>
      </w:tr>
      <w:tr w:rsidR="00B77EA3" w:rsidRPr="0082484A" w14:paraId="7663AFA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DFA38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990976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B0C46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-0.3199</w:t>
            </w:r>
          </w:p>
        </w:tc>
        <w:tc>
          <w:tcPr>
            <w:tcW w:w="1134" w:type="dxa"/>
            <w:tcBorders>
              <w:top w:val="nil"/>
              <w:left w:val="nil"/>
              <w:bottom w:val="nil"/>
              <w:right w:val="nil"/>
            </w:tcBorders>
            <w:shd w:val="clear" w:color="auto" w:fill="FFFFFF"/>
            <w:tcMar>
              <w:left w:w="67" w:type="dxa"/>
              <w:right w:w="67" w:type="dxa"/>
            </w:tcMar>
            <w:vAlign w:val="center"/>
          </w:tcPr>
          <w:p w14:paraId="70F288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0.3330</w:t>
            </w:r>
          </w:p>
        </w:tc>
        <w:tc>
          <w:tcPr>
            <w:tcW w:w="1134" w:type="dxa"/>
            <w:tcBorders>
              <w:top w:val="nil"/>
              <w:left w:val="nil"/>
              <w:bottom w:val="nil"/>
              <w:right w:val="nil"/>
            </w:tcBorders>
            <w:shd w:val="clear" w:color="auto" w:fill="FFFFFF"/>
            <w:tcMar>
              <w:left w:w="67" w:type="dxa"/>
              <w:right w:w="67" w:type="dxa"/>
            </w:tcMar>
            <w:vAlign w:val="center"/>
          </w:tcPr>
          <w:p w14:paraId="23738E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0.7262</w:t>
            </w:r>
          </w:p>
        </w:tc>
        <w:tc>
          <w:tcPr>
            <w:tcW w:w="1134" w:type="dxa"/>
            <w:tcBorders>
              <w:top w:val="nil"/>
              <w:left w:val="nil"/>
              <w:bottom w:val="nil"/>
              <w:right w:val="nil"/>
            </w:tcBorders>
            <w:shd w:val="clear" w:color="auto" w:fill="FFFFFF"/>
            <w:tcMar>
              <w:left w:w="67" w:type="dxa"/>
              <w:right w:w="67" w:type="dxa"/>
            </w:tcMar>
            <w:vAlign w:val="center"/>
          </w:tcPr>
          <w:p w14:paraId="233088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0.3443</w:t>
            </w:r>
          </w:p>
        </w:tc>
        <w:tc>
          <w:tcPr>
            <w:tcW w:w="1134" w:type="dxa"/>
            <w:tcBorders>
              <w:top w:val="nil"/>
              <w:left w:val="nil"/>
              <w:bottom w:val="nil"/>
              <w:right w:val="nil"/>
            </w:tcBorders>
            <w:shd w:val="clear" w:color="auto" w:fill="FFFFFF"/>
            <w:tcMar>
              <w:left w:w="67" w:type="dxa"/>
              <w:right w:w="67" w:type="dxa"/>
            </w:tcMar>
            <w:vAlign w:val="center"/>
          </w:tcPr>
          <w:p w14:paraId="17EC73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1.5318</w:t>
            </w:r>
          </w:p>
        </w:tc>
        <w:tc>
          <w:tcPr>
            <w:tcW w:w="1134" w:type="dxa"/>
            <w:tcBorders>
              <w:top w:val="nil"/>
              <w:left w:val="nil"/>
              <w:bottom w:val="nil"/>
              <w:right w:val="nil"/>
            </w:tcBorders>
            <w:shd w:val="clear" w:color="auto" w:fill="FFFFFF"/>
            <w:tcMar>
              <w:left w:w="67" w:type="dxa"/>
              <w:right w:w="67" w:type="dxa"/>
            </w:tcMar>
            <w:vAlign w:val="center"/>
          </w:tcPr>
          <w:p w14:paraId="6517471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910396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7695F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EB7EBA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5720E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E95A8B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E763E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-0.1900</w:t>
            </w:r>
          </w:p>
        </w:tc>
        <w:tc>
          <w:tcPr>
            <w:tcW w:w="1134" w:type="dxa"/>
            <w:tcBorders>
              <w:top w:val="nil"/>
              <w:left w:val="nil"/>
              <w:bottom w:val="nil"/>
              <w:right w:val="nil"/>
            </w:tcBorders>
            <w:shd w:val="clear" w:color="auto" w:fill="FFFFFF"/>
            <w:tcMar>
              <w:left w:w="67" w:type="dxa"/>
              <w:right w:w="67" w:type="dxa"/>
            </w:tcMar>
            <w:vAlign w:val="center"/>
          </w:tcPr>
          <w:p w14:paraId="79546C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0.1947</w:t>
            </w:r>
          </w:p>
        </w:tc>
        <w:tc>
          <w:tcPr>
            <w:tcW w:w="1134" w:type="dxa"/>
            <w:tcBorders>
              <w:top w:val="nil"/>
              <w:left w:val="nil"/>
              <w:bottom w:val="nil"/>
              <w:right w:val="nil"/>
            </w:tcBorders>
            <w:shd w:val="clear" w:color="auto" w:fill="FFFFFF"/>
            <w:tcMar>
              <w:left w:w="67" w:type="dxa"/>
              <w:right w:w="67" w:type="dxa"/>
            </w:tcMar>
            <w:vAlign w:val="center"/>
          </w:tcPr>
          <w:p w14:paraId="36C8F5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0.8269</w:t>
            </w:r>
          </w:p>
        </w:tc>
        <w:tc>
          <w:tcPr>
            <w:tcW w:w="1134" w:type="dxa"/>
            <w:tcBorders>
              <w:top w:val="nil"/>
              <w:left w:val="nil"/>
              <w:bottom w:val="nil"/>
              <w:right w:val="nil"/>
            </w:tcBorders>
            <w:shd w:val="clear" w:color="auto" w:fill="FFFFFF"/>
            <w:tcMar>
              <w:left w:w="67" w:type="dxa"/>
              <w:right w:w="67" w:type="dxa"/>
            </w:tcMar>
            <w:vAlign w:val="center"/>
          </w:tcPr>
          <w:p w14:paraId="568DF9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0.5345</w:t>
            </w:r>
          </w:p>
        </w:tc>
        <w:tc>
          <w:tcPr>
            <w:tcW w:w="1134" w:type="dxa"/>
            <w:tcBorders>
              <w:top w:val="nil"/>
              <w:left w:val="nil"/>
              <w:bottom w:val="nil"/>
              <w:right w:val="nil"/>
            </w:tcBorders>
            <w:shd w:val="clear" w:color="auto" w:fill="FFFFFF"/>
            <w:tcMar>
              <w:left w:w="67" w:type="dxa"/>
              <w:right w:w="67" w:type="dxa"/>
            </w:tcMar>
            <w:vAlign w:val="center"/>
          </w:tcPr>
          <w:p w14:paraId="1FA4D8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1.2794</w:t>
            </w:r>
          </w:p>
        </w:tc>
        <w:tc>
          <w:tcPr>
            <w:tcW w:w="1134" w:type="dxa"/>
            <w:tcBorders>
              <w:top w:val="nil"/>
              <w:left w:val="nil"/>
              <w:bottom w:val="nil"/>
              <w:right w:val="nil"/>
            </w:tcBorders>
            <w:shd w:val="clear" w:color="auto" w:fill="FFFFFF"/>
            <w:tcMar>
              <w:left w:w="67" w:type="dxa"/>
              <w:right w:w="67" w:type="dxa"/>
            </w:tcMar>
            <w:vAlign w:val="center"/>
          </w:tcPr>
          <w:p w14:paraId="11FF691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E6E8EB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64C3C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B8D0AD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D86C9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9CBA20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41466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-0.1345</w:t>
            </w:r>
          </w:p>
        </w:tc>
        <w:tc>
          <w:tcPr>
            <w:tcW w:w="1134" w:type="dxa"/>
            <w:tcBorders>
              <w:top w:val="nil"/>
              <w:left w:val="nil"/>
              <w:bottom w:val="nil"/>
              <w:right w:val="nil"/>
            </w:tcBorders>
            <w:shd w:val="clear" w:color="auto" w:fill="FFFFFF"/>
            <w:tcMar>
              <w:left w:w="67" w:type="dxa"/>
              <w:right w:w="67" w:type="dxa"/>
            </w:tcMar>
            <w:vAlign w:val="center"/>
          </w:tcPr>
          <w:p w14:paraId="5D9EA3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0.2601</w:t>
            </w:r>
          </w:p>
        </w:tc>
        <w:tc>
          <w:tcPr>
            <w:tcW w:w="1134" w:type="dxa"/>
            <w:tcBorders>
              <w:top w:val="nil"/>
              <w:left w:val="nil"/>
              <w:bottom w:val="nil"/>
              <w:right w:val="nil"/>
            </w:tcBorders>
            <w:shd w:val="clear" w:color="auto" w:fill="FFFFFF"/>
            <w:tcMar>
              <w:left w:w="67" w:type="dxa"/>
              <w:right w:w="67" w:type="dxa"/>
            </w:tcMar>
            <w:vAlign w:val="center"/>
          </w:tcPr>
          <w:p w14:paraId="29E7E9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0.8742</w:t>
            </w:r>
          </w:p>
        </w:tc>
        <w:tc>
          <w:tcPr>
            <w:tcW w:w="1134" w:type="dxa"/>
            <w:tcBorders>
              <w:top w:val="nil"/>
              <w:left w:val="nil"/>
              <w:bottom w:val="nil"/>
              <w:right w:val="nil"/>
            </w:tcBorders>
            <w:shd w:val="clear" w:color="auto" w:fill="FFFFFF"/>
            <w:tcMar>
              <w:left w:w="67" w:type="dxa"/>
              <w:right w:w="67" w:type="dxa"/>
            </w:tcMar>
            <w:vAlign w:val="center"/>
          </w:tcPr>
          <w:p w14:paraId="41078E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0.4879</w:t>
            </w:r>
          </w:p>
        </w:tc>
        <w:tc>
          <w:tcPr>
            <w:tcW w:w="1134" w:type="dxa"/>
            <w:tcBorders>
              <w:top w:val="nil"/>
              <w:left w:val="nil"/>
              <w:bottom w:val="nil"/>
              <w:right w:val="nil"/>
            </w:tcBorders>
            <w:shd w:val="clear" w:color="auto" w:fill="FFFFFF"/>
            <w:tcMar>
              <w:left w:w="67" w:type="dxa"/>
              <w:right w:w="67" w:type="dxa"/>
            </w:tcMar>
            <w:vAlign w:val="center"/>
          </w:tcPr>
          <w:p w14:paraId="59E0B8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1.5660</w:t>
            </w:r>
          </w:p>
        </w:tc>
        <w:tc>
          <w:tcPr>
            <w:tcW w:w="1134" w:type="dxa"/>
            <w:tcBorders>
              <w:top w:val="nil"/>
              <w:left w:val="nil"/>
              <w:bottom w:val="nil"/>
              <w:right w:val="nil"/>
            </w:tcBorders>
            <w:shd w:val="clear" w:color="auto" w:fill="FFFFFF"/>
            <w:tcMar>
              <w:left w:w="67" w:type="dxa"/>
              <w:right w:w="67" w:type="dxa"/>
            </w:tcMar>
            <w:vAlign w:val="center"/>
          </w:tcPr>
          <w:p w14:paraId="1D2324C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846C77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5F5D5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25D989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CE6403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3A2A7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7CD3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-0.1853</w:t>
            </w:r>
          </w:p>
        </w:tc>
        <w:tc>
          <w:tcPr>
            <w:tcW w:w="1134" w:type="dxa"/>
            <w:tcBorders>
              <w:top w:val="nil"/>
              <w:left w:val="nil"/>
              <w:bottom w:val="nil"/>
              <w:right w:val="nil"/>
            </w:tcBorders>
            <w:shd w:val="clear" w:color="auto" w:fill="FFFFFF"/>
            <w:tcMar>
              <w:left w:w="67" w:type="dxa"/>
              <w:right w:w="67" w:type="dxa"/>
            </w:tcMar>
            <w:vAlign w:val="center"/>
          </w:tcPr>
          <w:p w14:paraId="61BF4A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0.2958</w:t>
            </w:r>
          </w:p>
        </w:tc>
        <w:tc>
          <w:tcPr>
            <w:tcW w:w="1134" w:type="dxa"/>
            <w:tcBorders>
              <w:top w:val="nil"/>
              <w:left w:val="nil"/>
              <w:bottom w:val="nil"/>
              <w:right w:val="nil"/>
            </w:tcBorders>
            <w:shd w:val="clear" w:color="auto" w:fill="FFFFFF"/>
            <w:tcMar>
              <w:left w:w="67" w:type="dxa"/>
              <w:right w:w="67" w:type="dxa"/>
            </w:tcMar>
            <w:vAlign w:val="center"/>
          </w:tcPr>
          <w:p w14:paraId="02A978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0.8309</w:t>
            </w:r>
          </w:p>
        </w:tc>
        <w:tc>
          <w:tcPr>
            <w:tcW w:w="1134" w:type="dxa"/>
            <w:tcBorders>
              <w:top w:val="nil"/>
              <w:left w:val="nil"/>
              <w:bottom w:val="nil"/>
              <w:right w:val="nil"/>
            </w:tcBorders>
            <w:shd w:val="clear" w:color="auto" w:fill="FFFFFF"/>
            <w:tcMar>
              <w:left w:w="67" w:type="dxa"/>
              <w:right w:w="67" w:type="dxa"/>
            </w:tcMar>
            <w:vAlign w:val="center"/>
          </w:tcPr>
          <w:p w14:paraId="3A6E84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0.4281</w:t>
            </w:r>
          </w:p>
        </w:tc>
        <w:tc>
          <w:tcPr>
            <w:tcW w:w="1134" w:type="dxa"/>
            <w:tcBorders>
              <w:top w:val="nil"/>
              <w:left w:val="nil"/>
              <w:bottom w:val="nil"/>
              <w:right w:val="nil"/>
            </w:tcBorders>
            <w:shd w:val="clear" w:color="auto" w:fill="FFFFFF"/>
            <w:tcMar>
              <w:left w:w="67" w:type="dxa"/>
              <w:right w:w="67" w:type="dxa"/>
            </w:tcMar>
            <w:vAlign w:val="center"/>
          </w:tcPr>
          <w:p w14:paraId="3CED5C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1.6124</w:t>
            </w:r>
          </w:p>
        </w:tc>
        <w:tc>
          <w:tcPr>
            <w:tcW w:w="1134" w:type="dxa"/>
            <w:tcBorders>
              <w:top w:val="nil"/>
              <w:left w:val="nil"/>
              <w:bottom w:val="nil"/>
              <w:right w:val="nil"/>
            </w:tcBorders>
            <w:shd w:val="clear" w:color="auto" w:fill="FFFFFF"/>
            <w:tcMar>
              <w:left w:w="67" w:type="dxa"/>
              <w:right w:w="67" w:type="dxa"/>
            </w:tcMar>
            <w:vAlign w:val="center"/>
          </w:tcPr>
          <w:p w14:paraId="78F0354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239FD7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5BD186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CE229D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B3677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952A4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182DA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-0.2830</w:t>
            </w:r>
          </w:p>
        </w:tc>
        <w:tc>
          <w:tcPr>
            <w:tcW w:w="1134" w:type="dxa"/>
            <w:tcBorders>
              <w:top w:val="nil"/>
              <w:left w:val="nil"/>
              <w:bottom w:val="nil"/>
              <w:right w:val="nil"/>
            </w:tcBorders>
            <w:shd w:val="clear" w:color="auto" w:fill="FFFFFF"/>
            <w:tcMar>
              <w:left w:w="67" w:type="dxa"/>
              <w:right w:w="67" w:type="dxa"/>
            </w:tcMar>
            <w:vAlign w:val="center"/>
          </w:tcPr>
          <w:p w14:paraId="13FCA7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0.3034</w:t>
            </w:r>
          </w:p>
        </w:tc>
        <w:tc>
          <w:tcPr>
            <w:tcW w:w="1134" w:type="dxa"/>
            <w:tcBorders>
              <w:top w:val="nil"/>
              <w:left w:val="nil"/>
              <w:bottom w:val="nil"/>
              <w:right w:val="nil"/>
            </w:tcBorders>
            <w:shd w:val="clear" w:color="auto" w:fill="FFFFFF"/>
            <w:tcMar>
              <w:left w:w="67" w:type="dxa"/>
              <w:right w:w="67" w:type="dxa"/>
            </w:tcMar>
            <w:vAlign w:val="center"/>
          </w:tcPr>
          <w:p w14:paraId="5EB439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0.7535</w:t>
            </w:r>
          </w:p>
        </w:tc>
        <w:tc>
          <w:tcPr>
            <w:tcW w:w="1134" w:type="dxa"/>
            <w:tcBorders>
              <w:top w:val="nil"/>
              <w:left w:val="nil"/>
              <w:bottom w:val="nil"/>
              <w:right w:val="nil"/>
            </w:tcBorders>
            <w:shd w:val="clear" w:color="auto" w:fill="FFFFFF"/>
            <w:tcMar>
              <w:left w:w="67" w:type="dxa"/>
              <w:right w:w="67" w:type="dxa"/>
            </w:tcMar>
            <w:vAlign w:val="center"/>
          </w:tcPr>
          <w:p w14:paraId="430E6C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0.3818</w:t>
            </w:r>
          </w:p>
        </w:tc>
        <w:tc>
          <w:tcPr>
            <w:tcW w:w="1134" w:type="dxa"/>
            <w:tcBorders>
              <w:top w:val="nil"/>
              <w:left w:val="nil"/>
              <w:bottom w:val="nil"/>
              <w:right w:val="nil"/>
            </w:tcBorders>
            <w:shd w:val="clear" w:color="auto" w:fill="FFFFFF"/>
            <w:tcMar>
              <w:left w:w="67" w:type="dxa"/>
              <w:right w:w="67" w:type="dxa"/>
            </w:tcMar>
            <w:vAlign w:val="center"/>
          </w:tcPr>
          <w:p w14:paraId="1B60A0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1.4874</w:t>
            </w:r>
          </w:p>
        </w:tc>
        <w:tc>
          <w:tcPr>
            <w:tcW w:w="1134" w:type="dxa"/>
            <w:tcBorders>
              <w:top w:val="nil"/>
              <w:left w:val="nil"/>
              <w:bottom w:val="nil"/>
              <w:right w:val="nil"/>
            </w:tcBorders>
            <w:shd w:val="clear" w:color="auto" w:fill="FFFFFF"/>
            <w:tcMar>
              <w:left w:w="67" w:type="dxa"/>
              <w:right w:w="67" w:type="dxa"/>
            </w:tcMar>
            <w:vAlign w:val="center"/>
          </w:tcPr>
          <w:p w14:paraId="64E8F24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7A2982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B409A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5DE991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6B504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F4934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C30D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-0.0634</w:t>
            </w:r>
          </w:p>
        </w:tc>
        <w:tc>
          <w:tcPr>
            <w:tcW w:w="1134" w:type="dxa"/>
            <w:tcBorders>
              <w:top w:val="nil"/>
              <w:left w:val="nil"/>
              <w:bottom w:val="nil"/>
              <w:right w:val="nil"/>
            </w:tcBorders>
            <w:shd w:val="clear" w:color="auto" w:fill="FFFFFF"/>
            <w:tcMar>
              <w:left w:w="67" w:type="dxa"/>
              <w:right w:w="67" w:type="dxa"/>
            </w:tcMar>
            <w:vAlign w:val="center"/>
          </w:tcPr>
          <w:p w14:paraId="10F9C5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0.2436</w:t>
            </w:r>
          </w:p>
        </w:tc>
        <w:tc>
          <w:tcPr>
            <w:tcW w:w="1134" w:type="dxa"/>
            <w:tcBorders>
              <w:top w:val="nil"/>
              <w:left w:val="nil"/>
              <w:bottom w:val="nil"/>
              <w:right w:val="nil"/>
            </w:tcBorders>
            <w:shd w:val="clear" w:color="auto" w:fill="FFFFFF"/>
            <w:tcMar>
              <w:left w:w="67" w:type="dxa"/>
              <w:right w:w="67" w:type="dxa"/>
            </w:tcMar>
            <w:vAlign w:val="center"/>
          </w:tcPr>
          <w:p w14:paraId="591193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0.9386</w:t>
            </w:r>
          </w:p>
        </w:tc>
        <w:tc>
          <w:tcPr>
            <w:tcW w:w="1134" w:type="dxa"/>
            <w:tcBorders>
              <w:top w:val="nil"/>
              <w:left w:val="nil"/>
              <w:bottom w:val="nil"/>
              <w:right w:val="nil"/>
            </w:tcBorders>
            <w:shd w:val="clear" w:color="auto" w:fill="FFFFFF"/>
            <w:tcMar>
              <w:left w:w="67" w:type="dxa"/>
              <w:right w:w="67" w:type="dxa"/>
            </w:tcMar>
            <w:vAlign w:val="center"/>
          </w:tcPr>
          <w:p w14:paraId="1263C2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0.5437</w:t>
            </w:r>
          </w:p>
        </w:tc>
        <w:tc>
          <w:tcPr>
            <w:tcW w:w="1134" w:type="dxa"/>
            <w:tcBorders>
              <w:top w:val="nil"/>
              <w:left w:val="nil"/>
              <w:bottom w:val="nil"/>
              <w:right w:val="nil"/>
            </w:tcBorders>
            <w:shd w:val="clear" w:color="auto" w:fill="FFFFFF"/>
            <w:tcMar>
              <w:left w:w="67" w:type="dxa"/>
              <w:right w:w="67" w:type="dxa"/>
            </w:tcMar>
            <w:vAlign w:val="center"/>
          </w:tcPr>
          <w:p w14:paraId="18241B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1.6203</w:t>
            </w:r>
          </w:p>
        </w:tc>
        <w:tc>
          <w:tcPr>
            <w:tcW w:w="1134" w:type="dxa"/>
            <w:tcBorders>
              <w:top w:val="nil"/>
              <w:left w:val="nil"/>
              <w:bottom w:val="nil"/>
              <w:right w:val="nil"/>
            </w:tcBorders>
            <w:shd w:val="clear" w:color="auto" w:fill="FFFFFF"/>
            <w:tcMar>
              <w:left w:w="67" w:type="dxa"/>
              <w:right w:w="67" w:type="dxa"/>
            </w:tcMar>
            <w:vAlign w:val="center"/>
          </w:tcPr>
          <w:p w14:paraId="3C32E8A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13688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9E603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D605FA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7A2EEB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AD2F5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FDC0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-0.6132</w:t>
            </w:r>
          </w:p>
        </w:tc>
        <w:tc>
          <w:tcPr>
            <w:tcW w:w="1134" w:type="dxa"/>
            <w:tcBorders>
              <w:top w:val="nil"/>
              <w:left w:val="nil"/>
              <w:bottom w:val="nil"/>
              <w:right w:val="nil"/>
            </w:tcBorders>
            <w:shd w:val="clear" w:color="auto" w:fill="FFFFFF"/>
            <w:tcMar>
              <w:left w:w="67" w:type="dxa"/>
              <w:right w:w="67" w:type="dxa"/>
            </w:tcMar>
            <w:vAlign w:val="center"/>
          </w:tcPr>
          <w:p w14:paraId="37DFE1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0.3141</w:t>
            </w:r>
          </w:p>
        </w:tc>
        <w:tc>
          <w:tcPr>
            <w:tcW w:w="1134" w:type="dxa"/>
            <w:tcBorders>
              <w:top w:val="nil"/>
              <w:left w:val="nil"/>
              <w:bottom w:val="nil"/>
              <w:right w:val="nil"/>
            </w:tcBorders>
            <w:shd w:val="clear" w:color="auto" w:fill="FFFFFF"/>
            <w:tcMar>
              <w:left w:w="67" w:type="dxa"/>
              <w:right w:w="67" w:type="dxa"/>
            </w:tcMar>
            <w:vAlign w:val="center"/>
          </w:tcPr>
          <w:p w14:paraId="22D7EB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0.5416</w:t>
            </w:r>
          </w:p>
        </w:tc>
        <w:tc>
          <w:tcPr>
            <w:tcW w:w="1134" w:type="dxa"/>
            <w:tcBorders>
              <w:top w:val="nil"/>
              <w:left w:val="nil"/>
              <w:bottom w:val="nil"/>
              <w:right w:val="nil"/>
            </w:tcBorders>
            <w:shd w:val="clear" w:color="auto" w:fill="FFFFFF"/>
            <w:tcMar>
              <w:left w:w="67" w:type="dxa"/>
              <w:right w:w="67" w:type="dxa"/>
            </w:tcMar>
            <w:vAlign w:val="center"/>
          </w:tcPr>
          <w:p w14:paraId="5083A7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0.2679</w:t>
            </w:r>
          </w:p>
        </w:tc>
        <w:tc>
          <w:tcPr>
            <w:tcW w:w="1134" w:type="dxa"/>
            <w:tcBorders>
              <w:top w:val="nil"/>
              <w:left w:val="nil"/>
              <w:bottom w:val="nil"/>
              <w:right w:val="nil"/>
            </w:tcBorders>
            <w:shd w:val="clear" w:color="auto" w:fill="FFFFFF"/>
            <w:tcMar>
              <w:left w:w="67" w:type="dxa"/>
              <w:right w:w="67" w:type="dxa"/>
            </w:tcMar>
            <w:vAlign w:val="center"/>
          </w:tcPr>
          <w:p w14:paraId="65B3A0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1.0951</w:t>
            </w:r>
          </w:p>
        </w:tc>
        <w:tc>
          <w:tcPr>
            <w:tcW w:w="1134" w:type="dxa"/>
            <w:tcBorders>
              <w:top w:val="nil"/>
              <w:left w:val="nil"/>
              <w:bottom w:val="nil"/>
              <w:right w:val="nil"/>
            </w:tcBorders>
            <w:shd w:val="clear" w:color="auto" w:fill="FFFFFF"/>
            <w:tcMar>
              <w:left w:w="67" w:type="dxa"/>
              <w:right w:w="67" w:type="dxa"/>
            </w:tcMar>
            <w:vAlign w:val="center"/>
          </w:tcPr>
          <w:p w14:paraId="371F856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F4E165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BBD17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DB2989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419EA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710EA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94B81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-0.0686</w:t>
            </w:r>
          </w:p>
        </w:tc>
        <w:tc>
          <w:tcPr>
            <w:tcW w:w="1134" w:type="dxa"/>
            <w:tcBorders>
              <w:top w:val="nil"/>
              <w:left w:val="nil"/>
              <w:bottom w:val="nil"/>
              <w:right w:val="nil"/>
            </w:tcBorders>
            <w:shd w:val="clear" w:color="auto" w:fill="FFFFFF"/>
            <w:tcMar>
              <w:left w:w="67" w:type="dxa"/>
              <w:right w:w="67" w:type="dxa"/>
            </w:tcMar>
            <w:vAlign w:val="center"/>
          </w:tcPr>
          <w:p w14:paraId="20B2B4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0.2407</w:t>
            </w:r>
          </w:p>
        </w:tc>
        <w:tc>
          <w:tcPr>
            <w:tcW w:w="1134" w:type="dxa"/>
            <w:tcBorders>
              <w:top w:val="nil"/>
              <w:left w:val="nil"/>
              <w:bottom w:val="nil"/>
              <w:right w:val="nil"/>
            </w:tcBorders>
            <w:shd w:val="clear" w:color="auto" w:fill="FFFFFF"/>
            <w:tcMar>
              <w:left w:w="67" w:type="dxa"/>
              <w:right w:w="67" w:type="dxa"/>
            </w:tcMar>
            <w:vAlign w:val="center"/>
          </w:tcPr>
          <w:p w14:paraId="02D2F9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0.9337</w:t>
            </w:r>
          </w:p>
        </w:tc>
        <w:tc>
          <w:tcPr>
            <w:tcW w:w="1134" w:type="dxa"/>
            <w:tcBorders>
              <w:top w:val="nil"/>
              <w:left w:val="nil"/>
              <w:bottom w:val="nil"/>
              <w:right w:val="nil"/>
            </w:tcBorders>
            <w:shd w:val="clear" w:color="auto" w:fill="FFFFFF"/>
            <w:tcMar>
              <w:left w:w="67" w:type="dxa"/>
              <w:right w:w="67" w:type="dxa"/>
            </w:tcMar>
            <w:vAlign w:val="center"/>
          </w:tcPr>
          <w:p w14:paraId="72C33F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0.5444</w:t>
            </w:r>
          </w:p>
        </w:tc>
        <w:tc>
          <w:tcPr>
            <w:tcW w:w="1134" w:type="dxa"/>
            <w:tcBorders>
              <w:top w:val="nil"/>
              <w:left w:val="nil"/>
              <w:bottom w:val="nil"/>
              <w:right w:val="nil"/>
            </w:tcBorders>
            <w:shd w:val="clear" w:color="auto" w:fill="FFFFFF"/>
            <w:tcMar>
              <w:left w:w="67" w:type="dxa"/>
              <w:right w:w="67" w:type="dxa"/>
            </w:tcMar>
            <w:vAlign w:val="center"/>
          </w:tcPr>
          <w:p w14:paraId="4764C6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1.6016</w:t>
            </w:r>
          </w:p>
        </w:tc>
        <w:tc>
          <w:tcPr>
            <w:tcW w:w="1134" w:type="dxa"/>
            <w:tcBorders>
              <w:top w:val="nil"/>
              <w:left w:val="nil"/>
              <w:bottom w:val="nil"/>
              <w:right w:val="nil"/>
            </w:tcBorders>
            <w:shd w:val="clear" w:color="auto" w:fill="FFFFFF"/>
            <w:tcMar>
              <w:left w:w="67" w:type="dxa"/>
              <w:right w:w="67" w:type="dxa"/>
            </w:tcMar>
            <w:vAlign w:val="center"/>
          </w:tcPr>
          <w:p w14:paraId="001E7E8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CE7C1F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209669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766A77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7957103"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B1D5FD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0F2E6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0.0903</w:t>
            </w:r>
          </w:p>
        </w:tc>
        <w:tc>
          <w:tcPr>
            <w:tcW w:w="1134" w:type="dxa"/>
            <w:tcBorders>
              <w:top w:val="nil"/>
              <w:left w:val="nil"/>
              <w:bottom w:val="nil"/>
              <w:right w:val="nil"/>
            </w:tcBorders>
            <w:shd w:val="clear" w:color="auto" w:fill="FFFFFF"/>
            <w:tcMar>
              <w:left w:w="67" w:type="dxa"/>
              <w:right w:w="67" w:type="dxa"/>
            </w:tcMar>
            <w:vAlign w:val="center"/>
          </w:tcPr>
          <w:p w14:paraId="11918C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0.0162</w:t>
            </w:r>
          </w:p>
        </w:tc>
        <w:tc>
          <w:tcPr>
            <w:tcW w:w="1134" w:type="dxa"/>
            <w:tcBorders>
              <w:top w:val="nil"/>
              <w:left w:val="nil"/>
              <w:bottom w:val="nil"/>
              <w:right w:val="nil"/>
            </w:tcBorders>
            <w:shd w:val="clear" w:color="auto" w:fill="FFFFFF"/>
            <w:tcMar>
              <w:left w:w="67" w:type="dxa"/>
              <w:right w:w="67" w:type="dxa"/>
            </w:tcMar>
            <w:vAlign w:val="center"/>
          </w:tcPr>
          <w:p w14:paraId="17B8AD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1.0945</w:t>
            </w:r>
          </w:p>
        </w:tc>
        <w:tc>
          <w:tcPr>
            <w:tcW w:w="1134" w:type="dxa"/>
            <w:tcBorders>
              <w:top w:val="nil"/>
              <w:left w:val="nil"/>
              <w:bottom w:val="nil"/>
              <w:right w:val="nil"/>
            </w:tcBorders>
            <w:shd w:val="clear" w:color="auto" w:fill="FFFFFF"/>
            <w:tcMar>
              <w:left w:w="67" w:type="dxa"/>
              <w:right w:w="67" w:type="dxa"/>
            </w:tcMar>
            <w:vAlign w:val="center"/>
          </w:tcPr>
          <w:p w14:paraId="22DBF2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1.0554</w:t>
            </w:r>
          </w:p>
        </w:tc>
        <w:tc>
          <w:tcPr>
            <w:tcW w:w="1134" w:type="dxa"/>
            <w:tcBorders>
              <w:top w:val="nil"/>
              <w:left w:val="nil"/>
              <w:bottom w:val="nil"/>
              <w:right w:val="nil"/>
            </w:tcBorders>
            <w:shd w:val="clear" w:color="auto" w:fill="FFFFFF"/>
            <w:tcMar>
              <w:left w:w="67" w:type="dxa"/>
              <w:right w:w="67" w:type="dxa"/>
            </w:tcMar>
            <w:vAlign w:val="center"/>
          </w:tcPr>
          <w:p w14:paraId="6AE5A3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1.1351</w:t>
            </w:r>
          </w:p>
        </w:tc>
        <w:tc>
          <w:tcPr>
            <w:tcW w:w="1134" w:type="dxa"/>
            <w:tcBorders>
              <w:top w:val="nil"/>
              <w:left w:val="nil"/>
              <w:bottom w:val="nil"/>
              <w:right w:val="nil"/>
            </w:tcBorders>
            <w:shd w:val="clear" w:color="auto" w:fill="FFFFFF"/>
            <w:tcMar>
              <w:left w:w="67" w:type="dxa"/>
              <w:right w:w="67" w:type="dxa"/>
            </w:tcMar>
            <w:vAlign w:val="center"/>
          </w:tcPr>
          <w:p w14:paraId="06CF7C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30.99</w:t>
            </w:r>
          </w:p>
        </w:tc>
        <w:tc>
          <w:tcPr>
            <w:tcW w:w="567" w:type="dxa"/>
            <w:tcBorders>
              <w:top w:val="nil"/>
              <w:left w:val="nil"/>
              <w:bottom w:val="nil"/>
              <w:right w:val="nil"/>
            </w:tcBorders>
            <w:shd w:val="clear" w:color="auto" w:fill="FFFFFF"/>
            <w:tcMar>
              <w:left w:w="67" w:type="dxa"/>
              <w:right w:w="67" w:type="dxa"/>
            </w:tcMar>
            <w:vAlign w:val="center"/>
          </w:tcPr>
          <w:p w14:paraId="60EF5C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CA0D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0E1EB4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328EF0"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6A274D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16831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-0.0058</w:t>
            </w:r>
          </w:p>
        </w:tc>
        <w:tc>
          <w:tcPr>
            <w:tcW w:w="1134" w:type="dxa"/>
            <w:tcBorders>
              <w:top w:val="nil"/>
              <w:left w:val="nil"/>
              <w:bottom w:val="nil"/>
              <w:right w:val="nil"/>
            </w:tcBorders>
            <w:shd w:val="clear" w:color="auto" w:fill="FFFFFF"/>
            <w:tcMar>
              <w:left w:w="67" w:type="dxa"/>
              <w:right w:w="67" w:type="dxa"/>
            </w:tcMar>
            <w:vAlign w:val="center"/>
          </w:tcPr>
          <w:p w14:paraId="753F98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0.0094</w:t>
            </w:r>
          </w:p>
        </w:tc>
        <w:tc>
          <w:tcPr>
            <w:tcW w:w="1134" w:type="dxa"/>
            <w:tcBorders>
              <w:top w:val="nil"/>
              <w:left w:val="nil"/>
              <w:bottom w:val="nil"/>
              <w:right w:val="nil"/>
            </w:tcBorders>
            <w:shd w:val="clear" w:color="auto" w:fill="FFFFFF"/>
            <w:tcMar>
              <w:left w:w="67" w:type="dxa"/>
              <w:right w:w="67" w:type="dxa"/>
            </w:tcMar>
            <w:vAlign w:val="center"/>
          </w:tcPr>
          <w:p w14:paraId="23BBC5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0.9943</w:t>
            </w:r>
          </w:p>
        </w:tc>
        <w:tc>
          <w:tcPr>
            <w:tcW w:w="1134" w:type="dxa"/>
            <w:tcBorders>
              <w:top w:val="nil"/>
              <w:left w:val="nil"/>
              <w:bottom w:val="nil"/>
              <w:right w:val="nil"/>
            </w:tcBorders>
            <w:shd w:val="clear" w:color="auto" w:fill="FFFFFF"/>
            <w:tcMar>
              <w:left w:w="67" w:type="dxa"/>
              <w:right w:w="67" w:type="dxa"/>
            </w:tcMar>
            <w:vAlign w:val="center"/>
          </w:tcPr>
          <w:p w14:paraId="75A558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0.9735</w:t>
            </w:r>
          </w:p>
        </w:tc>
        <w:tc>
          <w:tcPr>
            <w:tcW w:w="1134" w:type="dxa"/>
            <w:tcBorders>
              <w:top w:val="nil"/>
              <w:left w:val="nil"/>
              <w:bottom w:val="nil"/>
              <w:right w:val="nil"/>
            </w:tcBorders>
            <w:shd w:val="clear" w:color="auto" w:fill="FFFFFF"/>
            <w:tcMar>
              <w:left w:w="67" w:type="dxa"/>
              <w:right w:w="67" w:type="dxa"/>
            </w:tcMar>
            <w:vAlign w:val="center"/>
          </w:tcPr>
          <w:p w14:paraId="634448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1.0154</w:t>
            </w:r>
          </w:p>
        </w:tc>
        <w:tc>
          <w:tcPr>
            <w:tcW w:w="1134" w:type="dxa"/>
            <w:tcBorders>
              <w:top w:val="nil"/>
              <w:left w:val="nil"/>
              <w:bottom w:val="nil"/>
              <w:right w:val="nil"/>
            </w:tcBorders>
            <w:shd w:val="clear" w:color="auto" w:fill="FFFFFF"/>
            <w:tcMar>
              <w:left w:w="67" w:type="dxa"/>
              <w:right w:w="67" w:type="dxa"/>
            </w:tcMar>
            <w:vAlign w:val="center"/>
          </w:tcPr>
          <w:p w14:paraId="4D9E91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w:t>
            </w:r>
          </w:p>
        </w:tc>
        <w:tc>
          <w:tcPr>
            <w:tcW w:w="567" w:type="dxa"/>
            <w:tcBorders>
              <w:top w:val="nil"/>
              <w:left w:val="nil"/>
              <w:bottom w:val="nil"/>
              <w:right w:val="nil"/>
            </w:tcBorders>
            <w:shd w:val="clear" w:color="auto" w:fill="FFFFFF"/>
            <w:tcMar>
              <w:left w:w="67" w:type="dxa"/>
              <w:right w:w="67" w:type="dxa"/>
            </w:tcMar>
            <w:vAlign w:val="center"/>
          </w:tcPr>
          <w:p w14:paraId="573324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0026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0.5396</w:t>
            </w:r>
          </w:p>
        </w:tc>
      </w:tr>
      <w:tr w:rsidR="00B77EA3" w:rsidRPr="0082484A" w14:paraId="54EAB30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0BB777"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3A8A44A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57943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782C62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59C309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1.0033</w:t>
            </w:r>
          </w:p>
        </w:tc>
        <w:tc>
          <w:tcPr>
            <w:tcW w:w="1134" w:type="dxa"/>
            <w:tcBorders>
              <w:top w:val="nil"/>
              <w:left w:val="nil"/>
              <w:bottom w:val="nil"/>
              <w:right w:val="nil"/>
            </w:tcBorders>
            <w:shd w:val="clear" w:color="auto" w:fill="FFFFFF"/>
            <w:tcMar>
              <w:left w:w="67" w:type="dxa"/>
              <w:right w:w="67" w:type="dxa"/>
            </w:tcMar>
            <w:vAlign w:val="center"/>
          </w:tcPr>
          <w:p w14:paraId="2A40CC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0.9966</w:t>
            </w:r>
          </w:p>
        </w:tc>
        <w:tc>
          <w:tcPr>
            <w:tcW w:w="1134" w:type="dxa"/>
            <w:tcBorders>
              <w:top w:val="nil"/>
              <w:left w:val="nil"/>
              <w:bottom w:val="nil"/>
              <w:right w:val="nil"/>
            </w:tcBorders>
            <w:shd w:val="clear" w:color="auto" w:fill="FFFFFF"/>
            <w:tcMar>
              <w:left w:w="67" w:type="dxa"/>
              <w:right w:w="67" w:type="dxa"/>
            </w:tcMar>
            <w:vAlign w:val="center"/>
          </w:tcPr>
          <w:p w14:paraId="12F956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1.0101</w:t>
            </w:r>
          </w:p>
        </w:tc>
        <w:tc>
          <w:tcPr>
            <w:tcW w:w="1134" w:type="dxa"/>
            <w:tcBorders>
              <w:top w:val="nil"/>
              <w:left w:val="nil"/>
              <w:bottom w:val="nil"/>
              <w:right w:val="nil"/>
            </w:tcBorders>
            <w:shd w:val="clear" w:color="auto" w:fill="FFFFFF"/>
            <w:tcMar>
              <w:left w:w="67" w:type="dxa"/>
              <w:right w:w="67" w:type="dxa"/>
            </w:tcMar>
            <w:vAlign w:val="center"/>
          </w:tcPr>
          <w:p w14:paraId="026AE4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w:t>
            </w:r>
          </w:p>
        </w:tc>
        <w:tc>
          <w:tcPr>
            <w:tcW w:w="567" w:type="dxa"/>
            <w:tcBorders>
              <w:top w:val="nil"/>
              <w:left w:val="nil"/>
              <w:bottom w:val="nil"/>
              <w:right w:val="nil"/>
            </w:tcBorders>
            <w:shd w:val="clear" w:color="auto" w:fill="FFFFFF"/>
            <w:tcMar>
              <w:left w:w="67" w:type="dxa"/>
              <w:right w:w="67" w:type="dxa"/>
            </w:tcMar>
            <w:vAlign w:val="center"/>
          </w:tcPr>
          <w:p w14:paraId="59C5E2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791F1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0.2655</w:t>
            </w:r>
          </w:p>
        </w:tc>
      </w:tr>
      <w:tr w:rsidR="00B77EA3" w:rsidRPr="0082484A" w14:paraId="1AA3A175"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AE24910"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619D5E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82F2E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0.1149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51B61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0.0865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68599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1.1217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E5E8A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C03C4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1.3618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78690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1.76</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305234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CB4AE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0.1843</w:t>
            </w:r>
          </w:p>
        </w:tc>
      </w:tr>
    </w:tbl>
    <w:p w14:paraId="1275BFF3"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with chronic kidney disease being prescribed an oral NSAID is 415</w:t>
      </w:r>
    </w:p>
    <w:p w14:paraId="4A519AD4" w14:textId="77777777" w:rsidR="00B77EA3" w:rsidRPr="0082484A" w:rsidRDefault="00B77EA3" w:rsidP="00B77EA3">
      <w:pPr>
        <w:spacing w:before="0" w:after="160" w:line="259" w:lineRule="auto"/>
        <w:rPr>
          <w:sz w:val="22"/>
          <w:szCs w:val="22"/>
        </w:rPr>
      </w:pPr>
      <w:r w:rsidRPr="0082484A">
        <w:rPr>
          <w:sz w:val="22"/>
          <w:szCs w:val="22"/>
        </w:rPr>
        <w:br w:type="page"/>
      </w:r>
    </w:p>
    <w:p w14:paraId="37AD90C8" w14:textId="7EA7837C" w:rsidR="00B77EA3" w:rsidRPr="0082484A" w:rsidRDefault="00B77EA3" w:rsidP="00B77EA3">
      <w:pPr>
        <w:spacing w:before="0" w:line="240" w:lineRule="auto"/>
        <w:rPr>
          <w:bCs/>
          <w:sz w:val="22"/>
          <w:szCs w:val="22"/>
        </w:rPr>
      </w:pPr>
      <w:bookmarkStart w:id="136" w:name="_Ref502917970"/>
      <w:bookmarkStart w:id="137" w:name="_Toc8728110"/>
      <w:bookmarkStart w:id="138" w:name="_Toc19526765"/>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36</w:t>
      </w:r>
      <w:r w:rsidRPr="0082484A">
        <w:rPr>
          <w:bCs/>
          <w:noProof/>
          <w:sz w:val="22"/>
          <w:szCs w:val="22"/>
        </w:rPr>
        <w:fldChar w:fldCharType="end"/>
      </w:r>
      <w:bookmarkEnd w:id="136"/>
      <w:r w:rsidRPr="0082484A">
        <w:rPr>
          <w:bCs/>
          <w:sz w:val="22"/>
          <w:szCs w:val="22"/>
        </w:rPr>
        <w:t>: Secondary outcome for Trial 1: Gastro-intestinal risk composite (combination of six risky prescribing indicators concerning potential gastro-intestinal risk)</w:t>
      </w:r>
      <w:r w:rsidRPr="0082484A">
        <w:rPr>
          <w:sz w:val="22"/>
          <w:szCs w:val="22"/>
          <w:vertAlign w:val="superscript"/>
        </w:rPr>
        <w:t>a</w:t>
      </w:r>
      <w:r w:rsidRPr="0082484A">
        <w:rPr>
          <w:bCs/>
          <w:sz w:val="22"/>
          <w:szCs w:val="22"/>
        </w:rPr>
        <w:t xml:space="preserve"> (WP4A)</w:t>
      </w:r>
      <w:bookmarkEnd w:id="137"/>
      <w:bookmarkEnd w:id="138"/>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7A1205AA"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898135D" w14:textId="77777777" w:rsidR="00B77EA3" w:rsidRPr="0082484A" w:rsidRDefault="00B77EA3" w:rsidP="00B77EA3">
            <w:pPr>
              <w:spacing w:beforeLines="10" w:before="24" w:afterLines="10" w:after="24" w:line="240" w:lineRule="auto"/>
              <w:rPr>
                <w:bCs/>
                <w:sz w:val="22"/>
                <w:szCs w:val="22"/>
              </w:rPr>
            </w:pPr>
            <w:bookmarkStart w:id="139" w:name="IDX218"/>
            <w:bookmarkEnd w:id="139"/>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D2B8DEF"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AF0D7A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48ED71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6DFA0D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2A5D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53D75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B782A4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BF99B5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1C914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1EA5F40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7042A5"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0DB97F6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20591C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-0.1707</w:t>
            </w:r>
          </w:p>
        </w:tc>
        <w:tc>
          <w:tcPr>
            <w:tcW w:w="1134" w:type="dxa"/>
            <w:tcBorders>
              <w:top w:val="nil"/>
              <w:left w:val="nil"/>
              <w:bottom w:val="nil"/>
              <w:right w:val="nil"/>
            </w:tcBorders>
            <w:shd w:val="clear" w:color="auto" w:fill="FFFFFF"/>
            <w:tcMar>
              <w:left w:w="67" w:type="dxa"/>
              <w:right w:w="67" w:type="dxa"/>
            </w:tcMar>
            <w:vAlign w:val="center"/>
          </w:tcPr>
          <w:p w14:paraId="159A1B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0.1174</w:t>
            </w:r>
          </w:p>
        </w:tc>
        <w:tc>
          <w:tcPr>
            <w:tcW w:w="1134" w:type="dxa"/>
            <w:tcBorders>
              <w:top w:val="nil"/>
              <w:left w:val="nil"/>
              <w:bottom w:val="nil"/>
              <w:right w:val="nil"/>
            </w:tcBorders>
            <w:shd w:val="clear" w:color="auto" w:fill="FFFFFF"/>
            <w:tcMar>
              <w:left w:w="67" w:type="dxa"/>
              <w:right w:w="67" w:type="dxa"/>
            </w:tcMar>
            <w:vAlign w:val="center"/>
          </w:tcPr>
          <w:p w14:paraId="542D19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0.8431</w:t>
            </w:r>
          </w:p>
        </w:tc>
        <w:tc>
          <w:tcPr>
            <w:tcW w:w="1134" w:type="dxa"/>
            <w:tcBorders>
              <w:top w:val="nil"/>
              <w:left w:val="nil"/>
              <w:bottom w:val="nil"/>
              <w:right w:val="nil"/>
            </w:tcBorders>
            <w:shd w:val="clear" w:color="auto" w:fill="FFFFFF"/>
            <w:tcMar>
              <w:left w:w="67" w:type="dxa"/>
              <w:right w:w="67" w:type="dxa"/>
            </w:tcMar>
            <w:vAlign w:val="center"/>
          </w:tcPr>
          <w:p w14:paraId="613B00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0.6480</w:t>
            </w:r>
          </w:p>
        </w:tc>
        <w:tc>
          <w:tcPr>
            <w:tcW w:w="1134" w:type="dxa"/>
            <w:tcBorders>
              <w:top w:val="nil"/>
              <w:left w:val="nil"/>
              <w:bottom w:val="nil"/>
              <w:right w:val="nil"/>
            </w:tcBorders>
            <w:shd w:val="clear" w:color="auto" w:fill="FFFFFF"/>
            <w:tcMar>
              <w:left w:w="67" w:type="dxa"/>
              <w:right w:w="67" w:type="dxa"/>
            </w:tcMar>
            <w:vAlign w:val="center"/>
          </w:tcPr>
          <w:p w14:paraId="2F80E9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1.0969</w:t>
            </w:r>
          </w:p>
        </w:tc>
        <w:tc>
          <w:tcPr>
            <w:tcW w:w="1134" w:type="dxa"/>
            <w:tcBorders>
              <w:top w:val="nil"/>
              <w:left w:val="nil"/>
              <w:bottom w:val="nil"/>
              <w:right w:val="nil"/>
            </w:tcBorders>
            <w:shd w:val="clear" w:color="auto" w:fill="FFFFFF"/>
            <w:tcMar>
              <w:left w:w="67" w:type="dxa"/>
              <w:right w:w="67" w:type="dxa"/>
            </w:tcMar>
            <w:vAlign w:val="center"/>
          </w:tcPr>
          <w:p w14:paraId="7F7C43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2.11</w:t>
            </w:r>
          </w:p>
        </w:tc>
        <w:tc>
          <w:tcPr>
            <w:tcW w:w="567" w:type="dxa"/>
            <w:tcBorders>
              <w:top w:val="nil"/>
              <w:left w:val="nil"/>
              <w:bottom w:val="nil"/>
              <w:right w:val="nil"/>
            </w:tcBorders>
            <w:shd w:val="clear" w:color="auto" w:fill="FFFFFF"/>
            <w:tcMar>
              <w:left w:w="67" w:type="dxa"/>
              <w:right w:w="67" w:type="dxa"/>
            </w:tcMar>
            <w:vAlign w:val="center"/>
          </w:tcPr>
          <w:p w14:paraId="5D27D5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3956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0.1460</w:t>
            </w:r>
          </w:p>
        </w:tc>
      </w:tr>
      <w:tr w:rsidR="00B77EA3" w:rsidRPr="0082484A" w14:paraId="0991CDC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F9088B0"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46D8AC5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1586E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-0.1200</w:t>
            </w:r>
          </w:p>
        </w:tc>
        <w:tc>
          <w:tcPr>
            <w:tcW w:w="1134" w:type="dxa"/>
            <w:tcBorders>
              <w:top w:val="nil"/>
              <w:left w:val="nil"/>
              <w:bottom w:val="nil"/>
              <w:right w:val="nil"/>
            </w:tcBorders>
            <w:shd w:val="clear" w:color="auto" w:fill="FFFFFF"/>
            <w:tcMar>
              <w:left w:w="67" w:type="dxa"/>
              <w:right w:w="67" w:type="dxa"/>
            </w:tcMar>
            <w:vAlign w:val="center"/>
          </w:tcPr>
          <w:p w14:paraId="389CCF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0.0727</w:t>
            </w:r>
          </w:p>
        </w:tc>
        <w:tc>
          <w:tcPr>
            <w:tcW w:w="1134" w:type="dxa"/>
            <w:tcBorders>
              <w:top w:val="nil"/>
              <w:left w:val="nil"/>
              <w:bottom w:val="nil"/>
              <w:right w:val="nil"/>
            </w:tcBorders>
            <w:shd w:val="clear" w:color="auto" w:fill="FFFFFF"/>
            <w:tcMar>
              <w:left w:w="67" w:type="dxa"/>
              <w:right w:w="67" w:type="dxa"/>
            </w:tcMar>
            <w:vAlign w:val="center"/>
          </w:tcPr>
          <w:p w14:paraId="72D909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0.8869</w:t>
            </w:r>
          </w:p>
        </w:tc>
        <w:tc>
          <w:tcPr>
            <w:tcW w:w="1134" w:type="dxa"/>
            <w:tcBorders>
              <w:top w:val="nil"/>
              <w:left w:val="nil"/>
              <w:bottom w:val="nil"/>
              <w:right w:val="nil"/>
            </w:tcBorders>
            <w:shd w:val="clear" w:color="auto" w:fill="FFFFFF"/>
            <w:tcMar>
              <w:left w:w="67" w:type="dxa"/>
              <w:right w:w="67" w:type="dxa"/>
            </w:tcMar>
            <w:vAlign w:val="center"/>
          </w:tcPr>
          <w:p w14:paraId="0B3E1D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0.7534</w:t>
            </w:r>
          </w:p>
        </w:tc>
        <w:tc>
          <w:tcPr>
            <w:tcW w:w="1134" w:type="dxa"/>
            <w:tcBorders>
              <w:top w:val="nil"/>
              <w:left w:val="nil"/>
              <w:bottom w:val="nil"/>
              <w:right w:val="nil"/>
            </w:tcBorders>
            <w:shd w:val="clear" w:color="auto" w:fill="FFFFFF"/>
            <w:tcMar>
              <w:left w:w="67" w:type="dxa"/>
              <w:right w:w="67" w:type="dxa"/>
            </w:tcMar>
            <w:vAlign w:val="center"/>
          </w:tcPr>
          <w:p w14:paraId="690484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1.0440</w:t>
            </w:r>
          </w:p>
        </w:tc>
        <w:tc>
          <w:tcPr>
            <w:tcW w:w="1134" w:type="dxa"/>
            <w:tcBorders>
              <w:top w:val="nil"/>
              <w:left w:val="nil"/>
              <w:bottom w:val="nil"/>
              <w:right w:val="nil"/>
            </w:tcBorders>
            <w:shd w:val="clear" w:color="auto" w:fill="FFFFFF"/>
            <w:tcMar>
              <w:left w:w="67" w:type="dxa"/>
              <w:right w:w="67" w:type="dxa"/>
            </w:tcMar>
            <w:vAlign w:val="center"/>
          </w:tcPr>
          <w:p w14:paraId="6D5583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2.72</w:t>
            </w:r>
          </w:p>
        </w:tc>
        <w:tc>
          <w:tcPr>
            <w:tcW w:w="567" w:type="dxa"/>
            <w:tcBorders>
              <w:top w:val="nil"/>
              <w:left w:val="nil"/>
              <w:bottom w:val="nil"/>
              <w:right w:val="nil"/>
            </w:tcBorders>
            <w:shd w:val="clear" w:color="auto" w:fill="FFFFFF"/>
            <w:tcMar>
              <w:left w:w="67" w:type="dxa"/>
              <w:right w:w="67" w:type="dxa"/>
            </w:tcMar>
            <w:vAlign w:val="center"/>
          </w:tcPr>
          <w:p w14:paraId="04A672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8F03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0.0990</w:t>
            </w:r>
          </w:p>
        </w:tc>
      </w:tr>
      <w:tr w:rsidR="00B77EA3" w:rsidRPr="0082484A" w14:paraId="0DC0558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9114C1"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DD608F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721D9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0.0083</w:t>
            </w:r>
          </w:p>
        </w:tc>
        <w:tc>
          <w:tcPr>
            <w:tcW w:w="1134" w:type="dxa"/>
            <w:tcBorders>
              <w:top w:val="nil"/>
              <w:left w:val="nil"/>
              <w:bottom w:val="nil"/>
              <w:right w:val="nil"/>
            </w:tcBorders>
            <w:shd w:val="clear" w:color="auto" w:fill="FFFFFF"/>
            <w:tcMar>
              <w:left w:w="67" w:type="dxa"/>
              <w:right w:w="67" w:type="dxa"/>
            </w:tcMar>
            <w:vAlign w:val="center"/>
          </w:tcPr>
          <w:p w14:paraId="188F7B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w:t>
            </w:r>
          </w:p>
        </w:tc>
        <w:tc>
          <w:tcPr>
            <w:tcW w:w="1134" w:type="dxa"/>
            <w:tcBorders>
              <w:top w:val="nil"/>
              <w:left w:val="nil"/>
              <w:bottom w:val="nil"/>
              <w:right w:val="nil"/>
            </w:tcBorders>
            <w:shd w:val="clear" w:color="auto" w:fill="FFFFFF"/>
            <w:tcMar>
              <w:left w:w="67" w:type="dxa"/>
              <w:right w:w="67" w:type="dxa"/>
            </w:tcMar>
            <w:vAlign w:val="center"/>
          </w:tcPr>
          <w:p w14:paraId="53949D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1.0084</w:t>
            </w:r>
          </w:p>
        </w:tc>
        <w:tc>
          <w:tcPr>
            <w:tcW w:w="1134" w:type="dxa"/>
            <w:tcBorders>
              <w:top w:val="nil"/>
              <w:left w:val="nil"/>
              <w:bottom w:val="nil"/>
              <w:right w:val="nil"/>
            </w:tcBorders>
            <w:shd w:val="clear" w:color="auto" w:fill="FFFFFF"/>
            <w:tcMar>
              <w:left w:w="67" w:type="dxa"/>
              <w:right w:w="67" w:type="dxa"/>
            </w:tcMar>
            <w:vAlign w:val="center"/>
          </w:tcPr>
          <w:p w14:paraId="077217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1.0011</w:t>
            </w:r>
          </w:p>
        </w:tc>
        <w:tc>
          <w:tcPr>
            <w:tcW w:w="1134" w:type="dxa"/>
            <w:tcBorders>
              <w:top w:val="nil"/>
              <w:left w:val="nil"/>
              <w:bottom w:val="nil"/>
              <w:right w:val="nil"/>
            </w:tcBorders>
            <w:shd w:val="clear" w:color="auto" w:fill="FFFFFF"/>
            <w:tcMar>
              <w:left w:w="67" w:type="dxa"/>
              <w:right w:w="67" w:type="dxa"/>
            </w:tcMar>
            <w:vAlign w:val="center"/>
          </w:tcPr>
          <w:p w14:paraId="3EF568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1.0157</w:t>
            </w:r>
          </w:p>
        </w:tc>
        <w:tc>
          <w:tcPr>
            <w:tcW w:w="1134" w:type="dxa"/>
            <w:tcBorders>
              <w:top w:val="nil"/>
              <w:left w:val="nil"/>
              <w:bottom w:val="nil"/>
              <w:right w:val="nil"/>
            </w:tcBorders>
            <w:shd w:val="clear" w:color="auto" w:fill="FFFFFF"/>
            <w:tcMar>
              <w:left w:w="67" w:type="dxa"/>
              <w:right w:w="67" w:type="dxa"/>
            </w:tcMar>
            <w:vAlign w:val="center"/>
          </w:tcPr>
          <w:p w14:paraId="67C8FD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6.68</w:t>
            </w:r>
          </w:p>
        </w:tc>
        <w:tc>
          <w:tcPr>
            <w:tcW w:w="567" w:type="dxa"/>
            <w:tcBorders>
              <w:top w:val="nil"/>
              <w:left w:val="nil"/>
              <w:bottom w:val="nil"/>
              <w:right w:val="nil"/>
            </w:tcBorders>
            <w:shd w:val="clear" w:color="auto" w:fill="FFFFFF"/>
            <w:tcMar>
              <w:left w:w="67" w:type="dxa"/>
              <w:right w:w="67" w:type="dxa"/>
            </w:tcMar>
            <w:vAlign w:val="center"/>
          </w:tcPr>
          <w:p w14:paraId="24B34B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72F2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0.0098</w:t>
            </w:r>
          </w:p>
        </w:tc>
      </w:tr>
      <w:tr w:rsidR="00B77EA3" w:rsidRPr="0082484A" w14:paraId="7ACAC26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9CE419"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BE74954"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2F508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2D60D4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76B8CB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0.9982</w:t>
            </w:r>
          </w:p>
        </w:tc>
        <w:tc>
          <w:tcPr>
            <w:tcW w:w="1134" w:type="dxa"/>
            <w:tcBorders>
              <w:top w:val="nil"/>
              <w:left w:val="nil"/>
              <w:bottom w:val="nil"/>
              <w:right w:val="nil"/>
            </w:tcBorders>
            <w:shd w:val="clear" w:color="auto" w:fill="FFFFFF"/>
            <w:tcMar>
              <w:left w:w="67" w:type="dxa"/>
              <w:right w:w="67" w:type="dxa"/>
            </w:tcMar>
            <w:vAlign w:val="center"/>
          </w:tcPr>
          <w:p w14:paraId="2A6DFC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0.9940</w:t>
            </w:r>
          </w:p>
        </w:tc>
        <w:tc>
          <w:tcPr>
            <w:tcW w:w="1134" w:type="dxa"/>
            <w:tcBorders>
              <w:top w:val="nil"/>
              <w:left w:val="nil"/>
              <w:bottom w:val="nil"/>
              <w:right w:val="nil"/>
            </w:tcBorders>
            <w:shd w:val="clear" w:color="auto" w:fill="FFFFFF"/>
            <w:tcMar>
              <w:left w:w="67" w:type="dxa"/>
              <w:right w:w="67" w:type="dxa"/>
            </w:tcMar>
            <w:vAlign w:val="center"/>
          </w:tcPr>
          <w:p w14:paraId="588F47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1.0024</w:t>
            </w:r>
          </w:p>
        </w:tc>
        <w:tc>
          <w:tcPr>
            <w:tcW w:w="1134" w:type="dxa"/>
            <w:tcBorders>
              <w:top w:val="nil"/>
              <w:left w:val="nil"/>
              <w:bottom w:val="nil"/>
              <w:right w:val="nil"/>
            </w:tcBorders>
            <w:shd w:val="clear" w:color="auto" w:fill="FFFFFF"/>
            <w:tcMar>
              <w:left w:w="67" w:type="dxa"/>
              <w:right w:w="67" w:type="dxa"/>
            </w:tcMar>
            <w:vAlign w:val="center"/>
          </w:tcPr>
          <w:p w14:paraId="0BAB99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w:t>
            </w:r>
          </w:p>
        </w:tc>
        <w:tc>
          <w:tcPr>
            <w:tcW w:w="567" w:type="dxa"/>
            <w:tcBorders>
              <w:top w:val="nil"/>
              <w:left w:val="nil"/>
              <w:bottom w:val="nil"/>
              <w:right w:val="nil"/>
            </w:tcBorders>
            <w:shd w:val="clear" w:color="auto" w:fill="FFFFFF"/>
            <w:tcMar>
              <w:left w:w="67" w:type="dxa"/>
              <w:right w:w="67" w:type="dxa"/>
            </w:tcMar>
            <w:vAlign w:val="center"/>
          </w:tcPr>
          <w:p w14:paraId="511FC3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A8C13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0.3333</w:t>
            </w:r>
          </w:p>
        </w:tc>
      </w:tr>
      <w:tr w:rsidR="00B77EA3" w:rsidRPr="0082484A" w14:paraId="41A0ABD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F8FFE6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20406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A52F6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0.2958</w:t>
            </w:r>
          </w:p>
        </w:tc>
        <w:tc>
          <w:tcPr>
            <w:tcW w:w="1134" w:type="dxa"/>
            <w:tcBorders>
              <w:top w:val="nil"/>
              <w:left w:val="nil"/>
              <w:bottom w:val="nil"/>
              <w:right w:val="nil"/>
            </w:tcBorders>
            <w:shd w:val="clear" w:color="auto" w:fill="FFFFFF"/>
            <w:tcMar>
              <w:left w:w="67" w:type="dxa"/>
              <w:right w:w="67" w:type="dxa"/>
            </w:tcMar>
            <w:vAlign w:val="center"/>
          </w:tcPr>
          <w:p w14:paraId="2BD797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0.2711</w:t>
            </w:r>
          </w:p>
        </w:tc>
        <w:tc>
          <w:tcPr>
            <w:tcW w:w="1134" w:type="dxa"/>
            <w:tcBorders>
              <w:top w:val="nil"/>
              <w:left w:val="nil"/>
              <w:bottom w:val="nil"/>
              <w:right w:val="nil"/>
            </w:tcBorders>
            <w:shd w:val="clear" w:color="auto" w:fill="FFFFFF"/>
            <w:tcMar>
              <w:left w:w="67" w:type="dxa"/>
              <w:right w:w="67" w:type="dxa"/>
            </w:tcMar>
            <w:vAlign w:val="center"/>
          </w:tcPr>
          <w:p w14:paraId="08D137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1.3442</w:t>
            </w:r>
          </w:p>
        </w:tc>
        <w:tc>
          <w:tcPr>
            <w:tcW w:w="1134" w:type="dxa"/>
            <w:tcBorders>
              <w:top w:val="nil"/>
              <w:left w:val="nil"/>
              <w:bottom w:val="nil"/>
              <w:right w:val="nil"/>
            </w:tcBorders>
            <w:shd w:val="clear" w:color="auto" w:fill="FFFFFF"/>
            <w:tcMar>
              <w:left w:w="67" w:type="dxa"/>
              <w:right w:w="67" w:type="dxa"/>
            </w:tcMar>
            <w:vAlign w:val="center"/>
          </w:tcPr>
          <w:p w14:paraId="5D409D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0.7320</w:t>
            </w:r>
          </w:p>
        </w:tc>
        <w:tc>
          <w:tcPr>
            <w:tcW w:w="1134" w:type="dxa"/>
            <w:tcBorders>
              <w:top w:val="nil"/>
              <w:left w:val="nil"/>
              <w:bottom w:val="nil"/>
              <w:right w:val="nil"/>
            </w:tcBorders>
            <w:shd w:val="clear" w:color="auto" w:fill="FFFFFF"/>
            <w:tcMar>
              <w:left w:w="67" w:type="dxa"/>
              <w:right w:w="67" w:type="dxa"/>
            </w:tcMar>
            <w:vAlign w:val="center"/>
          </w:tcPr>
          <w:p w14:paraId="12F5E3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2.4682</w:t>
            </w:r>
          </w:p>
        </w:tc>
        <w:tc>
          <w:tcPr>
            <w:tcW w:w="1134" w:type="dxa"/>
            <w:tcBorders>
              <w:top w:val="nil"/>
              <w:left w:val="nil"/>
              <w:bottom w:val="nil"/>
              <w:right w:val="nil"/>
            </w:tcBorders>
            <w:shd w:val="clear" w:color="auto" w:fill="FFFFFF"/>
            <w:tcMar>
              <w:left w:w="67" w:type="dxa"/>
              <w:right w:w="67" w:type="dxa"/>
            </w:tcMar>
            <w:vAlign w:val="center"/>
          </w:tcPr>
          <w:p w14:paraId="7E3612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2.28</w:t>
            </w:r>
          </w:p>
        </w:tc>
        <w:tc>
          <w:tcPr>
            <w:tcW w:w="567" w:type="dxa"/>
            <w:tcBorders>
              <w:top w:val="nil"/>
              <w:left w:val="nil"/>
              <w:bottom w:val="nil"/>
              <w:right w:val="nil"/>
            </w:tcBorders>
            <w:shd w:val="clear" w:color="auto" w:fill="FFFFFF"/>
            <w:tcMar>
              <w:left w:w="67" w:type="dxa"/>
              <w:right w:w="67" w:type="dxa"/>
            </w:tcMar>
            <w:vAlign w:val="center"/>
          </w:tcPr>
          <w:p w14:paraId="7B7D22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A8F97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0.0148</w:t>
            </w:r>
          </w:p>
        </w:tc>
      </w:tr>
      <w:tr w:rsidR="00B77EA3" w:rsidRPr="0082484A" w14:paraId="3C884D0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BED7D4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0ECA1C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10823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0.7052</w:t>
            </w:r>
          </w:p>
        </w:tc>
        <w:tc>
          <w:tcPr>
            <w:tcW w:w="1134" w:type="dxa"/>
            <w:tcBorders>
              <w:top w:val="nil"/>
              <w:left w:val="nil"/>
              <w:bottom w:val="nil"/>
              <w:right w:val="nil"/>
            </w:tcBorders>
            <w:shd w:val="clear" w:color="auto" w:fill="FFFFFF"/>
            <w:tcMar>
              <w:left w:w="67" w:type="dxa"/>
              <w:right w:w="67" w:type="dxa"/>
            </w:tcMar>
            <w:vAlign w:val="center"/>
          </w:tcPr>
          <w:p w14:paraId="70457E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0.3432</w:t>
            </w:r>
          </w:p>
        </w:tc>
        <w:tc>
          <w:tcPr>
            <w:tcW w:w="1134" w:type="dxa"/>
            <w:tcBorders>
              <w:top w:val="nil"/>
              <w:left w:val="nil"/>
              <w:bottom w:val="nil"/>
              <w:right w:val="nil"/>
            </w:tcBorders>
            <w:shd w:val="clear" w:color="auto" w:fill="FFFFFF"/>
            <w:tcMar>
              <w:left w:w="67" w:type="dxa"/>
              <w:right w:w="67" w:type="dxa"/>
            </w:tcMar>
            <w:vAlign w:val="center"/>
          </w:tcPr>
          <w:p w14:paraId="3523E7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2.0242</w:t>
            </w:r>
          </w:p>
        </w:tc>
        <w:tc>
          <w:tcPr>
            <w:tcW w:w="1134" w:type="dxa"/>
            <w:tcBorders>
              <w:top w:val="nil"/>
              <w:left w:val="nil"/>
              <w:bottom w:val="nil"/>
              <w:right w:val="nil"/>
            </w:tcBorders>
            <w:shd w:val="clear" w:color="auto" w:fill="FFFFFF"/>
            <w:tcMar>
              <w:left w:w="67" w:type="dxa"/>
              <w:right w:w="67" w:type="dxa"/>
            </w:tcMar>
            <w:vAlign w:val="center"/>
          </w:tcPr>
          <w:p w14:paraId="3D6C4E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0.9379</w:t>
            </w:r>
          </w:p>
        </w:tc>
        <w:tc>
          <w:tcPr>
            <w:tcW w:w="1134" w:type="dxa"/>
            <w:tcBorders>
              <w:top w:val="nil"/>
              <w:left w:val="nil"/>
              <w:bottom w:val="nil"/>
              <w:right w:val="nil"/>
            </w:tcBorders>
            <w:shd w:val="clear" w:color="auto" w:fill="FFFFFF"/>
            <w:tcMar>
              <w:left w:w="67" w:type="dxa"/>
              <w:right w:w="67" w:type="dxa"/>
            </w:tcMar>
            <w:vAlign w:val="center"/>
          </w:tcPr>
          <w:p w14:paraId="7F1A0D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4.3686</w:t>
            </w:r>
          </w:p>
        </w:tc>
        <w:tc>
          <w:tcPr>
            <w:tcW w:w="1134" w:type="dxa"/>
            <w:tcBorders>
              <w:top w:val="nil"/>
              <w:left w:val="nil"/>
              <w:bottom w:val="nil"/>
              <w:right w:val="nil"/>
            </w:tcBorders>
            <w:shd w:val="clear" w:color="auto" w:fill="FFFFFF"/>
            <w:tcMar>
              <w:left w:w="67" w:type="dxa"/>
              <w:right w:w="67" w:type="dxa"/>
            </w:tcMar>
            <w:vAlign w:val="center"/>
          </w:tcPr>
          <w:p w14:paraId="257203A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204111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1061E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AECA86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00FB2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4AF3A8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164BA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0.2487</w:t>
            </w:r>
          </w:p>
        </w:tc>
        <w:tc>
          <w:tcPr>
            <w:tcW w:w="1134" w:type="dxa"/>
            <w:tcBorders>
              <w:top w:val="nil"/>
              <w:left w:val="nil"/>
              <w:bottom w:val="nil"/>
              <w:right w:val="nil"/>
            </w:tcBorders>
            <w:shd w:val="clear" w:color="auto" w:fill="FFFFFF"/>
            <w:tcMar>
              <w:left w:w="67" w:type="dxa"/>
              <w:right w:w="67" w:type="dxa"/>
            </w:tcMar>
            <w:vAlign w:val="center"/>
          </w:tcPr>
          <w:p w14:paraId="605D98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0.1959</w:t>
            </w:r>
          </w:p>
        </w:tc>
        <w:tc>
          <w:tcPr>
            <w:tcW w:w="1134" w:type="dxa"/>
            <w:tcBorders>
              <w:top w:val="nil"/>
              <w:left w:val="nil"/>
              <w:bottom w:val="nil"/>
              <w:right w:val="nil"/>
            </w:tcBorders>
            <w:shd w:val="clear" w:color="auto" w:fill="FFFFFF"/>
            <w:tcMar>
              <w:left w:w="67" w:type="dxa"/>
              <w:right w:w="67" w:type="dxa"/>
            </w:tcMar>
            <w:vAlign w:val="center"/>
          </w:tcPr>
          <w:p w14:paraId="01AC0E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1.2823</w:t>
            </w:r>
          </w:p>
        </w:tc>
        <w:tc>
          <w:tcPr>
            <w:tcW w:w="1134" w:type="dxa"/>
            <w:tcBorders>
              <w:top w:val="nil"/>
              <w:left w:val="nil"/>
              <w:bottom w:val="nil"/>
              <w:right w:val="nil"/>
            </w:tcBorders>
            <w:shd w:val="clear" w:color="auto" w:fill="FFFFFF"/>
            <w:tcMar>
              <w:left w:w="67" w:type="dxa"/>
              <w:right w:w="67" w:type="dxa"/>
            </w:tcMar>
            <w:vAlign w:val="center"/>
          </w:tcPr>
          <w:p w14:paraId="40A579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0.8265</w:t>
            </w:r>
          </w:p>
        </w:tc>
        <w:tc>
          <w:tcPr>
            <w:tcW w:w="1134" w:type="dxa"/>
            <w:tcBorders>
              <w:top w:val="nil"/>
              <w:left w:val="nil"/>
              <w:bottom w:val="nil"/>
              <w:right w:val="nil"/>
            </w:tcBorders>
            <w:shd w:val="clear" w:color="auto" w:fill="FFFFFF"/>
            <w:tcMar>
              <w:left w:w="67" w:type="dxa"/>
              <w:right w:w="67" w:type="dxa"/>
            </w:tcMar>
            <w:vAlign w:val="center"/>
          </w:tcPr>
          <w:p w14:paraId="273001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1.9894</w:t>
            </w:r>
          </w:p>
        </w:tc>
        <w:tc>
          <w:tcPr>
            <w:tcW w:w="1134" w:type="dxa"/>
            <w:tcBorders>
              <w:top w:val="nil"/>
              <w:left w:val="nil"/>
              <w:bottom w:val="nil"/>
              <w:right w:val="nil"/>
            </w:tcBorders>
            <w:shd w:val="clear" w:color="auto" w:fill="FFFFFF"/>
            <w:tcMar>
              <w:left w:w="67" w:type="dxa"/>
              <w:right w:w="67" w:type="dxa"/>
            </w:tcMar>
            <w:vAlign w:val="center"/>
          </w:tcPr>
          <w:p w14:paraId="77BFE13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30CDB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51606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CBCDB4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4059F2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6B89C2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4B41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0.0993</w:t>
            </w:r>
          </w:p>
        </w:tc>
        <w:tc>
          <w:tcPr>
            <w:tcW w:w="1134" w:type="dxa"/>
            <w:tcBorders>
              <w:top w:val="nil"/>
              <w:left w:val="nil"/>
              <w:bottom w:val="nil"/>
              <w:right w:val="nil"/>
            </w:tcBorders>
            <w:shd w:val="clear" w:color="auto" w:fill="FFFFFF"/>
            <w:tcMar>
              <w:left w:w="67" w:type="dxa"/>
              <w:right w:w="67" w:type="dxa"/>
            </w:tcMar>
            <w:vAlign w:val="center"/>
          </w:tcPr>
          <w:p w14:paraId="292F34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0.2628</w:t>
            </w:r>
          </w:p>
        </w:tc>
        <w:tc>
          <w:tcPr>
            <w:tcW w:w="1134" w:type="dxa"/>
            <w:tcBorders>
              <w:top w:val="nil"/>
              <w:left w:val="nil"/>
              <w:bottom w:val="nil"/>
              <w:right w:val="nil"/>
            </w:tcBorders>
            <w:shd w:val="clear" w:color="auto" w:fill="FFFFFF"/>
            <w:tcMar>
              <w:left w:w="67" w:type="dxa"/>
              <w:right w:w="67" w:type="dxa"/>
            </w:tcMar>
            <w:vAlign w:val="center"/>
          </w:tcPr>
          <w:p w14:paraId="130823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1.1045</w:t>
            </w:r>
          </w:p>
        </w:tc>
        <w:tc>
          <w:tcPr>
            <w:tcW w:w="1134" w:type="dxa"/>
            <w:tcBorders>
              <w:top w:val="nil"/>
              <w:left w:val="nil"/>
              <w:bottom w:val="nil"/>
              <w:right w:val="nil"/>
            </w:tcBorders>
            <w:shd w:val="clear" w:color="auto" w:fill="FFFFFF"/>
            <w:tcMar>
              <w:left w:w="67" w:type="dxa"/>
              <w:right w:w="67" w:type="dxa"/>
            </w:tcMar>
            <w:vAlign w:val="center"/>
          </w:tcPr>
          <w:p w14:paraId="3A4075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0.6128</w:t>
            </w:r>
          </w:p>
        </w:tc>
        <w:tc>
          <w:tcPr>
            <w:tcW w:w="1134" w:type="dxa"/>
            <w:tcBorders>
              <w:top w:val="nil"/>
              <w:left w:val="nil"/>
              <w:bottom w:val="nil"/>
              <w:right w:val="nil"/>
            </w:tcBorders>
            <w:shd w:val="clear" w:color="auto" w:fill="FFFFFF"/>
            <w:tcMar>
              <w:left w:w="67" w:type="dxa"/>
              <w:right w:w="67" w:type="dxa"/>
            </w:tcMar>
            <w:vAlign w:val="center"/>
          </w:tcPr>
          <w:p w14:paraId="55F438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1.9905</w:t>
            </w:r>
          </w:p>
        </w:tc>
        <w:tc>
          <w:tcPr>
            <w:tcW w:w="1134" w:type="dxa"/>
            <w:tcBorders>
              <w:top w:val="nil"/>
              <w:left w:val="nil"/>
              <w:bottom w:val="nil"/>
              <w:right w:val="nil"/>
            </w:tcBorders>
            <w:shd w:val="clear" w:color="auto" w:fill="FFFFFF"/>
            <w:tcMar>
              <w:left w:w="67" w:type="dxa"/>
              <w:right w:w="67" w:type="dxa"/>
            </w:tcMar>
            <w:vAlign w:val="center"/>
          </w:tcPr>
          <w:p w14:paraId="1521B5D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94A1CA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3AE05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4D8E1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35B1D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AF4B75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2B22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0.3077</w:t>
            </w:r>
          </w:p>
        </w:tc>
        <w:tc>
          <w:tcPr>
            <w:tcW w:w="1134" w:type="dxa"/>
            <w:tcBorders>
              <w:top w:val="nil"/>
              <w:left w:val="nil"/>
              <w:bottom w:val="nil"/>
              <w:right w:val="nil"/>
            </w:tcBorders>
            <w:shd w:val="clear" w:color="auto" w:fill="FFFFFF"/>
            <w:tcMar>
              <w:left w:w="67" w:type="dxa"/>
              <w:right w:w="67" w:type="dxa"/>
            </w:tcMar>
            <w:vAlign w:val="center"/>
          </w:tcPr>
          <w:p w14:paraId="56E9D9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0.2716</w:t>
            </w:r>
          </w:p>
        </w:tc>
        <w:tc>
          <w:tcPr>
            <w:tcW w:w="1134" w:type="dxa"/>
            <w:tcBorders>
              <w:top w:val="nil"/>
              <w:left w:val="nil"/>
              <w:bottom w:val="nil"/>
              <w:right w:val="nil"/>
            </w:tcBorders>
            <w:shd w:val="clear" w:color="auto" w:fill="FFFFFF"/>
            <w:tcMar>
              <w:left w:w="67" w:type="dxa"/>
              <w:right w:w="67" w:type="dxa"/>
            </w:tcMar>
            <w:vAlign w:val="center"/>
          </w:tcPr>
          <w:p w14:paraId="6457D5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1.3603</w:t>
            </w:r>
          </w:p>
        </w:tc>
        <w:tc>
          <w:tcPr>
            <w:tcW w:w="1134" w:type="dxa"/>
            <w:tcBorders>
              <w:top w:val="nil"/>
              <w:left w:val="nil"/>
              <w:bottom w:val="nil"/>
              <w:right w:val="nil"/>
            </w:tcBorders>
            <w:shd w:val="clear" w:color="auto" w:fill="FFFFFF"/>
            <w:tcMar>
              <w:left w:w="67" w:type="dxa"/>
              <w:right w:w="67" w:type="dxa"/>
            </w:tcMar>
            <w:vAlign w:val="center"/>
          </w:tcPr>
          <w:p w14:paraId="18A9E7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0.7400</w:t>
            </w:r>
          </w:p>
        </w:tc>
        <w:tc>
          <w:tcPr>
            <w:tcW w:w="1134" w:type="dxa"/>
            <w:tcBorders>
              <w:top w:val="nil"/>
              <w:left w:val="nil"/>
              <w:bottom w:val="nil"/>
              <w:right w:val="nil"/>
            </w:tcBorders>
            <w:shd w:val="clear" w:color="auto" w:fill="FFFFFF"/>
            <w:tcMar>
              <w:left w:w="67" w:type="dxa"/>
              <w:right w:w="67" w:type="dxa"/>
            </w:tcMar>
            <w:vAlign w:val="center"/>
          </w:tcPr>
          <w:p w14:paraId="4929F8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2.5008</w:t>
            </w:r>
          </w:p>
        </w:tc>
        <w:tc>
          <w:tcPr>
            <w:tcW w:w="1134" w:type="dxa"/>
            <w:tcBorders>
              <w:top w:val="nil"/>
              <w:left w:val="nil"/>
              <w:bottom w:val="nil"/>
              <w:right w:val="nil"/>
            </w:tcBorders>
            <w:shd w:val="clear" w:color="auto" w:fill="FFFFFF"/>
            <w:tcMar>
              <w:left w:w="67" w:type="dxa"/>
              <w:right w:w="67" w:type="dxa"/>
            </w:tcMar>
            <w:vAlign w:val="center"/>
          </w:tcPr>
          <w:p w14:paraId="6A34A42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89B68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2BE4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CB23B3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5C40C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2F00E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34308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-0.2724</w:t>
            </w:r>
          </w:p>
        </w:tc>
        <w:tc>
          <w:tcPr>
            <w:tcW w:w="1134" w:type="dxa"/>
            <w:tcBorders>
              <w:top w:val="nil"/>
              <w:left w:val="nil"/>
              <w:bottom w:val="nil"/>
              <w:right w:val="nil"/>
            </w:tcBorders>
            <w:shd w:val="clear" w:color="auto" w:fill="FFFFFF"/>
            <w:tcMar>
              <w:left w:w="67" w:type="dxa"/>
              <w:right w:w="67" w:type="dxa"/>
            </w:tcMar>
            <w:vAlign w:val="center"/>
          </w:tcPr>
          <w:p w14:paraId="4DA4E5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0.2979</w:t>
            </w:r>
          </w:p>
        </w:tc>
        <w:tc>
          <w:tcPr>
            <w:tcW w:w="1134" w:type="dxa"/>
            <w:tcBorders>
              <w:top w:val="nil"/>
              <w:left w:val="nil"/>
              <w:bottom w:val="nil"/>
              <w:right w:val="nil"/>
            </w:tcBorders>
            <w:shd w:val="clear" w:color="auto" w:fill="FFFFFF"/>
            <w:tcMar>
              <w:left w:w="67" w:type="dxa"/>
              <w:right w:w="67" w:type="dxa"/>
            </w:tcMar>
            <w:vAlign w:val="center"/>
          </w:tcPr>
          <w:p w14:paraId="4A071F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0.7615</w:t>
            </w:r>
          </w:p>
        </w:tc>
        <w:tc>
          <w:tcPr>
            <w:tcW w:w="1134" w:type="dxa"/>
            <w:tcBorders>
              <w:top w:val="nil"/>
              <w:left w:val="nil"/>
              <w:bottom w:val="nil"/>
              <w:right w:val="nil"/>
            </w:tcBorders>
            <w:shd w:val="clear" w:color="auto" w:fill="FFFFFF"/>
            <w:tcMar>
              <w:left w:w="67" w:type="dxa"/>
              <w:right w:w="67" w:type="dxa"/>
            </w:tcMar>
            <w:vAlign w:val="center"/>
          </w:tcPr>
          <w:p w14:paraId="0E43C9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0.3905</w:t>
            </w:r>
          </w:p>
        </w:tc>
        <w:tc>
          <w:tcPr>
            <w:tcW w:w="1134" w:type="dxa"/>
            <w:tcBorders>
              <w:top w:val="nil"/>
              <w:left w:val="nil"/>
              <w:bottom w:val="nil"/>
              <w:right w:val="nil"/>
            </w:tcBorders>
            <w:shd w:val="clear" w:color="auto" w:fill="FFFFFF"/>
            <w:tcMar>
              <w:left w:w="67" w:type="dxa"/>
              <w:right w:w="67" w:type="dxa"/>
            </w:tcMar>
            <w:vAlign w:val="center"/>
          </w:tcPr>
          <w:p w14:paraId="599ED0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1.4851</w:t>
            </w:r>
          </w:p>
        </w:tc>
        <w:tc>
          <w:tcPr>
            <w:tcW w:w="1134" w:type="dxa"/>
            <w:tcBorders>
              <w:top w:val="nil"/>
              <w:left w:val="nil"/>
              <w:bottom w:val="nil"/>
              <w:right w:val="nil"/>
            </w:tcBorders>
            <w:shd w:val="clear" w:color="auto" w:fill="FFFFFF"/>
            <w:tcMar>
              <w:left w:w="67" w:type="dxa"/>
              <w:right w:w="67" w:type="dxa"/>
            </w:tcMar>
            <w:vAlign w:val="center"/>
          </w:tcPr>
          <w:p w14:paraId="3CA7B50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D9044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8868BE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40B16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C978BF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CE0954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ECAF6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-0.4555</w:t>
            </w:r>
          </w:p>
        </w:tc>
        <w:tc>
          <w:tcPr>
            <w:tcW w:w="1134" w:type="dxa"/>
            <w:tcBorders>
              <w:top w:val="nil"/>
              <w:left w:val="nil"/>
              <w:bottom w:val="nil"/>
              <w:right w:val="nil"/>
            </w:tcBorders>
            <w:shd w:val="clear" w:color="auto" w:fill="FFFFFF"/>
            <w:tcMar>
              <w:left w:w="67" w:type="dxa"/>
              <w:right w:w="67" w:type="dxa"/>
            </w:tcMar>
            <w:vAlign w:val="center"/>
          </w:tcPr>
          <w:p w14:paraId="4B67C0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0.2531</w:t>
            </w:r>
          </w:p>
        </w:tc>
        <w:tc>
          <w:tcPr>
            <w:tcW w:w="1134" w:type="dxa"/>
            <w:tcBorders>
              <w:top w:val="nil"/>
              <w:left w:val="nil"/>
              <w:bottom w:val="nil"/>
              <w:right w:val="nil"/>
            </w:tcBorders>
            <w:shd w:val="clear" w:color="auto" w:fill="FFFFFF"/>
            <w:tcMar>
              <w:left w:w="67" w:type="dxa"/>
              <w:right w:w="67" w:type="dxa"/>
            </w:tcMar>
            <w:vAlign w:val="center"/>
          </w:tcPr>
          <w:p w14:paraId="66507E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0.6341</w:t>
            </w:r>
          </w:p>
        </w:tc>
        <w:tc>
          <w:tcPr>
            <w:tcW w:w="1134" w:type="dxa"/>
            <w:tcBorders>
              <w:top w:val="nil"/>
              <w:left w:val="nil"/>
              <w:bottom w:val="nil"/>
              <w:right w:val="nil"/>
            </w:tcBorders>
            <w:shd w:val="clear" w:color="auto" w:fill="FFFFFF"/>
            <w:tcMar>
              <w:left w:w="67" w:type="dxa"/>
              <w:right w:w="67" w:type="dxa"/>
            </w:tcMar>
            <w:vAlign w:val="center"/>
          </w:tcPr>
          <w:p w14:paraId="392182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0.3596</w:t>
            </w:r>
          </w:p>
        </w:tc>
        <w:tc>
          <w:tcPr>
            <w:tcW w:w="1134" w:type="dxa"/>
            <w:tcBorders>
              <w:top w:val="nil"/>
              <w:left w:val="nil"/>
              <w:bottom w:val="nil"/>
              <w:right w:val="nil"/>
            </w:tcBorders>
            <w:shd w:val="clear" w:color="auto" w:fill="FFFFFF"/>
            <w:tcMar>
              <w:left w:w="67" w:type="dxa"/>
              <w:right w:w="67" w:type="dxa"/>
            </w:tcMar>
            <w:vAlign w:val="center"/>
          </w:tcPr>
          <w:p w14:paraId="5585B7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1.1184</w:t>
            </w:r>
          </w:p>
        </w:tc>
        <w:tc>
          <w:tcPr>
            <w:tcW w:w="1134" w:type="dxa"/>
            <w:tcBorders>
              <w:top w:val="nil"/>
              <w:left w:val="nil"/>
              <w:bottom w:val="nil"/>
              <w:right w:val="nil"/>
            </w:tcBorders>
            <w:shd w:val="clear" w:color="auto" w:fill="FFFFFF"/>
            <w:tcMar>
              <w:left w:w="67" w:type="dxa"/>
              <w:right w:w="67" w:type="dxa"/>
            </w:tcMar>
            <w:vAlign w:val="center"/>
          </w:tcPr>
          <w:p w14:paraId="05D7169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78A691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3EF313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822C16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EE17CE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B81794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1160D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-0.0798</w:t>
            </w:r>
          </w:p>
        </w:tc>
        <w:tc>
          <w:tcPr>
            <w:tcW w:w="1134" w:type="dxa"/>
            <w:tcBorders>
              <w:top w:val="nil"/>
              <w:left w:val="nil"/>
              <w:bottom w:val="nil"/>
              <w:right w:val="nil"/>
            </w:tcBorders>
            <w:shd w:val="clear" w:color="auto" w:fill="FFFFFF"/>
            <w:tcMar>
              <w:left w:w="67" w:type="dxa"/>
              <w:right w:w="67" w:type="dxa"/>
            </w:tcMar>
            <w:vAlign w:val="center"/>
          </w:tcPr>
          <w:p w14:paraId="160A31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0.2856</w:t>
            </w:r>
          </w:p>
        </w:tc>
        <w:tc>
          <w:tcPr>
            <w:tcW w:w="1134" w:type="dxa"/>
            <w:tcBorders>
              <w:top w:val="nil"/>
              <w:left w:val="nil"/>
              <w:bottom w:val="nil"/>
              <w:right w:val="nil"/>
            </w:tcBorders>
            <w:shd w:val="clear" w:color="auto" w:fill="FFFFFF"/>
            <w:tcMar>
              <w:left w:w="67" w:type="dxa"/>
              <w:right w:w="67" w:type="dxa"/>
            </w:tcMar>
            <w:vAlign w:val="center"/>
          </w:tcPr>
          <w:p w14:paraId="2014EB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0.9233</w:t>
            </w:r>
          </w:p>
        </w:tc>
        <w:tc>
          <w:tcPr>
            <w:tcW w:w="1134" w:type="dxa"/>
            <w:tcBorders>
              <w:top w:val="nil"/>
              <w:left w:val="nil"/>
              <w:bottom w:val="nil"/>
              <w:right w:val="nil"/>
            </w:tcBorders>
            <w:shd w:val="clear" w:color="auto" w:fill="FFFFFF"/>
            <w:tcMar>
              <w:left w:w="67" w:type="dxa"/>
              <w:right w:w="67" w:type="dxa"/>
            </w:tcMar>
            <w:vAlign w:val="center"/>
          </w:tcPr>
          <w:p w14:paraId="5DAA76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0.4867</w:t>
            </w:r>
          </w:p>
        </w:tc>
        <w:tc>
          <w:tcPr>
            <w:tcW w:w="1134" w:type="dxa"/>
            <w:tcBorders>
              <w:top w:val="nil"/>
              <w:left w:val="nil"/>
              <w:bottom w:val="nil"/>
              <w:right w:val="nil"/>
            </w:tcBorders>
            <w:shd w:val="clear" w:color="auto" w:fill="FFFFFF"/>
            <w:tcMar>
              <w:left w:w="67" w:type="dxa"/>
              <w:right w:w="67" w:type="dxa"/>
            </w:tcMar>
            <w:vAlign w:val="center"/>
          </w:tcPr>
          <w:p w14:paraId="6F95A8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1.7514</w:t>
            </w:r>
          </w:p>
        </w:tc>
        <w:tc>
          <w:tcPr>
            <w:tcW w:w="1134" w:type="dxa"/>
            <w:tcBorders>
              <w:top w:val="nil"/>
              <w:left w:val="nil"/>
              <w:bottom w:val="nil"/>
              <w:right w:val="nil"/>
            </w:tcBorders>
            <w:shd w:val="clear" w:color="auto" w:fill="FFFFFF"/>
            <w:tcMar>
              <w:left w:w="67" w:type="dxa"/>
              <w:right w:w="67" w:type="dxa"/>
            </w:tcMar>
            <w:vAlign w:val="center"/>
          </w:tcPr>
          <w:p w14:paraId="5B5DB37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4BB096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64126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8D3A86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633B6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EBB3B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A5A5B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0.0724</w:t>
            </w:r>
          </w:p>
        </w:tc>
        <w:tc>
          <w:tcPr>
            <w:tcW w:w="1134" w:type="dxa"/>
            <w:tcBorders>
              <w:top w:val="nil"/>
              <w:left w:val="nil"/>
              <w:bottom w:val="nil"/>
              <w:right w:val="nil"/>
            </w:tcBorders>
            <w:shd w:val="clear" w:color="auto" w:fill="FFFFFF"/>
            <w:tcMar>
              <w:left w:w="67" w:type="dxa"/>
              <w:right w:w="67" w:type="dxa"/>
            </w:tcMar>
            <w:vAlign w:val="center"/>
          </w:tcPr>
          <w:p w14:paraId="177CFB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0.2509</w:t>
            </w:r>
          </w:p>
        </w:tc>
        <w:tc>
          <w:tcPr>
            <w:tcW w:w="1134" w:type="dxa"/>
            <w:tcBorders>
              <w:top w:val="nil"/>
              <w:left w:val="nil"/>
              <w:bottom w:val="nil"/>
              <w:right w:val="nil"/>
            </w:tcBorders>
            <w:shd w:val="clear" w:color="auto" w:fill="FFFFFF"/>
            <w:tcMar>
              <w:left w:w="67" w:type="dxa"/>
              <w:right w:w="67" w:type="dxa"/>
            </w:tcMar>
            <w:vAlign w:val="center"/>
          </w:tcPr>
          <w:p w14:paraId="30CE37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1.0751</w:t>
            </w:r>
          </w:p>
        </w:tc>
        <w:tc>
          <w:tcPr>
            <w:tcW w:w="1134" w:type="dxa"/>
            <w:tcBorders>
              <w:top w:val="nil"/>
              <w:left w:val="nil"/>
              <w:bottom w:val="nil"/>
              <w:right w:val="nil"/>
            </w:tcBorders>
            <w:shd w:val="clear" w:color="auto" w:fill="FFFFFF"/>
            <w:tcMar>
              <w:left w:w="67" w:type="dxa"/>
              <w:right w:w="67" w:type="dxa"/>
            </w:tcMar>
            <w:vAlign w:val="center"/>
          </w:tcPr>
          <w:p w14:paraId="722AF5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0.6126</w:t>
            </w:r>
          </w:p>
        </w:tc>
        <w:tc>
          <w:tcPr>
            <w:tcW w:w="1134" w:type="dxa"/>
            <w:tcBorders>
              <w:top w:val="nil"/>
              <w:left w:val="nil"/>
              <w:bottom w:val="nil"/>
              <w:right w:val="nil"/>
            </w:tcBorders>
            <w:shd w:val="clear" w:color="auto" w:fill="FFFFFF"/>
            <w:tcMar>
              <w:left w:w="67" w:type="dxa"/>
              <w:right w:w="67" w:type="dxa"/>
            </w:tcMar>
            <w:vAlign w:val="center"/>
          </w:tcPr>
          <w:p w14:paraId="750AF3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1.8868</w:t>
            </w:r>
          </w:p>
        </w:tc>
        <w:tc>
          <w:tcPr>
            <w:tcW w:w="1134" w:type="dxa"/>
            <w:tcBorders>
              <w:top w:val="nil"/>
              <w:left w:val="nil"/>
              <w:bottom w:val="nil"/>
              <w:right w:val="nil"/>
            </w:tcBorders>
            <w:shd w:val="clear" w:color="auto" w:fill="FFFFFF"/>
            <w:tcMar>
              <w:left w:w="67" w:type="dxa"/>
              <w:right w:w="67" w:type="dxa"/>
            </w:tcMar>
            <w:vAlign w:val="center"/>
          </w:tcPr>
          <w:p w14:paraId="402BF00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0A432D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63FCE2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034372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AF1084F"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7BD886B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CB496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0.0708</w:t>
            </w:r>
          </w:p>
        </w:tc>
        <w:tc>
          <w:tcPr>
            <w:tcW w:w="1134" w:type="dxa"/>
            <w:tcBorders>
              <w:top w:val="nil"/>
              <w:left w:val="nil"/>
              <w:bottom w:val="nil"/>
              <w:right w:val="nil"/>
            </w:tcBorders>
            <w:shd w:val="clear" w:color="auto" w:fill="FFFFFF"/>
            <w:tcMar>
              <w:left w:w="67" w:type="dxa"/>
              <w:right w:w="67" w:type="dxa"/>
            </w:tcMar>
            <w:vAlign w:val="center"/>
          </w:tcPr>
          <w:p w14:paraId="7701C1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0.0151</w:t>
            </w:r>
          </w:p>
        </w:tc>
        <w:tc>
          <w:tcPr>
            <w:tcW w:w="1134" w:type="dxa"/>
            <w:tcBorders>
              <w:top w:val="nil"/>
              <w:left w:val="nil"/>
              <w:bottom w:val="nil"/>
              <w:right w:val="nil"/>
            </w:tcBorders>
            <w:shd w:val="clear" w:color="auto" w:fill="FFFFFF"/>
            <w:tcMar>
              <w:left w:w="67" w:type="dxa"/>
              <w:right w:w="67" w:type="dxa"/>
            </w:tcMar>
            <w:vAlign w:val="center"/>
          </w:tcPr>
          <w:p w14:paraId="195F76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1.0734</w:t>
            </w:r>
          </w:p>
        </w:tc>
        <w:tc>
          <w:tcPr>
            <w:tcW w:w="1134" w:type="dxa"/>
            <w:tcBorders>
              <w:top w:val="nil"/>
              <w:left w:val="nil"/>
              <w:bottom w:val="nil"/>
              <w:right w:val="nil"/>
            </w:tcBorders>
            <w:shd w:val="clear" w:color="auto" w:fill="FFFFFF"/>
            <w:tcMar>
              <w:left w:w="67" w:type="dxa"/>
              <w:right w:w="67" w:type="dxa"/>
            </w:tcMar>
            <w:vAlign w:val="center"/>
          </w:tcPr>
          <w:p w14:paraId="7E4023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1.0376</w:t>
            </w:r>
          </w:p>
        </w:tc>
        <w:tc>
          <w:tcPr>
            <w:tcW w:w="1134" w:type="dxa"/>
            <w:tcBorders>
              <w:top w:val="nil"/>
              <w:left w:val="nil"/>
              <w:bottom w:val="nil"/>
              <w:right w:val="nil"/>
            </w:tcBorders>
            <w:shd w:val="clear" w:color="auto" w:fill="FFFFFF"/>
            <w:tcMar>
              <w:left w:w="67" w:type="dxa"/>
              <w:right w:w="67" w:type="dxa"/>
            </w:tcMar>
            <w:vAlign w:val="center"/>
          </w:tcPr>
          <w:p w14:paraId="7DA610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1.1104</w:t>
            </w:r>
          </w:p>
        </w:tc>
        <w:tc>
          <w:tcPr>
            <w:tcW w:w="1134" w:type="dxa"/>
            <w:tcBorders>
              <w:top w:val="nil"/>
              <w:left w:val="nil"/>
              <w:bottom w:val="nil"/>
              <w:right w:val="nil"/>
            </w:tcBorders>
            <w:shd w:val="clear" w:color="auto" w:fill="FFFFFF"/>
            <w:tcMar>
              <w:left w:w="67" w:type="dxa"/>
              <w:right w:w="67" w:type="dxa"/>
            </w:tcMar>
            <w:vAlign w:val="center"/>
          </w:tcPr>
          <w:p w14:paraId="66DE3C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21.96</w:t>
            </w:r>
          </w:p>
        </w:tc>
        <w:tc>
          <w:tcPr>
            <w:tcW w:w="567" w:type="dxa"/>
            <w:tcBorders>
              <w:top w:val="nil"/>
              <w:left w:val="nil"/>
              <w:bottom w:val="nil"/>
              <w:right w:val="nil"/>
            </w:tcBorders>
            <w:shd w:val="clear" w:color="auto" w:fill="FFFFFF"/>
            <w:tcMar>
              <w:left w:w="67" w:type="dxa"/>
              <w:right w:w="67" w:type="dxa"/>
            </w:tcMar>
            <w:vAlign w:val="center"/>
          </w:tcPr>
          <w:p w14:paraId="76D2E3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64E1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44FA2AC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3558F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2FA2EE9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8A828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-0.0133</w:t>
            </w:r>
          </w:p>
        </w:tc>
        <w:tc>
          <w:tcPr>
            <w:tcW w:w="1134" w:type="dxa"/>
            <w:tcBorders>
              <w:top w:val="nil"/>
              <w:left w:val="nil"/>
              <w:bottom w:val="nil"/>
              <w:right w:val="nil"/>
            </w:tcBorders>
            <w:shd w:val="clear" w:color="auto" w:fill="FFFFFF"/>
            <w:tcMar>
              <w:left w:w="67" w:type="dxa"/>
              <w:right w:w="67" w:type="dxa"/>
            </w:tcMar>
            <w:vAlign w:val="center"/>
          </w:tcPr>
          <w:p w14:paraId="06272D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0.0093</w:t>
            </w:r>
          </w:p>
        </w:tc>
        <w:tc>
          <w:tcPr>
            <w:tcW w:w="1134" w:type="dxa"/>
            <w:tcBorders>
              <w:top w:val="nil"/>
              <w:left w:val="nil"/>
              <w:bottom w:val="nil"/>
              <w:right w:val="nil"/>
            </w:tcBorders>
            <w:shd w:val="clear" w:color="auto" w:fill="FFFFFF"/>
            <w:tcMar>
              <w:left w:w="67" w:type="dxa"/>
              <w:right w:w="67" w:type="dxa"/>
            </w:tcMar>
            <w:vAlign w:val="center"/>
          </w:tcPr>
          <w:p w14:paraId="281C1B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0.9868</w:t>
            </w:r>
          </w:p>
        </w:tc>
        <w:tc>
          <w:tcPr>
            <w:tcW w:w="1134" w:type="dxa"/>
            <w:tcBorders>
              <w:top w:val="nil"/>
              <w:left w:val="nil"/>
              <w:bottom w:val="nil"/>
              <w:right w:val="nil"/>
            </w:tcBorders>
            <w:shd w:val="clear" w:color="auto" w:fill="FFFFFF"/>
            <w:tcMar>
              <w:left w:w="67" w:type="dxa"/>
              <w:right w:w="67" w:type="dxa"/>
            </w:tcMar>
            <w:vAlign w:val="center"/>
          </w:tcPr>
          <w:p w14:paraId="594B66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0.9665</w:t>
            </w:r>
          </w:p>
        </w:tc>
        <w:tc>
          <w:tcPr>
            <w:tcW w:w="1134" w:type="dxa"/>
            <w:tcBorders>
              <w:top w:val="nil"/>
              <w:left w:val="nil"/>
              <w:bottom w:val="nil"/>
              <w:right w:val="nil"/>
            </w:tcBorders>
            <w:shd w:val="clear" w:color="auto" w:fill="FFFFFF"/>
            <w:tcMar>
              <w:left w:w="67" w:type="dxa"/>
              <w:right w:w="67" w:type="dxa"/>
            </w:tcMar>
            <w:vAlign w:val="center"/>
          </w:tcPr>
          <w:p w14:paraId="3C9A2F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1.0076</w:t>
            </w:r>
          </w:p>
        </w:tc>
        <w:tc>
          <w:tcPr>
            <w:tcW w:w="1134" w:type="dxa"/>
            <w:tcBorders>
              <w:top w:val="nil"/>
              <w:left w:val="nil"/>
              <w:bottom w:val="nil"/>
              <w:right w:val="nil"/>
            </w:tcBorders>
            <w:shd w:val="clear" w:color="auto" w:fill="FFFFFF"/>
            <w:tcMar>
              <w:left w:w="67" w:type="dxa"/>
              <w:right w:w="67" w:type="dxa"/>
            </w:tcMar>
            <w:vAlign w:val="center"/>
          </w:tcPr>
          <w:p w14:paraId="022D37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2.04</w:t>
            </w:r>
          </w:p>
        </w:tc>
        <w:tc>
          <w:tcPr>
            <w:tcW w:w="567" w:type="dxa"/>
            <w:tcBorders>
              <w:top w:val="nil"/>
              <w:left w:val="nil"/>
              <w:bottom w:val="nil"/>
              <w:right w:val="nil"/>
            </w:tcBorders>
            <w:shd w:val="clear" w:color="auto" w:fill="FFFFFF"/>
            <w:tcMar>
              <w:left w:w="67" w:type="dxa"/>
              <w:right w:w="67" w:type="dxa"/>
            </w:tcMar>
            <w:vAlign w:val="center"/>
          </w:tcPr>
          <w:p w14:paraId="1BA75C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9C15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0.1533</w:t>
            </w:r>
          </w:p>
        </w:tc>
      </w:tr>
      <w:tr w:rsidR="00B77EA3" w:rsidRPr="0082484A" w14:paraId="0DC5C2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C471224"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5D8FDBB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2ED30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06D9E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587763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1.0001</w:t>
            </w:r>
          </w:p>
        </w:tc>
        <w:tc>
          <w:tcPr>
            <w:tcW w:w="1134" w:type="dxa"/>
            <w:tcBorders>
              <w:top w:val="nil"/>
              <w:left w:val="nil"/>
              <w:bottom w:val="nil"/>
              <w:right w:val="nil"/>
            </w:tcBorders>
            <w:shd w:val="clear" w:color="auto" w:fill="FFFFFF"/>
            <w:tcMar>
              <w:left w:w="67" w:type="dxa"/>
              <w:right w:w="67" w:type="dxa"/>
            </w:tcMar>
            <w:vAlign w:val="center"/>
          </w:tcPr>
          <w:p w14:paraId="77210D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0.9941</w:t>
            </w:r>
          </w:p>
        </w:tc>
        <w:tc>
          <w:tcPr>
            <w:tcW w:w="1134" w:type="dxa"/>
            <w:tcBorders>
              <w:top w:val="nil"/>
              <w:left w:val="nil"/>
              <w:bottom w:val="nil"/>
              <w:right w:val="nil"/>
            </w:tcBorders>
            <w:shd w:val="clear" w:color="auto" w:fill="FFFFFF"/>
            <w:tcMar>
              <w:left w:w="67" w:type="dxa"/>
              <w:right w:w="67" w:type="dxa"/>
            </w:tcMar>
            <w:vAlign w:val="center"/>
          </w:tcPr>
          <w:p w14:paraId="4A0324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1.0061</w:t>
            </w:r>
          </w:p>
        </w:tc>
        <w:tc>
          <w:tcPr>
            <w:tcW w:w="1134" w:type="dxa"/>
            <w:tcBorders>
              <w:top w:val="nil"/>
              <w:left w:val="nil"/>
              <w:bottom w:val="nil"/>
              <w:right w:val="nil"/>
            </w:tcBorders>
            <w:shd w:val="clear" w:color="auto" w:fill="FFFFFF"/>
            <w:tcMar>
              <w:left w:w="67" w:type="dxa"/>
              <w:right w:w="67" w:type="dxa"/>
            </w:tcMar>
            <w:vAlign w:val="center"/>
          </w:tcPr>
          <w:p w14:paraId="758BFE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69D99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0D21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0.9792</w:t>
            </w:r>
          </w:p>
        </w:tc>
      </w:tr>
      <w:tr w:rsidR="00B77EA3" w:rsidRPr="0082484A" w14:paraId="633B97ED"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76D4E021"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FA75BD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27BC2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0EC9E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0.0830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07F88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1.0883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7ACA6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0.9036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574BF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ADBB2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96D2D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0C7799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0.3078</w:t>
            </w:r>
          </w:p>
        </w:tc>
      </w:tr>
    </w:tbl>
    <w:p w14:paraId="00405DBB" w14:textId="77777777" w:rsidR="00B77EA3" w:rsidRPr="0082484A" w:rsidRDefault="00B77EA3" w:rsidP="00B77EA3">
      <w:pPr>
        <w:adjustRightInd w:val="0"/>
        <w:spacing w:before="0" w:line="240" w:lineRule="auto"/>
        <w:contextualSpacing/>
        <w:rPr>
          <w:rFonts w:eastAsia="Calibri"/>
          <w:sz w:val="22"/>
          <w:szCs w:val="22"/>
        </w:rPr>
      </w:pPr>
      <w:r w:rsidRPr="0082484A">
        <w:rPr>
          <w:rFonts w:eastAsia="Calibri"/>
          <w:sz w:val="22"/>
          <w:szCs w:val="22"/>
          <w:vertAlign w:val="superscript"/>
        </w:rPr>
        <w:t>a</w:t>
      </w:r>
      <w:r w:rsidRPr="0082484A">
        <w:rPr>
          <w:rFonts w:eastAsia="Calibri"/>
          <w:sz w:val="22"/>
          <w:szCs w:val="22"/>
        </w:rPr>
        <w:t xml:space="preserve"> The proportion of patients achieving at least one of the following indicators: 1) prescribing a traditional oral NSAID or low-dose aspirin in patients with a history of peptic ulceration without co-prescription of gastro-protection; 2) prescribing a traditional oral NSAID in patients aged 75 years or over without co-prescription of gastro-protection; 3) prescribing of a traditional oral NSAID and aspirin in patients aged 65 years or over without co-prescription of gastro-protection; 4) prescribing of aspirin and clopidogrel in patients aged 65 years or over without co-prescription of gastro-protection; 5) prescribing of warfarin and a traditional oral NSAID; 6) prescribing of warfarin and low-dose aspirin or clopidogrel without co-prescription of gastro-protection.</w:t>
      </w:r>
    </w:p>
    <w:p w14:paraId="4058815C"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achieving the gastro-intestinal risk composite indicator is 65</w:t>
      </w:r>
    </w:p>
    <w:p w14:paraId="1E6789A1" w14:textId="77777777" w:rsidR="00B77EA3" w:rsidRPr="0082484A" w:rsidRDefault="00B77EA3" w:rsidP="00B77EA3">
      <w:pPr>
        <w:adjustRightInd w:val="0"/>
        <w:spacing w:before="0" w:line="240" w:lineRule="auto"/>
        <w:contextualSpacing/>
        <w:rPr>
          <w:sz w:val="22"/>
          <w:szCs w:val="22"/>
        </w:rPr>
      </w:pPr>
      <w:r w:rsidRPr="0082484A">
        <w:rPr>
          <w:rFonts w:eastAsia="Calibri"/>
          <w:sz w:val="22"/>
          <w:szCs w:val="22"/>
        </w:rPr>
        <w:br/>
      </w:r>
    </w:p>
    <w:p w14:paraId="0517BA3C" w14:textId="77777777" w:rsidR="00B77EA3" w:rsidRPr="0082484A" w:rsidRDefault="00B77EA3" w:rsidP="00B77EA3">
      <w:pPr>
        <w:spacing w:before="0" w:after="160" w:line="259" w:lineRule="auto"/>
        <w:rPr>
          <w:sz w:val="22"/>
          <w:szCs w:val="22"/>
        </w:rPr>
      </w:pPr>
      <w:r w:rsidRPr="0082484A">
        <w:rPr>
          <w:sz w:val="22"/>
          <w:szCs w:val="22"/>
        </w:rPr>
        <w:br w:type="page"/>
      </w:r>
    </w:p>
    <w:p w14:paraId="7A5053FA" w14:textId="5F414712" w:rsidR="00B77EA3" w:rsidRPr="0082484A" w:rsidRDefault="00B77EA3" w:rsidP="00B77EA3">
      <w:pPr>
        <w:spacing w:before="0" w:line="240" w:lineRule="auto"/>
        <w:rPr>
          <w:bCs/>
          <w:sz w:val="22"/>
          <w:szCs w:val="22"/>
        </w:rPr>
      </w:pPr>
      <w:bookmarkStart w:id="140" w:name="_Ref502917972"/>
      <w:bookmarkStart w:id="141" w:name="_Toc8728111"/>
      <w:bookmarkStart w:id="142" w:name="_Toc19526766"/>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37</w:t>
      </w:r>
      <w:r w:rsidRPr="0082484A">
        <w:rPr>
          <w:bCs/>
          <w:noProof/>
          <w:sz w:val="22"/>
          <w:szCs w:val="22"/>
        </w:rPr>
        <w:fldChar w:fldCharType="end"/>
      </w:r>
      <w:bookmarkEnd w:id="140"/>
      <w:r w:rsidRPr="0082484A">
        <w:rPr>
          <w:bCs/>
          <w:sz w:val="22"/>
          <w:szCs w:val="22"/>
        </w:rPr>
        <w:t>: Secondary outcome for Trial 1: Renal risk composite (combination of two risky prescribing indicators concerning potential renal risk)</w:t>
      </w:r>
      <w:r w:rsidRPr="0082484A">
        <w:rPr>
          <w:sz w:val="22"/>
          <w:szCs w:val="22"/>
          <w:vertAlign w:val="superscript"/>
        </w:rPr>
        <w:t>a</w:t>
      </w:r>
      <w:r w:rsidRPr="0082484A">
        <w:rPr>
          <w:bCs/>
          <w:sz w:val="22"/>
          <w:szCs w:val="22"/>
        </w:rPr>
        <w:t xml:space="preserve"> (WP4A)</w:t>
      </w:r>
      <w:bookmarkEnd w:id="141"/>
      <w:bookmarkEnd w:id="142"/>
    </w:p>
    <w:tbl>
      <w:tblPr>
        <w:tblW w:w="15309"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1134"/>
        <w:gridCol w:w="567"/>
        <w:gridCol w:w="1134"/>
      </w:tblGrid>
      <w:tr w:rsidR="00B77EA3" w:rsidRPr="0082484A" w14:paraId="69C7865D"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6B2A942" w14:textId="77777777" w:rsidR="00B77EA3" w:rsidRPr="0082484A" w:rsidRDefault="00B77EA3" w:rsidP="00B77EA3">
            <w:pPr>
              <w:spacing w:before="0" w:line="240" w:lineRule="auto"/>
              <w:contextualSpacing/>
              <w:rPr>
                <w:bCs/>
                <w:sz w:val="22"/>
                <w:szCs w:val="22"/>
              </w:rPr>
            </w:pPr>
            <w:bookmarkStart w:id="143" w:name="IDX235"/>
            <w:bookmarkEnd w:id="143"/>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F144A87"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7BF922" w14:textId="77777777" w:rsidR="00B77EA3" w:rsidRPr="0082484A" w:rsidRDefault="00B77EA3" w:rsidP="00B77EA3">
            <w:pPr>
              <w:spacing w:before="0" w:line="240" w:lineRule="auto"/>
              <w:contextualSpacing/>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71149E5" w14:textId="77777777" w:rsidR="00B77EA3" w:rsidRPr="0082484A" w:rsidRDefault="00B77EA3" w:rsidP="00B77EA3">
            <w:pPr>
              <w:spacing w:before="0" w:line="240" w:lineRule="auto"/>
              <w:contextualSpacing/>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D4CA70B" w14:textId="77777777" w:rsidR="00B77EA3" w:rsidRPr="0082484A" w:rsidRDefault="00B77EA3" w:rsidP="00B77EA3">
            <w:pPr>
              <w:spacing w:before="0" w:line="240" w:lineRule="auto"/>
              <w:contextualSpacing/>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0B10419" w14:textId="77777777" w:rsidR="00B77EA3" w:rsidRPr="0082484A" w:rsidRDefault="00B77EA3" w:rsidP="00B77EA3">
            <w:pPr>
              <w:spacing w:before="0" w:line="240" w:lineRule="auto"/>
              <w:contextualSpacing/>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1F70847" w14:textId="77777777" w:rsidR="00B77EA3" w:rsidRPr="0082484A" w:rsidRDefault="00B77EA3" w:rsidP="00B77EA3">
            <w:pPr>
              <w:spacing w:before="0" w:line="240" w:lineRule="auto"/>
              <w:contextualSpacing/>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05536C" w14:textId="77777777" w:rsidR="00B77EA3" w:rsidRPr="0082484A" w:rsidRDefault="00B77EA3" w:rsidP="00B77EA3">
            <w:pPr>
              <w:spacing w:before="0" w:line="240" w:lineRule="auto"/>
              <w:contextualSpacing/>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5E48F4" w14:textId="77777777" w:rsidR="00B77EA3" w:rsidRPr="0082484A" w:rsidRDefault="00B77EA3" w:rsidP="00B77EA3">
            <w:pPr>
              <w:spacing w:before="0" w:line="240" w:lineRule="auto"/>
              <w:contextualSpacing/>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C216FB7" w14:textId="77777777" w:rsidR="00B77EA3" w:rsidRPr="0082484A" w:rsidRDefault="00B77EA3" w:rsidP="00B77EA3">
            <w:pPr>
              <w:spacing w:before="0" w:line="240" w:lineRule="auto"/>
              <w:contextualSpacing/>
              <w:jc w:val="center"/>
              <w:rPr>
                <w:bCs/>
                <w:sz w:val="22"/>
                <w:szCs w:val="22"/>
              </w:rPr>
            </w:pPr>
            <w:r w:rsidRPr="0082484A">
              <w:rPr>
                <w:bCs/>
                <w:sz w:val="22"/>
                <w:szCs w:val="22"/>
              </w:rPr>
              <w:t>P-value</w:t>
            </w:r>
          </w:p>
        </w:tc>
      </w:tr>
      <w:tr w:rsidR="00B77EA3" w:rsidRPr="0082484A" w14:paraId="7CD7966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7A7F92" w14:textId="77777777" w:rsidR="00B77EA3" w:rsidRPr="0082484A" w:rsidRDefault="00B77EA3" w:rsidP="00B77EA3">
            <w:pPr>
              <w:spacing w:before="0" w:line="240" w:lineRule="auto"/>
              <w:contextualSpacing/>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47CB91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7FD571E8" w14:textId="77777777" w:rsidR="00B77EA3" w:rsidRPr="0082484A" w:rsidRDefault="00B77EA3" w:rsidP="00B77EA3">
            <w:pPr>
              <w:spacing w:before="0" w:line="240" w:lineRule="auto"/>
              <w:contextualSpacing/>
              <w:jc w:val="center"/>
              <w:rPr>
                <w:sz w:val="22"/>
                <w:szCs w:val="22"/>
              </w:rPr>
            </w:pPr>
            <w:r w:rsidRPr="0082484A">
              <w:rPr>
                <w:sz w:val="22"/>
                <w:szCs w:val="22"/>
              </w:rPr>
              <w:t>-0.1948</w:t>
            </w:r>
          </w:p>
        </w:tc>
        <w:tc>
          <w:tcPr>
            <w:tcW w:w="1134" w:type="dxa"/>
            <w:tcBorders>
              <w:top w:val="nil"/>
              <w:left w:val="nil"/>
              <w:bottom w:val="nil"/>
              <w:right w:val="nil"/>
            </w:tcBorders>
            <w:shd w:val="clear" w:color="auto" w:fill="FFFFFF"/>
            <w:tcMar>
              <w:left w:w="67" w:type="dxa"/>
              <w:right w:w="67" w:type="dxa"/>
            </w:tcMar>
            <w:vAlign w:val="center"/>
          </w:tcPr>
          <w:p w14:paraId="3A7FC738" w14:textId="77777777" w:rsidR="00B77EA3" w:rsidRPr="0082484A" w:rsidRDefault="00B77EA3" w:rsidP="00B77EA3">
            <w:pPr>
              <w:spacing w:before="0" w:line="240" w:lineRule="auto"/>
              <w:contextualSpacing/>
              <w:jc w:val="center"/>
              <w:rPr>
                <w:sz w:val="22"/>
                <w:szCs w:val="22"/>
              </w:rPr>
            </w:pPr>
            <w:r w:rsidRPr="0082484A">
              <w:rPr>
                <w:sz w:val="22"/>
                <w:szCs w:val="22"/>
              </w:rPr>
              <w:t>0.1012</w:t>
            </w:r>
          </w:p>
        </w:tc>
        <w:tc>
          <w:tcPr>
            <w:tcW w:w="1134" w:type="dxa"/>
            <w:tcBorders>
              <w:top w:val="nil"/>
              <w:left w:val="nil"/>
              <w:bottom w:val="nil"/>
              <w:right w:val="nil"/>
            </w:tcBorders>
            <w:shd w:val="clear" w:color="auto" w:fill="FFFFFF"/>
            <w:tcMar>
              <w:left w:w="67" w:type="dxa"/>
              <w:right w:w="67" w:type="dxa"/>
            </w:tcMar>
            <w:vAlign w:val="center"/>
          </w:tcPr>
          <w:p w14:paraId="530A8596" w14:textId="77777777" w:rsidR="00B77EA3" w:rsidRPr="0082484A" w:rsidRDefault="00B77EA3" w:rsidP="00B77EA3">
            <w:pPr>
              <w:spacing w:before="0" w:line="240" w:lineRule="auto"/>
              <w:contextualSpacing/>
              <w:jc w:val="center"/>
              <w:rPr>
                <w:sz w:val="22"/>
                <w:szCs w:val="22"/>
              </w:rPr>
            </w:pPr>
            <w:r w:rsidRPr="0082484A">
              <w:rPr>
                <w:sz w:val="22"/>
                <w:szCs w:val="22"/>
              </w:rPr>
              <w:t>0.8230</w:t>
            </w:r>
          </w:p>
        </w:tc>
        <w:tc>
          <w:tcPr>
            <w:tcW w:w="1134" w:type="dxa"/>
            <w:tcBorders>
              <w:top w:val="nil"/>
              <w:left w:val="nil"/>
              <w:bottom w:val="nil"/>
              <w:right w:val="nil"/>
            </w:tcBorders>
            <w:shd w:val="clear" w:color="auto" w:fill="FFFFFF"/>
            <w:tcMar>
              <w:left w:w="67" w:type="dxa"/>
              <w:right w:w="67" w:type="dxa"/>
            </w:tcMar>
            <w:vAlign w:val="center"/>
          </w:tcPr>
          <w:p w14:paraId="55B3A7F4" w14:textId="77777777" w:rsidR="00B77EA3" w:rsidRPr="0082484A" w:rsidRDefault="00B77EA3" w:rsidP="00B77EA3">
            <w:pPr>
              <w:spacing w:before="0" w:line="240" w:lineRule="auto"/>
              <w:contextualSpacing/>
              <w:jc w:val="center"/>
              <w:rPr>
                <w:sz w:val="22"/>
                <w:szCs w:val="22"/>
              </w:rPr>
            </w:pPr>
            <w:r w:rsidRPr="0082484A">
              <w:rPr>
                <w:sz w:val="22"/>
                <w:szCs w:val="22"/>
              </w:rPr>
              <w:t>0.6559</w:t>
            </w:r>
          </w:p>
        </w:tc>
        <w:tc>
          <w:tcPr>
            <w:tcW w:w="1134" w:type="dxa"/>
            <w:tcBorders>
              <w:top w:val="nil"/>
              <w:left w:val="nil"/>
              <w:bottom w:val="nil"/>
              <w:right w:val="nil"/>
            </w:tcBorders>
            <w:shd w:val="clear" w:color="auto" w:fill="FFFFFF"/>
            <w:tcMar>
              <w:left w:w="67" w:type="dxa"/>
              <w:right w:w="67" w:type="dxa"/>
            </w:tcMar>
            <w:vAlign w:val="center"/>
          </w:tcPr>
          <w:p w14:paraId="683F1B06" w14:textId="77777777" w:rsidR="00B77EA3" w:rsidRPr="0082484A" w:rsidRDefault="00B77EA3" w:rsidP="00B77EA3">
            <w:pPr>
              <w:spacing w:before="0" w:line="240" w:lineRule="auto"/>
              <w:contextualSpacing/>
              <w:jc w:val="center"/>
              <w:rPr>
                <w:sz w:val="22"/>
                <w:szCs w:val="22"/>
              </w:rPr>
            </w:pPr>
            <w:r w:rsidRPr="0082484A">
              <w:rPr>
                <w:sz w:val="22"/>
                <w:szCs w:val="22"/>
              </w:rPr>
              <w:t>1.0327</w:t>
            </w:r>
          </w:p>
        </w:tc>
        <w:tc>
          <w:tcPr>
            <w:tcW w:w="1134" w:type="dxa"/>
            <w:tcBorders>
              <w:top w:val="nil"/>
              <w:left w:val="nil"/>
              <w:bottom w:val="nil"/>
              <w:right w:val="nil"/>
            </w:tcBorders>
            <w:shd w:val="clear" w:color="auto" w:fill="FFFFFF"/>
            <w:tcMar>
              <w:left w:w="67" w:type="dxa"/>
              <w:right w:w="67" w:type="dxa"/>
            </w:tcMar>
            <w:vAlign w:val="center"/>
          </w:tcPr>
          <w:p w14:paraId="57FC97C9" w14:textId="77777777" w:rsidR="00B77EA3" w:rsidRPr="0082484A" w:rsidRDefault="00B77EA3" w:rsidP="00B77EA3">
            <w:pPr>
              <w:spacing w:before="0" w:line="240" w:lineRule="auto"/>
              <w:contextualSpacing/>
              <w:jc w:val="center"/>
              <w:rPr>
                <w:sz w:val="22"/>
                <w:szCs w:val="22"/>
              </w:rPr>
            </w:pPr>
            <w:r w:rsidRPr="0082484A">
              <w:rPr>
                <w:sz w:val="22"/>
                <w:szCs w:val="22"/>
              </w:rPr>
              <w:t>3.70</w:t>
            </w:r>
          </w:p>
        </w:tc>
        <w:tc>
          <w:tcPr>
            <w:tcW w:w="567" w:type="dxa"/>
            <w:tcBorders>
              <w:top w:val="nil"/>
              <w:left w:val="nil"/>
              <w:bottom w:val="nil"/>
              <w:right w:val="nil"/>
            </w:tcBorders>
            <w:shd w:val="clear" w:color="auto" w:fill="FFFFFF"/>
            <w:tcMar>
              <w:left w:w="67" w:type="dxa"/>
              <w:right w:w="67" w:type="dxa"/>
            </w:tcMar>
            <w:vAlign w:val="center"/>
          </w:tcPr>
          <w:p w14:paraId="1057D55C"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A0EE03" w14:textId="77777777" w:rsidR="00B77EA3" w:rsidRPr="0082484A" w:rsidRDefault="00B77EA3" w:rsidP="00B77EA3">
            <w:pPr>
              <w:spacing w:before="0" w:line="240" w:lineRule="auto"/>
              <w:contextualSpacing/>
              <w:jc w:val="center"/>
              <w:rPr>
                <w:sz w:val="22"/>
                <w:szCs w:val="22"/>
              </w:rPr>
            </w:pPr>
            <w:r w:rsidRPr="0082484A">
              <w:rPr>
                <w:sz w:val="22"/>
                <w:szCs w:val="22"/>
              </w:rPr>
              <w:t>0.0544</w:t>
            </w:r>
          </w:p>
        </w:tc>
      </w:tr>
      <w:tr w:rsidR="00B77EA3" w:rsidRPr="0082484A" w14:paraId="6052BD5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5B282F3" w14:textId="77777777" w:rsidR="00B77EA3" w:rsidRPr="0082484A" w:rsidRDefault="00B77EA3" w:rsidP="00B77EA3">
            <w:pPr>
              <w:spacing w:before="0" w:line="240" w:lineRule="auto"/>
              <w:contextualSpacing/>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5C569CB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1C5E1E2" w14:textId="77777777" w:rsidR="00B77EA3" w:rsidRPr="0082484A" w:rsidRDefault="00B77EA3" w:rsidP="00B77EA3">
            <w:pPr>
              <w:spacing w:before="0" w:line="240" w:lineRule="auto"/>
              <w:contextualSpacing/>
              <w:jc w:val="center"/>
              <w:rPr>
                <w:sz w:val="22"/>
                <w:szCs w:val="22"/>
              </w:rPr>
            </w:pPr>
            <w:r w:rsidRPr="0082484A">
              <w:rPr>
                <w:sz w:val="22"/>
                <w:szCs w:val="22"/>
              </w:rPr>
              <w:t>0.1029</w:t>
            </w:r>
          </w:p>
        </w:tc>
        <w:tc>
          <w:tcPr>
            <w:tcW w:w="1134" w:type="dxa"/>
            <w:tcBorders>
              <w:top w:val="nil"/>
              <w:left w:val="nil"/>
              <w:bottom w:val="nil"/>
              <w:right w:val="nil"/>
            </w:tcBorders>
            <w:shd w:val="clear" w:color="auto" w:fill="FFFFFF"/>
            <w:tcMar>
              <w:left w:w="67" w:type="dxa"/>
              <w:right w:w="67" w:type="dxa"/>
            </w:tcMar>
            <w:vAlign w:val="center"/>
          </w:tcPr>
          <w:p w14:paraId="1F775BB1" w14:textId="77777777" w:rsidR="00B77EA3" w:rsidRPr="0082484A" w:rsidRDefault="00B77EA3" w:rsidP="00B77EA3">
            <w:pPr>
              <w:spacing w:before="0" w:line="240" w:lineRule="auto"/>
              <w:contextualSpacing/>
              <w:jc w:val="center"/>
              <w:rPr>
                <w:sz w:val="22"/>
                <w:szCs w:val="22"/>
              </w:rPr>
            </w:pPr>
            <w:r w:rsidRPr="0082484A">
              <w:rPr>
                <w:sz w:val="22"/>
                <w:szCs w:val="22"/>
              </w:rPr>
              <w:t>0.0573</w:t>
            </w:r>
          </w:p>
        </w:tc>
        <w:tc>
          <w:tcPr>
            <w:tcW w:w="1134" w:type="dxa"/>
            <w:tcBorders>
              <w:top w:val="nil"/>
              <w:left w:val="nil"/>
              <w:bottom w:val="nil"/>
              <w:right w:val="nil"/>
            </w:tcBorders>
            <w:shd w:val="clear" w:color="auto" w:fill="FFFFFF"/>
            <w:tcMar>
              <w:left w:w="67" w:type="dxa"/>
              <w:right w:w="67" w:type="dxa"/>
            </w:tcMar>
            <w:vAlign w:val="center"/>
          </w:tcPr>
          <w:p w14:paraId="41055ECF" w14:textId="77777777" w:rsidR="00B77EA3" w:rsidRPr="0082484A" w:rsidRDefault="00B77EA3" w:rsidP="00B77EA3">
            <w:pPr>
              <w:spacing w:before="0" w:line="240" w:lineRule="auto"/>
              <w:contextualSpacing/>
              <w:jc w:val="center"/>
              <w:rPr>
                <w:sz w:val="22"/>
                <w:szCs w:val="22"/>
              </w:rPr>
            </w:pPr>
            <w:r w:rsidRPr="0082484A">
              <w:rPr>
                <w:sz w:val="22"/>
                <w:szCs w:val="22"/>
              </w:rPr>
              <w:t>1.1084</w:t>
            </w:r>
          </w:p>
        </w:tc>
        <w:tc>
          <w:tcPr>
            <w:tcW w:w="1134" w:type="dxa"/>
            <w:tcBorders>
              <w:top w:val="nil"/>
              <w:left w:val="nil"/>
              <w:bottom w:val="nil"/>
              <w:right w:val="nil"/>
            </w:tcBorders>
            <w:shd w:val="clear" w:color="auto" w:fill="FFFFFF"/>
            <w:tcMar>
              <w:left w:w="67" w:type="dxa"/>
              <w:right w:w="67" w:type="dxa"/>
            </w:tcMar>
            <w:vAlign w:val="center"/>
          </w:tcPr>
          <w:p w14:paraId="0612FCF3" w14:textId="77777777" w:rsidR="00B77EA3" w:rsidRPr="0082484A" w:rsidRDefault="00B77EA3" w:rsidP="00B77EA3">
            <w:pPr>
              <w:spacing w:before="0" w:line="240" w:lineRule="auto"/>
              <w:contextualSpacing/>
              <w:jc w:val="center"/>
              <w:rPr>
                <w:sz w:val="22"/>
                <w:szCs w:val="22"/>
              </w:rPr>
            </w:pPr>
            <w:r w:rsidRPr="0082484A">
              <w:rPr>
                <w:sz w:val="22"/>
                <w:szCs w:val="22"/>
              </w:rPr>
              <w:t>0.9748</w:t>
            </w:r>
          </w:p>
        </w:tc>
        <w:tc>
          <w:tcPr>
            <w:tcW w:w="1134" w:type="dxa"/>
            <w:tcBorders>
              <w:top w:val="nil"/>
              <w:left w:val="nil"/>
              <w:bottom w:val="nil"/>
              <w:right w:val="nil"/>
            </w:tcBorders>
            <w:shd w:val="clear" w:color="auto" w:fill="FFFFFF"/>
            <w:tcMar>
              <w:left w:w="67" w:type="dxa"/>
              <w:right w:w="67" w:type="dxa"/>
            </w:tcMar>
            <w:vAlign w:val="center"/>
          </w:tcPr>
          <w:p w14:paraId="217EB046" w14:textId="77777777" w:rsidR="00B77EA3" w:rsidRPr="0082484A" w:rsidRDefault="00B77EA3" w:rsidP="00B77EA3">
            <w:pPr>
              <w:spacing w:before="0" w:line="240" w:lineRule="auto"/>
              <w:contextualSpacing/>
              <w:jc w:val="center"/>
              <w:rPr>
                <w:sz w:val="22"/>
                <w:szCs w:val="22"/>
              </w:rPr>
            </w:pPr>
            <w:r w:rsidRPr="0082484A">
              <w:rPr>
                <w:sz w:val="22"/>
                <w:szCs w:val="22"/>
              </w:rPr>
              <w:t>1.2604</w:t>
            </w:r>
          </w:p>
        </w:tc>
        <w:tc>
          <w:tcPr>
            <w:tcW w:w="1134" w:type="dxa"/>
            <w:tcBorders>
              <w:top w:val="nil"/>
              <w:left w:val="nil"/>
              <w:bottom w:val="nil"/>
              <w:right w:val="nil"/>
            </w:tcBorders>
            <w:shd w:val="clear" w:color="auto" w:fill="FFFFFF"/>
            <w:tcMar>
              <w:left w:w="67" w:type="dxa"/>
              <w:right w:w="67" w:type="dxa"/>
            </w:tcMar>
            <w:vAlign w:val="center"/>
          </w:tcPr>
          <w:p w14:paraId="143D3789" w14:textId="77777777" w:rsidR="00B77EA3" w:rsidRPr="0082484A" w:rsidRDefault="00B77EA3" w:rsidP="00B77EA3">
            <w:pPr>
              <w:spacing w:before="0" w:line="240" w:lineRule="auto"/>
              <w:contextualSpacing/>
              <w:jc w:val="center"/>
              <w:rPr>
                <w:sz w:val="22"/>
                <w:szCs w:val="22"/>
              </w:rPr>
            </w:pPr>
            <w:r w:rsidRPr="0082484A">
              <w:rPr>
                <w:sz w:val="22"/>
                <w:szCs w:val="22"/>
              </w:rPr>
              <w:t>3.22</w:t>
            </w:r>
          </w:p>
        </w:tc>
        <w:tc>
          <w:tcPr>
            <w:tcW w:w="567" w:type="dxa"/>
            <w:tcBorders>
              <w:top w:val="nil"/>
              <w:left w:val="nil"/>
              <w:bottom w:val="nil"/>
              <w:right w:val="nil"/>
            </w:tcBorders>
            <w:shd w:val="clear" w:color="auto" w:fill="FFFFFF"/>
            <w:tcMar>
              <w:left w:w="67" w:type="dxa"/>
              <w:right w:w="67" w:type="dxa"/>
            </w:tcMar>
            <w:vAlign w:val="center"/>
          </w:tcPr>
          <w:p w14:paraId="0B884EE6"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479604" w14:textId="77777777" w:rsidR="00B77EA3" w:rsidRPr="0082484A" w:rsidRDefault="00B77EA3" w:rsidP="00B77EA3">
            <w:pPr>
              <w:spacing w:before="0" w:line="240" w:lineRule="auto"/>
              <w:contextualSpacing/>
              <w:jc w:val="center"/>
              <w:rPr>
                <w:sz w:val="22"/>
                <w:szCs w:val="22"/>
              </w:rPr>
            </w:pPr>
            <w:r w:rsidRPr="0082484A">
              <w:rPr>
                <w:sz w:val="22"/>
                <w:szCs w:val="22"/>
              </w:rPr>
              <w:t>0.0726</w:t>
            </w:r>
          </w:p>
        </w:tc>
      </w:tr>
      <w:tr w:rsidR="00B77EA3" w:rsidRPr="0082484A" w14:paraId="1354E1F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37958A" w14:textId="77777777" w:rsidR="00B77EA3" w:rsidRPr="0082484A" w:rsidRDefault="00B77EA3" w:rsidP="00B77EA3">
            <w:pPr>
              <w:spacing w:before="0" w:line="240" w:lineRule="auto"/>
              <w:contextualSpacing/>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C70B988"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B8A6D8B" w14:textId="77777777" w:rsidR="00B77EA3" w:rsidRPr="0082484A" w:rsidRDefault="00B77EA3" w:rsidP="00B77EA3">
            <w:pPr>
              <w:spacing w:before="0" w:line="240" w:lineRule="auto"/>
              <w:contextualSpacing/>
              <w:jc w:val="center"/>
              <w:rPr>
                <w:sz w:val="22"/>
                <w:szCs w:val="22"/>
              </w:rPr>
            </w:pPr>
            <w:r w:rsidRPr="0082484A">
              <w:rPr>
                <w:sz w:val="22"/>
                <w:szCs w:val="22"/>
              </w:rPr>
              <w:t>-0.0295</w:t>
            </w:r>
          </w:p>
        </w:tc>
        <w:tc>
          <w:tcPr>
            <w:tcW w:w="1134" w:type="dxa"/>
            <w:tcBorders>
              <w:top w:val="nil"/>
              <w:left w:val="nil"/>
              <w:bottom w:val="nil"/>
              <w:right w:val="nil"/>
            </w:tcBorders>
            <w:shd w:val="clear" w:color="auto" w:fill="FFFFFF"/>
            <w:tcMar>
              <w:left w:w="67" w:type="dxa"/>
              <w:right w:w="67" w:type="dxa"/>
            </w:tcMar>
            <w:vAlign w:val="center"/>
          </w:tcPr>
          <w:p w14:paraId="08997738" w14:textId="77777777" w:rsidR="00B77EA3" w:rsidRPr="0082484A" w:rsidRDefault="00B77EA3" w:rsidP="00B77EA3">
            <w:pPr>
              <w:spacing w:before="0" w:line="240" w:lineRule="auto"/>
              <w:contextualSpacing/>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027F4D6E" w14:textId="77777777" w:rsidR="00B77EA3" w:rsidRPr="0082484A" w:rsidRDefault="00B77EA3" w:rsidP="00B77EA3">
            <w:pPr>
              <w:spacing w:before="0" w:line="240" w:lineRule="auto"/>
              <w:contextualSpacing/>
              <w:jc w:val="center"/>
              <w:rPr>
                <w:sz w:val="22"/>
                <w:szCs w:val="22"/>
              </w:rPr>
            </w:pPr>
            <w:r w:rsidRPr="0082484A">
              <w:rPr>
                <w:sz w:val="22"/>
                <w:szCs w:val="22"/>
              </w:rPr>
              <w:t>0.9709</w:t>
            </w:r>
          </w:p>
        </w:tc>
        <w:tc>
          <w:tcPr>
            <w:tcW w:w="1134" w:type="dxa"/>
            <w:tcBorders>
              <w:top w:val="nil"/>
              <w:left w:val="nil"/>
              <w:bottom w:val="nil"/>
              <w:right w:val="nil"/>
            </w:tcBorders>
            <w:shd w:val="clear" w:color="auto" w:fill="FFFFFF"/>
            <w:tcMar>
              <w:left w:w="67" w:type="dxa"/>
              <w:right w:w="67" w:type="dxa"/>
            </w:tcMar>
            <w:vAlign w:val="center"/>
          </w:tcPr>
          <w:p w14:paraId="68CA1D45" w14:textId="77777777" w:rsidR="00B77EA3" w:rsidRPr="0082484A" w:rsidRDefault="00B77EA3" w:rsidP="00B77EA3">
            <w:pPr>
              <w:spacing w:before="0" w:line="240" w:lineRule="auto"/>
              <w:contextualSpacing/>
              <w:jc w:val="center"/>
              <w:rPr>
                <w:sz w:val="22"/>
                <w:szCs w:val="22"/>
              </w:rPr>
            </w:pPr>
            <w:r w:rsidRPr="0082484A">
              <w:rPr>
                <w:sz w:val="22"/>
                <w:szCs w:val="22"/>
              </w:rPr>
              <w:t>0.9663</w:t>
            </w:r>
          </w:p>
        </w:tc>
        <w:tc>
          <w:tcPr>
            <w:tcW w:w="1134" w:type="dxa"/>
            <w:tcBorders>
              <w:top w:val="nil"/>
              <w:left w:val="nil"/>
              <w:bottom w:val="nil"/>
              <w:right w:val="nil"/>
            </w:tcBorders>
            <w:shd w:val="clear" w:color="auto" w:fill="FFFFFF"/>
            <w:tcMar>
              <w:left w:w="67" w:type="dxa"/>
              <w:right w:w="67" w:type="dxa"/>
            </w:tcMar>
            <w:vAlign w:val="center"/>
          </w:tcPr>
          <w:p w14:paraId="2CD1D5A2" w14:textId="77777777" w:rsidR="00B77EA3" w:rsidRPr="0082484A" w:rsidRDefault="00B77EA3" w:rsidP="00B77EA3">
            <w:pPr>
              <w:spacing w:before="0" w:line="240" w:lineRule="auto"/>
              <w:contextualSpacing/>
              <w:jc w:val="center"/>
              <w:rPr>
                <w:sz w:val="22"/>
                <w:szCs w:val="22"/>
              </w:rPr>
            </w:pPr>
            <w:r w:rsidRPr="0082484A">
              <w:rPr>
                <w:sz w:val="22"/>
                <w:szCs w:val="22"/>
              </w:rPr>
              <w:t>0.9755</w:t>
            </w:r>
          </w:p>
        </w:tc>
        <w:tc>
          <w:tcPr>
            <w:tcW w:w="1134" w:type="dxa"/>
            <w:tcBorders>
              <w:top w:val="nil"/>
              <w:left w:val="nil"/>
              <w:bottom w:val="nil"/>
              <w:right w:val="nil"/>
            </w:tcBorders>
            <w:shd w:val="clear" w:color="auto" w:fill="FFFFFF"/>
            <w:tcMar>
              <w:left w:w="67" w:type="dxa"/>
              <w:right w:w="67" w:type="dxa"/>
            </w:tcMar>
            <w:vAlign w:val="center"/>
          </w:tcPr>
          <w:p w14:paraId="08FD721C" w14:textId="77777777" w:rsidR="00B77EA3" w:rsidRPr="0082484A" w:rsidRDefault="00B77EA3" w:rsidP="00B77EA3">
            <w:pPr>
              <w:spacing w:before="0" w:line="240" w:lineRule="auto"/>
              <w:contextualSpacing/>
              <w:jc w:val="center"/>
              <w:rPr>
                <w:sz w:val="22"/>
                <w:szCs w:val="22"/>
              </w:rPr>
            </w:pPr>
            <w:r w:rsidRPr="0082484A">
              <w:rPr>
                <w:sz w:val="22"/>
                <w:szCs w:val="22"/>
              </w:rPr>
              <w:t>195.58</w:t>
            </w:r>
          </w:p>
        </w:tc>
        <w:tc>
          <w:tcPr>
            <w:tcW w:w="567" w:type="dxa"/>
            <w:tcBorders>
              <w:top w:val="nil"/>
              <w:left w:val="nil"/>
              <w:bottom w:val="nil"/>
              <w:right w:val="nil"/>
            </w:tcBorders>
            <w:shd w:val="clear" w:color="auto" w:fill="FFFFFF"/>
            <w:tcMar>
              <w:left w:w="67" w:type="dxa"/>
              <w:right w:w="67" w:type="dxa"/>
            </w:tcMar>
            <w:vAlign w:val="center"/>
          </w:tcPr>
          <w:p w14:paraId="7E0F4FDE"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780497" w14:textId="77777777" w:rsidR="00B77EA3" w:rsidRPr="0082484A" w:rsidRDefault="00B77EA3" w:rsidP="00B77EA3">
            <w:pPr>
              <w:spacing w:before="0" w:line="240" w:lineRule="auto"/>
              <w:contextualSpacing/>
              <w:jc w:val="center"/>
              <w:rPr>
                <w:sz w:val="22"/>
                <w:szCs w:val="22"/>
              </w:rPr>
            </w:pPr>
            <w:r w:rsidRPr="0082484A">
              <w:rPr>
                <w:sz w:val="22"/>
                <w:szCs w:val="22"/>
              </w:rPr>
              <w:t>&lt;.0001</w:t>
            </w:r>
          </w:p>
        </w:tc>
      </w:tr>
      <w:tr w:rsidR="00B77EA3" w:rsidRPr="0082484A" w14:paraId="7D43A94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6D4A52" w14:textId="77777777" w:rsidR="00B77EA3" w:rsidRPr="0082484A" w:rsidRDefault="00B77EA3" w:rsidP="00B77EA3">
            <w:pPr>
              <w:spacing w:before="0" w:line="240" w:lineRule="auto"/>
              <w:contextualSpacing/>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DC90F39"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559B29A" w14:textId="77777777" w:rsidR="00B77EA3" w:rsidRPr="0082484A" w:rsidRDefault="00B77EA3" w:rsidP="00B77EA3">
            <w:pPr>
              <w:spacing w:before="0" w:line="240" w:lineRule="auto"/>
              <w:contextualSpacing/>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0D25C74B" w14:textId="77777777" w:rsidR="00B77EA3" w:rsidRPr="0082484A" w:rsidRDefault="00B77EA3" w:rsidP="00B77EA3">
            <w:pPr>
              <w:spacing w:before="0" w:line="240" w:lineRule="auto"/>
              <w:contextualSpacing/>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7D5B39C5" w14:textId="77777777" w:rsidR="00B77EA3" w:rsidRPr="0082484A" w:rsidRDefault="00B77EA3" w:rsidP="00B77EA3">
            <w:pPr>
              <w:spacing w:before="0" w:line="240" w:lineRule="auto"/>
              <w:contextualSpacing/>
              <w:jc w:val="center"/>
              <w:rPr>
                <w:sz w:val="22"/>
                <w:szCs w:val="22"/>
              </w:rPr>
            </w:pPr>
            <w:r w:rsidRPr="0082484A">
              <w:rPr>
                <w:sz w:val="22"/>
                <w:szCs w:val="22"/>
              </w:rPr>
              <w:t>0.9994</w:t>
            </w:r>
          </w:p>
        </w:tc>
        <w:tc>
          <w:tcPr>
            <w:tcW w:w="1134" w:type="dxa"/>
            <w:tcBorders>
              <w:top w:val="nil"/>
              <w:left w:val="nil"/>
              <w:bottom w:val="nil"/>
              <w:right w:val="nil"/>
            </w:tcBorders>
            <w:shd w:val="clear" w:color="auto" w:fill="FFFFFF"/>
            <w:tcMar>
              <w:left w:w="67" w:type="dxa"/>
              <w:right w:w="67" w:type="dxa"/>
            </w:tcMar>
            <w:vAlign w:val="center"/>
          </w:tcPr>
          <w:p w14:paraId="2FC43D3E" w14:textId="77777777" w:rsidR="00B77EA3" w:rsidRPr="0082484A" w:rsidRDefault="00B77EA3" w:rsidP="00B77EA3">
            <w:pPr>
              <w:spacing w:before="0" w:line="240" w:lineRule="auto"/>
              <w:contextualSpacing/>
              <w:jc w:val="center"/>
              <w:rPr>
                <w:sz w:val="22"/>
                <w:szCs w:val="22"/>
              </w:rPr>
            </w:pPr>
            <w:r w:rsidRPr="0082484A">
              <w:rPr>
                <w:sz w:val="22"/>
                <w:szCs w:val="22"/>
              </w:rPr>
              <w:t>0.9959</w:t>
            </w:r>
          </w:p>
        </w:tc>
        <w:tc>
          <w:tcPr>
            <w:tcW w:w="1134" w:type="dxa"/>
            <w:tcBorders>
              <w:top w:val="nil"/>
              <w:left w:val="nil"/>
              <w:bottom w:val="nil"/>
              <w:right w:val="nil"/>
            </w:tcBorders>
            <w:shd w:val="clear" w:color="auto" w:fill="FFFFFF"/>
            <w:tcMar>
              <w:left w:w="67" w:type="dxa"/>
              <w:right w:w="67" w:type="dxa"/>
            </w:tcMar>
            <w:vAlign w:val="center"/>
          </w:tcPr>
          <w:p w14:paraId="166E44F9" w14:textId="77777777" w:rsidR="00B77EA3" w:rsidRPr="0082484A" w:rsidRDefault="00B77EA3" w:rsidP="00B77EA3">
            <w:pPr>
              <w:spacing w:before="0" w:line="240" w:lineRule="auto"/>
              <w:contextualSpacing/>
              <w:jc w:val="center"/>
              <w:rPr>
                <w:sz w:val="22"/>
                <w:szCs w:val="22"/>
              </w:rPr>
            </w:pPr>
            <w:r w:rsidRPr="0082484A">
              <w:rPr>
                <w:sz w:val="22"/>
                <w:szCs w:val="22"/>
              </w:rPr>
              <w:t>1.0029</w:t>
            </w:r>
          </w:p>
        </w:tc>
        <w:tc>
          <w:tcPr>
            <w:tcW w:w="1134" w:type="dxa"/>
            <w:tcBorders>
              <w:top w:val="nil"/>
              <w:left w:val="nil"/>
              <w:bottom w:val="nil"/>
              <w:right w:val="nil"/>
            </w:tcBorders>
            <w:shd w:val="clear" w:color="auto" w:fill="FFFFFF"/>
            <w:tcMar>
              <w:left w:w="67" w:type="dxa"/>
              <w:right w:w="67" w:type="dxa"/>
            </w:tcMar>
            <w:vAlign w:val="center"/>
          </w:tcPr>
          <w:p w14:paraId="1F58C8F2" w14:textId="77777777" w:rsidR="00B77EA3" w:rsidRPr="0082484A" w:rsidRDefault="00B77EA3" w:rsidP="00B77EA3">
            <w:pPr>
              <w:spacing w:before="0" w:line="240" w:lineRule="auto"/>
              <w:contextualSpacing/>
              <w:jc w:val="center"/>
              <w:rPr>
                <w:sz w:val="22"/>
                <w:szCs w:val="22"/>
              </w:rPr>
            </w:pPr>
            <w:r w:rsidRPr="0082484A">
              <w:rPr>
                <w:sz w:val="22"/>
                <w:szCs w:val="22"/>
              </w:rPr>
              <w:t>0.14</w:t>
            </w:r>
          </w:p>
        </w:tc>
        <w:tc>
          <w:tcPr>
            <w:tcW w:w="567" w:type="dxa"/>
            <w:tcBorders>
              <w:top w:val="nil"/>
              <w:left w:val="nil"/>
              <w:bottom w:val="nil"/>
              <w:right w:val="nil"/>
            </w:tcBorders>
            <w:shd w:val="clear" w:color="auto" w:fill="FFFFFF"/>
            <w:tcMar>
              <w:left w:w="67" w:type="dxa"/>
              <w:right w:w="67" w:type="dxa"/>
            </w:tcMar>
            <w:vAlign w:val="center"/>
          </w:tcPr>
          <w:p w14:paraId="2C21A024"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094FB5" w14:textId="77777777" w:rsidR="00B77EA3" w:rsidRPr="0082484A" w:rsidRDefault="00B77EA3" w:rsidP="00B77EA3">
            <w:pPr>
              <w:spacing w:before="0" w:line="240" w:lineRule="auto"/>
              <w:contextualSpacing/>
              <w:jc w:val="center"/>
              <w:rPr>
                <w:sz w:val="22"/>
                <w:szCs w:val="22"/>
              </w:rPr>
            </w:pPr>
            <w:r w:rsidRPr="0082484A">
              <w:rPr>
                <w:sz w:val="22"/>
                <w:szCs w:val="22"/>
              </w:rPr>
              <w:t>0.7116</w:t>
            </w:r>
          </w:p>
        </w:tc>
      </w:tr>
      <w:tr w:rsidR="00B77EA3" w:rsidRPr="0082484A" w14:paraId="28D3E95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C29A95"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FB1152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865163" w14:textId="77777777" w:rsidR="00B77EA3" w:rsidRPr="0082484A" w:rsidRDefault="00B77EA3" w:rsidP="00B77EA3">
            <w:pPr>
              <w:spacing w:before="0" w:line="240" w:lineRule="auto"/>
              <w:contextualSpacing/>
              <w:jc w:val="center"/>
              <w:rPr>
                <w:sz w:val="22"/>
                <w:szCs w:val="22"/>
              </w:rPr>
            </w:pPr>
            <w:r w:rsidRPr="0082484A">
              <w:rPr>
                <w:sz w:val="22"/>
                <w:szCs w:val="22"/>
              </w:rPr>
              <w:t>0.1391</w:t>
            </w:r>
          </w:p>
        </w:tc>
        <w:tc>
          <w:tcPr>
            <w:tcW w:w="1134" w:type="dxa"/>
            <w:tcBorders>
              <w:top w:val="nil"/>
              <w:left w:val="nil"/>
              <w:bottom w:val="nil"/>
              <w:right w:val="nil"/>
            </w:tcBorders>
            <w:shd w:val="clear" w:color="auto" w:fill="FFFFFF"/>
            <w:tcMar>
              <w:left w:w="67" w:type="dxa"/>
              <w:right w:w="67" w:type="dxa"/>
            </w:tcMar>
            <w:vAlign w:val="center"/>
          </w:tcPr>
          <w:p w14:paraId="76ED2E7C" w14:textId="77777777" w:rsidR="00B77EA3" w:rsidRPr="0082484A" w:rsidRDefault="00B77EA3" w:rsidP="00B77EA3">
            <w:pPr>
              <w:spacing w:before="0" w:line="240" w:lineRule="auto"/>
              <w:contextualSpacing/>
              <w:jc w:val="center"/>
              <w:rPr>
                <w:sz w:val="22"/>
                <w:szCs w:val="22"/>
              </w:rPr>
            </w:pPr>
            <w:r w:rsidRPr="0082484A">
              <w:rPr>
                <w:sz w:val="22"/>
                <w:szCs w:val="22"/>
              </w:rPr>
              <w:t>0.2514</w:t>
            </w:r>
          </w:p>
        </w:tc>
        <w:tc>
          <w:tcPr>
            <w:tcW w:w="1134" w:type="dxa"/>
            <w:tcBorders>
              <w:top w:val="nil"/>
              <w:left w:val="nil"/>
              <w:bottom w:val="nil"/>
              <w:right w:val="nil"/>
            </w:tcBorders>
            <w:shd w:val="clear" w:color="auto" w:fill="FFFFFF"/>
            <w:tcMar>
              <w:left w:w="67" w:type="dxa"/>
              <w:right w:w="67" w:type="dxa"/>
            </w:tcMar>
            <w:vAlign w:val="center"/>
          </w:tcPr>
          <w:p w14:paraId="041D3E11" w14:textId="77777777" w:rsidR="00B77EA3" w:rsidRPr="0082484A" w:rsidRDefault="00B77EA3" w:rsidP="00B77EA3">
            <w:pPr>
              <w:spacing w:before="0" w:line="240" w:lineRule="auto"/>
              <w:contextualSpacing/>
              <w:jc w:val="center"/>
              <w:rPr>
                <w:sz w:val="22"/>
                <w:szCs w:val="22"/>
              </w:rPr>
            </w:pPr>
            <w:r w:rsidRPr="0082484A">
              <w:rPr>
                <w:sz w:val="22"/>
                <w:szCs w:val="22"/>
              </w:rPr>
              <w:t>1.1492</w:t>
            </w:r>
          </w:p>
        </w:tc>
        <w:tc>
          <w:tcPr>
            <w:tcW w:w="1134" w:type="dxa"/>
            <w:tcBorders>
              <w:top w:val="nil"/>
              <w:left w:val="nil"/>
              <w:bottom w:val="nil"/>
              <w:right w:val="nil"/>
            </w:tcBorders>
            <w:shd w:val="clear" w:color="auto" w:fill="FFFFFF"/>
            <w:tcMar>
              <w:left w:w="67" w:type="dxa"/>
              <w:right w:w="67" w:type="dxa"/>
            </w:tcMar>
            <w:vAlign w:val="center"/>
          </w:tcPr>
          <w:p w14:paraId="70E2BEC1" w14:textId="77777777" w:rsidR="00B77EA3" w:rsidRPr="0082484A" w:rsidRDefault="00B77EA3" w:rsidP="00B77EA3">
            <w:pPr>
              <w:spacing w:before="0" w:line="240" w:lineRule="auto"/>
              <w:contextualSpacing/>
              <w:jc w:val="center"/>
              <w:rPr>
                <w:sz w:val="22"/>
                <w:szCs w:val="22"/>
              </w:rPr>
            </w:pPr>
            <w:r w:rsidRPr="0082484A">
              <w:rPr>
                <w:sz w:val="22"/>
                <w:szCs w:val="22"/>
              </w:rPr>
              <w:t>0.6542</w:t>
            </w:r>
          </w:p>
        </w:tc>
        <w:tc>
          <w:tcPr>
            <w:tcW w:w="1134" w:type="dxa"/>
            <w:tcBorders>
              <w:top w:val="nil"/>
              <w:left w:val="nil"/>
              <w:bottom w:val="nil"/>
              <w:right w:val="nil"/>
            </w:tcBorders>
            <w:shd w:val="clear" w:color="auto" w:fill="FFFFFF"/>
            <w:tcMar>
              <w:left w:w="67" w:type="dxa"/>
              <w:right w:w="67" w:type="dxa"/>
            </w:tcMar>
            <w:vAlign w:val="center"/>
          </w:tcPr>
          <w:p w14:paraId="45BCF53D" w14:textId="77777777" w:rsidR="00B77EA3" w:rsidRPr="0082484A" w:rsidRDefault="00B77EA3" w:rsidP="00B77EA3">
            <w:pPr>
              <w:spacing w:before="0" w:line="240" w:lineRule="auto"/>
              <w:contextualSpacing/>
              <w:jc w:val="center"/>
              <w:rPr>
                <w:sz w:val="22"/>
                <w:szCs w:val="22"/>
              </w:rPr>
            </w:pPr>
            <w:r w:rsidRPr="0082484A">
              <w:rPr>
                <w:sz w:val="22"/>
                <w:szCs w:val="22"/>
              </w:rPr>
              <w:t>2.0189</w:t>
            </w:r>
          </w:p>
        </w:tc>
        <w:tc>
          <w:tcPr>
            <w:tcW w:w="1134" w:type="dxa"/>
            <w:tcBorders>
              <w:top w:val="nil"/>
              <w:left w:val="nil"/>
              <w:bottom w:val="nil"/>
              <w:right w:val="nil"/>
            </w:tcBorders>
            <w:shd w:val="clear" w:color="auto" w:fill="FFFFFF"/>
            <w:tcMar>
              <w:left w:w="67" w:type="dxa"/>
              <w:right w:w="67" w:type="dxa"/>
            </w:tcMar>
            <w:vAlign w:val="center"/>
          </w:tcPr>
          <w:p w14:paraId="7D18FA33" w14:textId="77777777" w:rsidR="00B77EA3" w:rsidRPr="0082484A" w:rsidRDefault="00B77EA3" w:rsidP="00B77EA3">
            <w:pPr>
              <w:spacing w:before="0" w:line="240" w:lineRule="auto"/>
              <w:contextualSpacing/>
              <w:jc w:val="center"/>
              <w:rPr>
                <w:sz w:val="22"/>
                <w:szCs w:val="22"/>
              </w:rPr>
            </w:pPr>
            <w:r w:rsidRPr="0082484A">
              <w:rPr>
                <w:sz w:val="22"/>
                <w:szCs w:val="22"/>
              </w:rPr>
              <w:t>1.03</w:t>
            </w:r>
          </w:p>
        </w:tc>
        <w:tc>
          <w:tcPr>
            <w:tcW w:w="567" w:type="dxa"/>
            <w:tcBorders>
              <w:top w:val="nil"/>
              <w:left w:val="nil"/>
              <w:bottom w:val="nil"/>
              <w:right w:val="nil"/>
            </w:tcBorders>
            <w:shd w:val="clear" w:color="auto" w:fill="FFFFFF"/>
            <w:tcMar>
              <w:left w:w="67" w:type="dxa"/>
              <w:right w:w="67" w:type="dxa"/>
            </w:tcMar>
            <w:vAlign w:val="center"/>
          </w:tcPr>
          <w:p w14:paraId="42437CF3" w14:textId="77777777" w:rsidR="00B77EA3" w:rsidRPr="0082484A" w:rsidRDefault="00B77EA3" w:rsidP="00B77EA3">
            <w:pPr>
              <w:spacing w:before="0" w:line="240" w:lineRule="auto"/>
              <w:contextualSpacing/>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21D4B06" w14:textId="77777777" w:rsidR="00B77EA3" w:rsidRPr="0082484A" w:rsidRDefault="00B77EA3" w:rsidP="00B77EA3">
            <w:pPr>
              <w:spacing w:before="0" w:line="240" w:lineRule="auto"/>
              <w:contextualSpacing/>
              <w:jc w:val="center"/>
              <w:rPr>
                <w:sz w:val="22"/>
                <w:szCs w:val="22"/>
              </w:rPr>
            </w:pPr>
            <w:r w:rsidRPr="0082484A">
              <w:rPr>
                <w:sz w:val="22"/>
                <w:szCs w:val="22"/>
              </w:rPr>
              <w:t>0.4121</w:t>
            </w:r>
          </w:p>
        </w:tc>
      </w:tr>
      <w:tr w:rsidR="00B77EA3" w:rsidRPr="0082484A" w14:paraId="54EA81E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AC79DD"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7CBEE6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5859418" w14:textId="77777777" w:rsidR="00B77EA3" w:rsidRPr="0082484A" w:rsidRDefault="00B77EA3" w:rsidP="00B77EA3">
            <w:pPr>
              <w:spacing w:before="0" w:line="240" w:lineRule="auto"/>
              <w:contextualSpacing/>
              <w:jc w:val="center"/>
              <w:rPr>
                <w:sz w:val="22"/>
                <w:szCs w:val="22"/>
              </w:rPr>
            </w:pPr>
            <w:r w:rsidRPr="0082484A">
              <w:rPr>
                <w:sz w:val="22"/>
                <w:szCs w:val="22"/>
              </w:rPr>
              <w:t>0.0161</w:t>
            </w:r>
          </w:p>
        </w:tc>
        <w:tc>
          <w:tcPr>
            <w:tcW w:w="1134" w:type="dxa"/>
            <w:tcBorders>
              <w:top w:val="nil"/>
              <w:left w:val="nil"/>
              <w:bottom w:val="nil"/>
              <w:right w:val="nil"/>
            </w:tcBorders>
            <w:shd w:val="clear" w:color="auto" w:fill="FFFFFF"/>
            <w:tcMar>
              <w:left w:w="67" w:type="dxa"/>
              <w:right w:w="67" w:type="dxa"/>
            </w:tcMar>
            <w:vAlign w:val="center"/>
          </w:tcPr>
          <w:p w14:paraId="208F6324" w14:textId="77777777" w:rsidR="00B77EA3" w:rsidRPr="0082484A" w:rsidRDefault="00B77EA3" w:rsidP="00B77EA3">
            <w:pPr>
              <w:spacing w:before="0" w:line="240" w:lineRule="auto"/>
              <w:contextualSpacing/>
              <w:jc w:val="center"/>
              <w:rPr>
                <w:sz w:val="22"/>
                <w:szCs w:val="22"/>
              </w:rPr>
            </w:pPr>
            <w:r w:rsidRPr="0082484A">
              <w:rPr>
                <w:sz w:val="22"/>
                <w:szCs w:val="22"/>
              </w:rPr>
              <w:t>0.2629</w:t>
            </w:r>
          </w:p>
        </w:tc>
        <w:tc>
          <w:tcPr>
            <w:tcW w:w="1134" w:type="dxa"/>
            <w:tcBorders>
              <w:top w:val="nil"/>
              <w:left w:val="nil"/>
              <w:bottom w:val="nil"/>
              <w:right w:val="nil"/>
            </w:tcBorders>
            <w:shd w:val="clear" w:color="auto" w:fill="FFFFFF"/>
            <w:tcMar>
              <w:left w:w="67" w:type="dxa"/>
              <w:right w:w="67" w:type="dxa"/>
            </w:tcMar>
            <w:vAlign w:val="center"/>
          </w:tcPr>
          <w:p w14:paraId="37DB30D3" w14:textId="77777777" w:rsidR="00B77EA3" w:rsidRPr="0082484A" w:rsidRDefault="00B77EA3" w:rsidP="00B77EA3">
            <w:pPr>
              <w:spacing w:before="0" w:line="240" w:lineRule="auto"/>
              <w:contextualSpacing/>
              <w:jc w:val="center"/>
              <w:rPr>
                <w:sz w:val="22"/>
                <w:szCs w:val="22"/>
              </w:rPr>
            </w:pPr>
            <w:r w:rsidRPr="0082484A">
              <w:rPr>
                <w:sz w:val="22"/>
                <w:szCs w:val="22"/>
              </w:rPr>
              <w:t>1.0162</w:t>
            </w:r>
          </w:p>
        </w:tc>
        <w:tc>
          <w:tcPr>
            <w:tcW w:w="1134" w:type="dxa"/>
            <w:tcBorders>
              <w:top w:val="nil"/>
              <w:left w:val="nil"/>
              <w:bottom w:val="nil"/>
              <w:right w:val="nil"/>
            </w:tcBorders>
            <w:shd w:val="clear" w:color="auto" w:fill="FFFFFF"/>
            <w:tcMar>
              <w:left w:w="67" w:type="dxa"/>
              <w:right w:w="67" w:type="dxa"/>
            </w:tcMar>
            <w:vAlign w:val="center"/>
          </w:tcPr>
          <w:p w14:paraId="6EECD2D6" w14:textId="77777777" w:rsidR="00B77EA3" w:rsidRPr="0082484A" w:rsidRDefault="00B77EA3" w:rsidP="00B77EA3">
            <w:pPr>
              <w:spacing w:before="0" w:line="240" w:lineRule="auto"/>
              <w:contextualSpacing/>
              <w:jc w:val="center"/>
              <w:rPr>
                <w:sz w:val="22"/>
                <w:szCs w:val="22"/>
              </w:rPr>
            </w:pPr>
            <w:r w:rsidRPr="0082484A">
              <w:rPr>
                <w:sz w:val="22"/>
                <w:szCs w:val="22"/>
              </w:rPr>
              <w:t>0.5637</w:t>
            </w:r>
          </w:p>
        </w:tc>
        <w:tc>
          <w:tcPr>
            <w:tcW w:w="1134" w:type="dxa"/>
            <w:tcBorders>
              <w:top w:val="nil"/>
              <w:left w:val="nil"/>
              <w:bottom w:val="nil"/>
              <w:right w:val="nil"/>
            </w:tcBorders>
            <w:shd w:val="clear" w:color="auto" w:fill="FFFFFF"/>
            <w:tcMar>
              <w:left w:w="67" w:type="dxa"/>
              <w:right w:w="67" w:type="dxa"/>
            </w:tcMar>
            <w:vAlign w:val="center"/>
          </w:tcPr>
          <w:p w14:paraId="0E6140D3" w14:textId="77777777" w:rsidR="00B77EA3" w:rsidRPr="0082484A" w:rsidRDefault="00B77EA3" w:rsidP="00B77EA3">
            <w:pPr>
              <w:spacing w:before="0" w:line="240" w:lineRule="auto"/>
              <w:contextualSpacing/>
              <w:jc w:val="center"/>
              <w:rPr>
                <w:sz w:val="22"/>
                <w:szCs w:val="22"/>
              </w:rPr>
            </w:pPr>
            <w:r w:rsidRPr="0082484A">
              <w:rPr>
                <w:sz w:val="22"/>
                <w:szCs w:val="22"/>
              </w:rPr>
              <w:t>1.8319</w:t>
            </w:r>
          </w:p>
        </w:tc>
        <w:tc>
          <w:tcPr>
            <w:tcW w:w="1134" w:type="dxa"/>
            <w:tcBorders>
              <w:top w:val="nil"/>
              <w:left w:val="nil"/>
              <w:bottom w:val="nil"/>
              <w:right w:val="nil"/>
            </w:tcBorders>
            <w:shd w:val="clear" w:color="auto" w:fill="FFFFFF"/>
            <w:tcMar>
              <w:left w:w="67" w:type="dxa"/>
              <w:right w:w="67" w:type="dxa"/>
            </w:tcMar>
            <w:vAlign w:val="center"/>
          </w:tcPr>
          <w:p w14:paraId="4400937A"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268B55"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BC17D2" w14:textId="77777777" w:rsidR="00B77EA3" w:rsidRPr="0082484A" w:rsidRDefault="00B77EA3" w:rsidP="00B77EA3">
            <w:pPr>
              <w:spacing w:before="0" w:line="240" w:lineRule="auto"/>
              <w:contextualSpacing/>
              <w:jc w:val="center"/>
              <w:rPr>
                <w:sz w:val="22"/>
                <w:szCs w:val="22"/>
              </w:rPr>
            </w:pPr>
          </w:p>
        </w:tc>
      </w:tr>
      <w:tr w:rsidR="00B77EA3" w:rsidRPr="0082484A" w14:paraId="4047044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3860748"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7D22D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36A040" w14:textId="77777777" w:rsidR="00B77EA3" w:rsidRPr="0082484A" w:rsidRDefault="00B77EA3" w:rsidP="00B77EA3">
            <w:pPr>
              <w:spacing w:before="0" w:line="240" w:lineRule="auto"/>
              <w:contextualSpacing/>
              <w:jc w:val="center"/>
              <w:rPr>
                <w:sz w:val="22"/>
                <w:szCs w:val="22"/>
              </w:rPr>
            </w:pPr>
            <w:r w:rsidRPr="0082484A">
              <w:rPr>
                <w:sz w:val="22"/>
                <w:szCs w:val="22"/>
              </w:rPr>
              <w:t>-0.0068</w:t>
            </w:r>
          </w:p>
        </w:tc>
        <w:tc>
          <w:tcPr>
            <w:tcW w:w="1134" w:type="dxa"/>
            <w:tcBorders>
              <w:top w:val="nil"/>
              <w:left w:val="nil"/>
              <w:bottom w:val="nil"/>
              <w:right w:val="nil"/>
            </w:tcBorders>
            <w:shd w:val="clear" w:color="auto" w:fill="FFFFFF"/>
            <w:tcMar>
              <w:left w:w="67" w:type="dxa"/>
              <w:right w:w="67" w:type="dxa"/>
            </w:tcMar>
            <w:vAlign w:val="center"/>
          </w:tcPr>
          <w:p w14:paraId="3BAE81BB" w14:textId="77777777" w:rsidR="00B77EA3" w:rsidRPr="0082484A" w:rsidRDefault="00B77EA3" w:rsidP="00B77EA3">
            <w:pPr>
              <w:spacing w:before="0" w:line="240" w:lineRule="auto"/>
              <w:contextualSpacing/>
              <w:jc w:val="center"/>
              <w:rPr>
                <w:sz w:val="22"/>
                <w:szCs w:val="22"/>
              </w:rPr>
            </w:pPr>
            <w:r w:rsidRPr="0082484A">
              <w:rPr>
                <w:sz w:val="22"/>
                <w:szCs w:val="22"/>
              </w:rPr>
              <w:t>0.1707</w:t>
            </w:r>
          </w:p>
        </w:tc>
        <w:tc>
          <w:tcPr>
            <w:tcW w:w="1134" w:type="dxa"/>
            <w:tcBorders>
              <w:top w:val="nil"/>
              <w:left w:val="nil"/>
              <w:bottom w:val="nil"/>
              <w:right w:val="nil"/>
            </w:tcBorders>
            <w:shd w:val="clear" w:color="auto" w:fill="FFFFFF"/>
            <w:tcMar>
              <w:left w:w="67" w:type="dxa"/>
              <w:right w:w="67" w:type="dxa"/>
            </w:tcMar>
            <w:vAlign w:val="center"/>
          </w:tcPr>
          <w:p w14:paraId="30B3AB8A" w14:textId="77777777" w:rsidR="00B77EA3" w:rsidRPr="0082484A" w:rsidRDefault="00B77EA3" w:rsidP="00B77EA3">
            <w:pPr>
              <w:spacing w:before="0" w:line="240" w:lineRule="auto"/>
              <w:contextualSpacing/>
              <w:jc w:val="center"/>
              <w:rPr>
                <w:sz w:val="22"/>
                <w:szCs w:val="22"/>
              </w:rPr>
            </w:pPr>
            <w:r w:rsidRPr="0082484A">
              <w:rPr>
                <w:sz w:val="22"/>
                <w:szCs w:val="22"/>
              </w:rPr>
              <w:t>0.9932</w:t>
            </w:r>
          </w:p>
        </w:tc>
        <w:tc>
          <w:tcPr>
            <w:tcW w:w="1134" w:type="dxa"/>
            <w:tcBorders>
              <w:top w:val="nil"/>
              <w:left w:val="nil"/>
              <w:bottom w:val="nil"/>
              <w:right w:val="nil"/>
            </w:tcBorders>
            <w:shd w:val="clear" w:color="auto" w:fill="FFFFFF"/>
            <w:tcMar>
              <w:left w:w="67" w:type="dxa"/>
              <w:right w:w="67" w:type="dxa"/>
            </w:tcMar>
            <w:vAlign w:val="center"/>
          </w:tcPr>
          <w:p w14:paraId="77C8A758" w14:textId="77777777" w:rsidR="00B77EA3" w:rsidRPr="0082484A" w:rsidRDefault="00B77EA3" w:rsidP="00B77EA3">
            <w:pPr>
              <w:spacing w:before="0" w:line="240" w:lineRule="auto"/>
              <w:contextualSpacing/>
              <w:jc w:val="center"/>
              <w:rPr>
                <w:sz w:val="22"/>
                <w:szCs w:val="22"/>
              </w:rPr>
            </w:pPr>
            <w:r w:rsidRPr="0082484A">
              <w:rPr>
                <w:sz w:val="22"/>
                <w:szCs w:val="22"/>
              </w:rPr>
              <w:t>0.6774</w:t>
            </w:r>
          </w:p>
        </w:tc>
        <w:tc>
          <w:tcPr>
            <w:tcW w:w="1134" w:type="dxa"/>
            <w:tcBorders>
              <w:top w:val="nil"/>
              <w:left w:val="nil"/>
              <w:bottom w:val="nil"/>
              <w:right w:val="nil"/>
            </w:tcBorders>
            <w:shd w:val="clear" w:color="auto" w:fill="FFFFFF"/>
            <w:tcMar>
              <w:left w:w="67" w:type="dxa"/>
              <w:right w:w="67" w:type="dxa"/>
            </w:tcMar>
            <w:vAlign w:val="center"/>
          </w:tcPr>
          <w:p w14:paraId="67C8CF7B" w14:textId="77777777" w:rsidR="00B77EA3" w:rsidRPr="0082484A" w:rsidRDefault="00B77EA3" w:rsidP="00B77EA3">
            <w:pPr>
              <w:spacing w:before="0" w:line="240" w:lineRule="auto"/>
              <w:contextualSpacing/>
              <w:jc w:val="center"/>
              <w:rPr>
                <w:sz w:val="22"/>
                <w:szCs w:val="22"/>
              </w:rPr>
            </w:pPr>
            <w:r w:rsidRPr="0082484A">
              <w:rPr>
                <w:sz w:val="22"/>
                <w:szCs w:val="22"/>
              </w:rPr>
              <w:t>1.4562</w:t>
            </w:r>
          </w:p>
        </w:tc>
        <w:tc>
          <w:tcPr>
            <w:tcW w:w="1134" w:type="dxa"/>
            <w:tcBorders>
              <w:top w:val="nil"/>
              <w:left w:val="nil"/>
              <w:bottom w:val="nil"/>
              <w:right w:val="nil"/>
            </w:tcBorders>
            <w:shd w:val="clear" w:color="auto" w:fill="FFFFFF"/>
            <w:tcMar>
              <w:left w:w="67" w:type="dxa"/>
              <w:right w:w="67" w:type="dxa"/>
            </w:tcMar>
            <w:vAlign w:val="center"/>
          </w:tcPr>
          <w:p w14:paraId="1DCC8CE9"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B467759"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95D6DB7" w14:textId="77777777" w:rsidR="00B77EA3" w:rsidRPr="0082484A" w:rsidRDefault="00B77EA3" w:rsidP="00B77EA3">
            <w:pPr>
              <w:spacing w:before="0" w:line="240" w:lineRule="auto"/>
              <w:contextualSpacing/>
              <w:jc w:val="center"/>
              <w:rPr>
                <w:sz w:val="22"/>
                <w:szCs w:val="22"/>
              </w:rPr>
            </w:pPr>
          </w:p>
        </w:tc>
      </w:tr>
      <w:tr w:rsidR="00B77EA3" w:rsidRPr="0082484A" w14:paraId="1C12056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7B3EB3"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6215A5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8941C51" w14:textId="77777777" w:rsidR="00B77EA3" w:rsidRPr="0082484A" w:rsidRDefault="00B77EA3" w:rsidP="00B77EA3">
            <w:pPr>
              <w:spacing w:before="0" w:line="240" w:lineRule="auto"/>
              <w:contextualSpacing/>
              <w:jc w:val="center"/>
              <w:rPr>
                <w:sz w:val="22"/>
                <w:szCs w:val="22"/>
              </w:rPr>
            </w:pPr>
            <w:r w:rsidRPr="0082484A">
              <w:rPr>
                <w:sz w:val="22"/>
                <w:szCs w:val="22"/>
              </w:rPr>
              <w:t>0.0423</w:t>
            </w:r>
          </w:p>
        </w:tc>
        <w:tc>
          <w:tcPr>
            <w:tcW w:w="1134" w:type="dxa"/>
            <w:tcBorders>
              <w:top w:val="nil"/>
              <w:left w:val="nil"/>
              <w:bottom w:val="nil"/>
              <w:right w:val="nil"/>
            </w:tcBorders>
            <w:shd w:val="clear" w:color="auto" w:fill="FFFFFF"/>
            <w:tcMar>
              <w:left w:w="67" w:type="dxa"/>
              <w:right w:w="67" w:type="dxa"/>
            </w:tcMar>
            <w:vAlign w:val="center"/>
          </w:tcPr>
          <w:p w14:paraId="250F1F4D" w14:textId="77777777" w:rsidR="00B77EA3" w:rsidRPr="0082484A" w:rsidRDefault="00B77EA3" w:rsidP="00B77EA3">
            <w:pPr>
              <w:spacing w:before="0" w:line="240" w:lineRule="auto"/>
              <w:contextualSpacing/>
              <w:jc w:val="center"/>
              <w:rPr>
                <w:sz w:val="22"/>
                <w:szCs w:val="22"/>
              </w:rPr>
            </w:pPr>
            <w:r w:rsidRPr="0082484A">
              <w:rPr>
                <w:sz w:val="22"/>
                <w:szCs w:val="22"/>
              </w:rPr>
              <w:t>0.2325</w:t>
            </w:r>
          </w:p>
        </w:tc>
        <w:tc>
          <w:tcPr>
            <w:tcW w:w="1134" w:type="dxa"/>
            <w:tcBorders>
              <w:top w:val="nil"/>
              <w:left w:val="nil"/>
              <w:bottom w:val="nil"/>
              <w:right w:val="nil"/>
            </w:tcBorders>
            <w:shd w:val="clear" w:color="auto" w:fill="FFFFFF"/>
            <w:tcMar>
              <w:left w:w="67" w:type="dxa"/>
              <w:right w:w="67" w:type="dxa"/>
            </w:tcMar>
            <w:vAlign w:val="center"/>
          </w:tcPr>
          <w:p w14:paraId="50309893" w14:textId="77777777" w:rsidR="00B77EA3" w:rsidRPr="0082484A" w:rsidRDefault="00B77EA3" w:rsidP="00B77EA3">
            <w:pPr>
              <w:spacing w:before="0" w:line="240" w:lineRule="auto"/>
              <w:contextualSpacing/>
              <w:jc w:val="center"/>
              <w:rPr>
                <w:sz w:val="22"/>
                <w:szCs w:val="22"/>
              </w:rPr>
            </w:pPr>
            <w:r w:rsidRPr="0082484A">
              <w:rPr>
                <w:sz w:val="22"/>
                <w:szCs w:val="22"/>
              </w:rPr>
              <w:t>1.0432</w:t>
            </w:r>
          </w:p>
        </w:tc>
        <w:tc>
          <w:tcPr>
            <w:tcW w:w="1134" w:type="dxa"/>
            <w:tcBorders>
              <w:top w:val="nil"/>
              <w:left w:val="nil"/>
              <w:bottom w:val="nil"/>
              <w:right w:val="nil"/>
            </w:tcBorders>
            <w:shd w:val="clear" w:color="auto" w:fill="FFFFFF"/>
            <w:tcMar>
              <w:left w:w="67" w:type="dxa"/>
              <w:right w:w="67" w:type="dxa"/>
            </w:tcMar>
            <w:vAlign w:val="center"/>
          </w:tcPr>
          <w:p w14:paraId="735A23CE" w14:textId="77777777" w:rsidR="00B77EA3" w:rsidRPr="0082484A" w:rsidRDefault="00B77EA3" w:rsidP="00B77EA3">
            <w:pPr>
              <w:spacing w:before="0" w:line="240" w:lineRule="auto"/>
              <w:contextualSpacing/>
              <w:jc w:val="center"/>
              <w:rPr>
                <w:sz w:val="22"/>
                <w:szCs w:val="22"/>
              </w:rPr>
            </w:pPr>
            <w:r w:rsidRPr="0082484A">
              <w:rPr>
                <w:sz w:val="22"/>
                <w:szCs w:val="22"/>
              </w:rPr>
              <w:t>0.6196</w:t>
            </w:r>
          </w:p>
        </w:tc>
        <w:tc>
          <w:tcPr>
            <w:tcW w:w="1134" w:type="dxa"/>
            <w:tcBorders>
              <w:top w:val="nil"/>
              <w:left w:val="nil"/>
              <w:bottom w:val="nil"/>
              <w:right w:val="nil"/>
            </w:tcBorders>
            <w:shd w:val="clear" w:color="auto" w:fill="FFFFFF"/>
            <w:tcMar>
              <w:left w:w="67" w:type="dxa"/>
              <w:right w:w="67" w:type="dxa"/>
            </w:tcMar>
            <w:vAlign w:val="center"/>
          </w:tcPr>
          <w:p w14:paraId="641C7EF5" w14:textId="77777777" w:rsidR="00B77EA3" w:rsidRPr="0082484A" w:rsidRDefault="00B77EA3" w:rsidP="00B77EA3">
            <w:pPr>
              <w:spacing w:before="0" w:line="240" w:lineRule="auto"/>
              <w:contextualSpacing/>
              <w:jc w:val="center"/>
              <w:rPr>
                <w:sz w:val="22"/>
                <w:szCs w:val="22"/>
              </w:rPr>
            </w:pPr>
            <w:r w:rsidRPr="0082484A">
              <w:rPr>
                <w:sz w:val="22"/>
                <w:szCs w:val="22"/>
              </w:rPr>
              <w:t>1.7566</w:t>
            </w:r>
          </w:p>
        </w:tc>
        <w:tc>
          <w:tcPr>
            <w:tcW w:w="1134" w:type="dxa"/>
            <w:tcBorders>
              <w:top w:val="nil"/>
              <w:left w:val="nil"/>
              <w:bottom w:val="nil"/>
              <w:right w:val="nil"/>
            </w:tcBorders>
            <w:shd w:val="clear" w:color="auto" w:fill="FFFFFF"/>
            <w:tcMar>
              <w:left w:w="67" w:type="dxa"/>
              <w:right w:w="67" w:type="dxa"/>
            </w:tcMar>
            <w:vAlign w:val="center"/>
          </w:tcPr>
          <w:p w14:paraId="343F7737"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1CD3647"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A7E53C" w14:textId="77777777" w:rsidR="00B77EA3" w:rsidRPr="0082484A" w:rsidRDefault="00B77EA3" w:rsidP="00B77EA3">
            <w:pPr>
              <w:spacing w:before="0" w:line="240" w:lineRule="auto"/>
              <w:contextualSpacing/>
              <w:jc w:val="center"/>
              <w:rPr>
                <w:sz w:val="22"/>
                <w:szCs w:val="22"/>
              </w:rPr>
            </w:pPr>
          </w:p>
        </w:tc>
      </w:tr>
      <w:tr w:rsidR="00B77EA3" w:rsidRPr="0082484A" w14:paraId="393F35F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66A373"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E995AD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C3F4292" w14:textId="77777777" w:rsidR="00B77EA3" w:rsidRPr="0082484A" w:rsidRDefault="00B77EA3" w:rsidP="00B77EA3">
            <w:pPr>
              <w:spacing w:before="0" w:line="240" w:lineRule="auto"/>
              <w:contextualSpacing/>
              <w:jc w:val="center"/>
              <w:rPr>
                <w:sz w:val="22"/>
                <w:szCs w:val="22"/>
              </w:rPr>
            </w:pPr>
            <w:r w:rsidRPr="0082484A">
              <w:rPr>
                <w:sz w:val="22"/>
                <w:szCs w:val="22"/>
              </w:rPr>
              <w:t>0.1766</w:t>
            </w:r>
          </w:p>
        </w:tc>
        <w:tc>
          <w:tcPr>
            <w:tcW w:w="1134" w:type="dxa"/>
            <w:tcBorders>
              <w:top w:val="nil"/>
              <w:left w:val="nil"/>
              <w:bottom w:val="nil"/>
              <w:right w:val="nil"/>
            </w:tcBorders>
            <w:shd w:val="clear" w:color="auto" w:fill="FFFFFF"/>
            <w:tcMar>
              <w:left w:w="67" w:type="dxa"/>
              <w:right w:w="67" w:type="dxa"/>
            </w:tcMar>
            <w:vAlign w:val="center"/>
          </w:tcPr>
          <w:p w14:paraId="51E9D206" w14:textId="77777777" w:rsidR="00B77EA3" w:rsidRPr="0082484A" w:rsidRDefault="00B77EA3" w:rsidP="00B77EA3">
            <w:pPr>
              <w:spacing w:before="0" w:line="240" w:lineRule="auto"/>
              <w:contextualSpacing/>
              <w:jc w:val="center"/>
              <w:rPr>
                <w:sz w:val="22"/>
                <w:szCs w:val="22"/>
              </w:rPr>
            </w:pPr>
            <w:r w:rsidRPr="0082484A">
              <w:rPr>
                <w:sz w:val="22"/>
                <w:szCs w:val="22"/>
              </w:rPr>
              <w:t>0.2405</w:t>
            </w:r>
          </w:p>
        </w:tc>
        <w:tc>
          <w:tcPr>
            <w:tcW w:w="1134" w:type="dxa"/>
            <w:tcBorders>
              <w:top w:val="nil"/>
              <w:left w:val="nil"/>
              <w:bottom w:val="nil"/>
              <w:right w:val="nil"/>
            </w:tcBorders>
            <w:shd w:val="clear" w:color="auto" w:fill="FFFFFF"/>
            <w:tcMar>
              <w:left w:w="67" w:type="dxa"/>
              <w:right w:w="67" w:type="dxa"/>
            </w:tcMar>
            <w:vAlign w:val="center"/>
          </w:tcPr>
          <w:p w14:paraId="122B1B1B" w14:textId="77777777" w:rsidR="00B77EA3" w:rsidRPr="0082484A" w:rsidRDefault="00B77EA3" w:rsidP="00B77EA3">
            <w:pPr>
              <w:spacing w:before="0" w:line="240" w:lineRule="auto"/>
              <w:contextualSpacing/>
              <w:jc w:val="center"/>
              <w:rPr>
                <w:sz w:val="22"/>
                <w:szCs w:val="22"/>
              </w:rPr>
            </w:pPr>
            <w:r w:rsidRPr="0082484A">
              <w:rPr>
                <w:sz w:val="22"/>
                <w:szCs w:val="22"/>
              </w:rPr>
              <w:t>1.1932</w:t>
            </w:r>
          </w:p>
        </w:tc>
        <w:tc>
          <w:tcPr>
            <w:tcW w:w="1134" w:type="dxa"/>
            <w:tcBorders>
              <w:top w:val="nil"/>
              <w:left w:val="nil"/>
              <w:bottom w:val="nil"/>
              <w:right w:val="nil"/>
            </w:tcBorders>
            <w:shd w:val="clear" w:color="auto" w:fill="FFFFFF"/>
            <w:tcMar>
              <w:left w:w="67" w:type="dxa"/>
              <w:right w:w="67" w:type="dxa"/>
            </w:tcMar>
            <w:vAlign w:val="center"/>
          </w:tcPr>
          <w:p w14:paraId="1ABB9601" w14:textId="77777777" w:rsidR="00B77EA3" w:rsidRPr="0082484A" w:rsidRDefault="00B77EA3" w:rsidP="00B77EA3">
            <w:pPr>
              <w:spacing w:before="0" w:line="240" w:lineRule="auto"/>
              <w:contextualSpacing/>
              <w:jc w:val="center"/>
              <w:rPr>
                <w:sz w:val="22"/>
                <w:szCs w:val="22"/>
              </w:rPr>
            </w:pPr>
            <w:r w:rsidRPr="0082484A">
              <w:rPr>
                <w:sz w:val="22"/>
                <w:szCs w:val="22"/>
              </w:rPr>
              <w:t>0.6960</w:t>
            </w:r>
          </w:p>
        </w:tc>
        <w:tc>
          <w:tcPr>
            <w:tcW w:w="1134" w:type="dxa"/>
            <w:tcBorders>
              <w:top w:val="nil"/>
              <w:left w:val="nil"/>
              <w:bottom w:val="nil"/>
              <w:right w:val="nil"/>
            </w:tcBorders>
            <w:shd w:val="clear" w:color="auto" w:fill="FFFFFF"/>
            <w:tcMar>
              <w:left w:w="67" w:type="dxa"/>
              <w:right w:w="67" w:type="dxa"/>
            </w:tcMar>
            <w:vAlign w:val="center"/>
          </w:tcPr>
          <w:p w14:paraId="29766ADF" w14:textId="77777777" w:rsidR="00B77EA3" w:rsidRPr="0082484A" w:rsidRDefault="00B77EA3" w:rsidP="00B77EA3">
            <w:pPr>
              <w:spacing w:before="0" w:line="240" w:lineRule="auto"/>
              <w:contextualSpacing/>
              <w:jc w:val="center"/>
              <w:rPr>
                <w:sz w:val="22"/>
                <w:szCs w:val="22"/>
              </w:rPr>
            </w:pPr>
            <w:r w:rsidRPr="0082484A">
              <w:rPr>
                <w:sz w:val="22"/>
                <w:szCs w:val="22"/>
              </w:rPr>
              <w:t>2.0457</w:t>
            </w:r>
          </w:p>
        </w:tc>
        <w:tc>
          <w:tcPr>
            <w:tcW w:w="1134" w:type="dxa"/>
            <w:tcBorders>
              <w:top w:val="nil"/>
              <w:left w:val="nil"/>
              <w:bottom w:val="nil"/>
              <w:right w:val="nil"/>
            </w:tcBorders>
            <w:shd w:val="clear" w:color="auto" w:fill="FFFFFF"/>
            <w:tcMar>
              <w:left w:w="67" w:type="dxa"/>
              <w:right w:w="67" w:type="dxa"/>
            </w:tcMar>
            <w:vAlign w:val="center"/>
          </w:tcPr>
          <w:p w14:paraId="3EEEC3EE"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8DF4FE9"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097E4D" w14:textId="77777777" w:rsidR="00B77EA3" w:rsidRPr="0082484A" w:rsidRDefault="00B77EA3" w:rsidP="00B77EA3">
            <w:pPr>
              <w:spacing w:before="0" w:line="240" w:lineRule="auto"/>
              <w:contextualSpacing/>
              <w:jc w:val="center"/>
              <w:rPr>
                <w:sz w:val="22"/>
                <w:szCs w:val="22"/>
              </w:rPr>
            </w:pPr>
          </w:p>
        </w:tc>
      </w:tr>
      <w:tr w:rsidR="00B77EA3" w:rsidRPr="0082484A" w14:paraId="50145D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9058D49"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09F37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9CE4D83" w14:textId="77777777" w:rsidR="00B77EA3" w:rsidRPr="0082484A" w:rsidRDefault="00B77EA3" w:rsidP="00B77EA3">
            <w:pPr>
              <w:spacing w:before="0" w:line="240" w:lineRule="auto"/>
              <w:contextualSpacing/>
              <w:jc w:val="center"/>
              <w:rPr>
                <w:sz w:val="22"/>
                <w:szCs w:val="22"/>
              </w:rPr>
            </w:pPr>
            <w:r w:rsidRPr="0082484A">
              <w:rPr>
                <w:sz w:val="22"/>
                <w:szCs w:val="22"/>
              </w:rPr>
              <w:t>-0.1381</w:t>
            </w:r>
          </w:p>
        </w:tc>
        <w:tc>
          <w:tcPr>
            <w:tcW w:w="1134" w:type="dxa"/>
            <w:tcBorders>
              <w:top w:val="nil"/>
              <w:left w:val="nil"/>
              <w:bottom w:val="nil"/>
              <w:right w:val="nil"/>
            </w:tcBorders>
            <w:shd w:val="clear" w:color="auto" w:fill="FFFFFF"/>
            <w:tcMar>
              <w:left w:w="67" w:type="dxa"/>
              <w:right w:w="67" w:type="dxa"/>
            </w:tcMar>
            <w:vAlign w:val="center"/>
          </w:tcPr>
          <w:p w14:paraId="1A806B71" w14:textId="77777777" w:rsidR="00B77EA3" w:rsidRPr="0082484A" w:rsidRDefault="00B77EA3" w:rsidP="00B77EA3">
            <w:pPr>
              <w:spacing w:before="0" w:line="240" w:lineRule="auto"/>
              <w:contextualSpacing/>
              <w:jc w:val="center"/>
              <w:rPr>
                <w:sz w:val="22"/>
                <w:szCs w:val="22"/>
              </w:rPr>
            </w:pPr>
            <w:r w:rsidRPr="0082484A">
              <w:rPr>
                <w:sz w:val="22"/>
                <w:szCs w:val="22"/>
              </w:rPr>
              <w:t>0.2575</w:t>
            </w:r>
          </w:p>
        </w:tc>
        <w:tc>
          <w:tcPr>
            <w:tcW w:w="1134" w:type="dxa"/>
            <w:tcBorders>
              <w:top w:val="nil"/>
              <w:left w:val="nil"/>
              <w:bottom w:val="nil"/>
              <w:right w:val="nil"/>
            </w:tcBorders>
            <w:shd w:val="clear" w:color="auto" w:fill="FFFFFF"/>
            <w:tcMar>
              <w:left w:w="67" w:type="dxa"/>
              <w:right w:w="67" w:type="dxa"/>
            </w:tcMar>
            <w:vAlign w:val="center"/>
          </w:tcPr>
          <w:p w14:paraId="4BA68127" w14:textId="77777777" w:rsidR="00B77EA3" w:rsidRPr="0082484A" w:rsidRDefault="00B77EA3" w:rsidP="00B77EA3">
            <w:pPr>
              <w:spacing w:before="0" w:line="240" w:lineRule="auto"/>
              <w:contextualSpacing/>
              <w:jc w:val="center"/>
              <w:rPr>
                <w:sz w:val="22"/>
                <w:szCs w:val="22"/>
              </w:rPr>
            </w:pPr>
            <w:r w:rsidRPr="0082484A">
              <w:rPr>
                <w:sz w:val="22"/>
                <w:szCs w:val="22"/>
              </w:rPr>
              <w:t>0.8710</w:t>
            </w:r>
          </w:p>
        </w:tc>
        <w:tc>
          <w:tcPr>
            <w:tcW w:w="1134" w:type="dxa"/>
            <w:tcBorders>
              <w:top w:val="nil"/>
              <w:left w:val="nil"/>
              <w:bottom w:val="nil"/>
              <w:right w:val="nil"/>
            </w:tcBorders>
            <w:shd w:val="clear" w:color="auto" w:fill="FFFFFF"/>
            <w:tcMar>
              <w:left w:w="67" w:type="dxa"/>
              <w:right w:w="67" w:type="dxa"/>
            </w:tcMar>
            <w:vAlign w:val="center"/>
          </w:tcPr>
          <w:p w14:paraId="4DB58A5C" w14:textId="77777777" w:rsidR="00B77EA3" w:rsidRPr="0082484A" w:rsidRDefault="00B77EA3" w:rsidP="00B77EA3">
            <w:pPr>
              <w:spacing w:before="0" w:line="240" w:lineRule="auto"/>
              <w:contextualSpacing/>
              <w:jc w:val="center"/>
              <w:rPr>
                <w:sz w:val="22"/>
                <w:szCs w:val="22"/>
              </w:rPr>
            </w:pPr>
            <w:r w:rsidRPr="0082484A">
              <w:rPr>
                <w:sz w:val="22"/>
                <w:szCs w:val="22"/>
              </w:rPr>
              <w:t>0.4890</w:t>
            </w:r>
          </w:p>
        </w:tc>
        <w:tc>
          <w:tcPr>
            <w:tcW w:w="1134" w:type="dxa"/>
            <w:tcBorders>
              <w:top w:val="nil"/>
              <w:left w:val="nil"/>
              <w:bottom w:val="nil"/>
              <w:right w:val="nil"/>
            </w:tcBorders>
            <w:shd w:val="clear" w:color="auto" w:fill="FFFFFF"/>
            <w:tcMar>
              <w:left w:w="67" w:type="dxa"/>
              <w:right w:w="67" w:type="dxa"/>
            </w:tcMar>
            <w:vAlign w:val="center"/>
          </w:tcPr>
          <w:p w14:paraId="4889D96B" w14:textId="77777777" w:rsidR="00B77EA3" w:rsidRPr="0082484A" w:rsidRDefault="00B77EA3" w:rsidP="00B77EA3">
            <w:pPr>
              <w:spacing w:before="0" w:line="240" w:lineRule="auto"/>
              <w:contextualSpacing/>
              <w:jc w:val="center"/>
              <w:rPr>
                <w:sz w:val="22"/>
                <w:szCs w:val="22"/>
              </w:rPr>
            </w:pPr>
            <w:r w:rsidRPr="0082484A">
              <w:rPr>
                <w:sz w:val="22"/>
                <w:szCs w:val="22"/>
              </w:rPr>
              <w:t>1.5514</w:t>
            </w:r>
          </w:p>
        </w:tc>
        <w:tc>
          <w:tcPr>
            <w:tcW w:w="1134" w:type="dxa"/>
            <w:tcBorders>
              <w:top w:val="nil"/>
              <w:left w:val="nil"/>
              <w:bottom w:val="nil"/>
              <w:right w:val="nil"/>
            </w:tcBorders>
            <w:shd w:val="clear" w:color="auto" w:fill="FFFFFF"/>
            <w:tcMar>
              <w:left w:w="67" w:type="dxa"/>
              <w:right w:w="67" w:type="dxa"/>
            </w:tcMar>
            <w:vAlign w:val="center"/>
          </w:tcPr>
          <w:p w14:paraId="6B66AA38"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C9D2A11"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63B49B" w14:textId="77777777" w:rsidR="00B77EA3" w:rsidRPr="0082484A" w:rsidRDefault="00B77EA3" w:rsidP="00B77EA3">
            <w:pPr>
              <w:spacing w:before="0" w:line="240" w:lineRule="auto"/>
              <w:contextualSpacing/>
              <w:jc w:val="center"/>
              <w:rPr>
                <w:sz w:val="22"/>
                <w:szCs w:val="22"/>
              </w:rPr>
            </w:pPr>
          </w:p>
        </w:tc>
      </w:tr>
      <w:tr w:rsidR="00B77EA3" w:rsidRPr="0082484A" w14:paraId="485E695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4FE9A6"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CC345B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A576BF5" w14:textId="77777777" w:rsidR="00B77EA3" w:rsidRPr="0082484A" w:rsidRDefault="00B77EA3" w:rsidP="00B77EA3">
            <w:pPr>
              <w:spacing w:before="0" w:line="240" w:lineRule="auto"/>
              <w:contextualSpacing/>
              <w:jc w:val="center"/>
              <w:rPr>
                <w:sz w:val="22"/>
                <w:szCs w:val="22"/>
              </w:rPr>
            </w:pPr>
            <w:r w:rsidRPr="0082484A">
              <w:rPr>
                <w:sz w:val="22"/>
                <w:szCs w:val="22"/>
              </w:rPr>
              <w:t>-0.2038</w:t>
            </w:r>
          </w:p>
        </w:tc>
        <w:tc>
          <w:tcPr>
            <w:tcW w:w="1134" w:type="dxa"/>
            <w:tcBorders>
              <w:top w:val="nil"/>
              <w:left w:val="nil"/>
              <w:bottom w:val="nil"/>
              <w:right w:val="nil"/>
            </w:tcBorders>
            <w:shd w:val="clear" w:color="auto" w:fill="FFFFFF"/>
            <w:tcMar>
              <w:left w:w="67" w:type="dxa"/>
              <w:right w:w="67" w:type="dxa"/>
            </w:tcMar>
            <w:vAlign w:val="center"/>
          </w:tcPr>
          <w:p w14:paraId="26D55911" w14:textId="77777777" w:rsidR="00B77EA3" w:rsidRPr="0082484A" w:rsidRDefault="00B77EA3" w:rsidP="00B77EA3">
            <w:pPr>
              <w:spacing w:before="0" w:line="240" w:lineRule="auto"/>
              <w:contextualSpacing/>
              <w:jc w:val="center"/>
              <w:rPr>
                <w:sz w:val="22"/>
                <w:szCs w:val="22"/>
              </w:rPr>
            </w:pPr>
            <w:r w:rsidRPr="0082484A">
              <w:rPr>
                <w:sz w:val="22"/>
                <w:szCs w:val="22"/>
              </w:rPr>
              <w:t>0.2112</w:t>
            </w:r>
          </w:p>
        </w:tc>
        <w:tc>
          <w:tcPr>
            <w:tcW w:w="1134" w:type="dxa"/>
            <w:tcBorders>
              <w:top w:val="nil"/>
              <w:left w:val="nil"/>
              <w:bottom w:val="nil"/>
              <w:right w:val="nil"/>
            </w:tcBorders>
            <w:shd w:val="clear" w:color="auto" w:fill="FFFFFF"/>
            <w:tcMar>
              <w:left w:w="67" w:type="dxa"/>
              <w:right w:w="67" w:type="dxa"/>
            </w:tcMar>
            <w:vAlign w:val="center"/>
          </w:tcPr>
          <w:p w14:paraId="61C6AA74" w14:textId="77777777" w:rsidR="00B77EA3" w:rsidRPr="0082484A" w:rsidRDefault="00B77EA3" w:rsidP="00B77EA3">
            <w:pPr>
              <w:spacing w:before="0" w:line="240" w:lineRule="auto"/>
              <w:contextualSpacing/>
              <w:jc w:val="center"/>
              <w:rPr>
                <w:sz w:val="22"/>
                <w:szCs w:val="22"/>
              </w:rPr>
            </w:pPr>
            <w:r w:rsidRPr="0082484A">
              <w:rPr>
                <w:sz w:val="22"/>
                <w:szCs w:val="22"/>
              </w:rPr>
              <w:t>0.8157</w:t>
            </w:r>
          </w:p>
        </w:tc>
        <w:tc>
          <w:tcPr>
            <w:tcW w:w="1134" w:type="dxa"/>
            <w:tcBorders>
              <w:top w:val="nil"/>
              <w:left w:val="nil"/>
              <w:bottom w:val="nil"/>
              <w:right w:val="nil"/>
            </w:tcBorders>
            <w:shd w:val="clear" w:color="auto" w:fill="FFFFFF"/>
            <w:tcMar>
              <w:left w:w="67" w:type="dxa"/>
              <w:right w:w="67" w:type="dxa"/>
            </w:tcMar>
            <w:vAlign w:val="center"/>
          </w:tcPr>
          <w:p w14:paraId="1D8616B5" w14:textId="77777777" w:rsidR="00B77EA3" w:rsidRPr="0082484A" w:rsidRDefault="00B77EA3" w:rsidP="00B77EA3">
            <w:pPr>
              <w:spacing w:before="0" w:line="240" w:lineRule="auto"/>
              <w:contextualSpacing/>
              <w:jc w:val="center"/>
              <w:rPr>
                <w:sz w:val="22"/>
                <w:szCs w:val="22"/>
              </w:rPr>
            </w:pPr>
            <w:r w:rsidRPr="0082484A">
              <w:rPr>
                <w:sz w:val="22"/>
                <w:szCs w:val="22"/>
              </w:rPr>
              <w:t>0.5081</w:t>
            </w:r>
          </w:p>
        </w:tc>
        <w:tc>
          <w:tcPr>
            <w:tcW w:w="1134" w:type="dxa"/>
            <w:tcBorders>
              <w:top w:val="nil"/>
              <w:left w:val="nil"/>
              <w:bottom w:val="nil"/>
              <w:right w:val="nil"/>
            </w:tcBorders>
            <w:shd w:val="clear" w:color="auto" w:fill="FFFFFF"/>
            <w:tcMar>
              <w:left w:w="67" w:type="dxa"/>
              <w:right w:w="67" w:type="dxa"/>
            </w:tcMar>
            <w:vAlign w:val="center"/>
          </w:tcPr>
          <w:p w14:paraId="3C21ED2E" w14:textId="77777777" w:rsidR="00B77EA3" w:rsidRPr="0082484A" w:rsidRDefault="00B77EA3" w:rsidP="00B77EA3">
            <w:pPr>
              <w:spacing w:before="0" w:line="240" w:lineRule="auto"/>
              <w:contextualSpacing/>
              <w:jc w:val="center"/>
              <w:rPr>
                <w:sz w:val="22"/>
                <w:szCs w:val="22"/>
              </w:rPr>
            </w:pPr>
            <w:r w:rsidRPr="0082484A">
              <w:rPr>
                <w:sz w:val="22"/>
                <w:szCs w:val="22"/>
              </w:rPr>
              <w:t>1.3094</w:t>
            </w:r>
          </w:p>
        </w:tc>
        <w:tc>
          <w:tcPr>
            <w:tcW w:w="1134" w:type="dxa"/>
            <w:tcBorders>
              <w:top w:val="nil"/>
              <w:left w:val="nil"/>
              <w:bottom w:val="nil"/>
              <w:right w:val="nil"/>
            </w:tcBorders>
            <w:shd w:val="clear" w:color="auto" w:fill="FFFFFF"/>
            <w:tcMar>
              <w:left w:w="67" w:type="dxa"/>
              <w:right w:w="67" w:type="dxa"/>
            </w:tcMar>
            <w:vAlign w:val="center"/>
          </w:tcPr>
          <w:p w14:paraId="7C94C5DD"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277AC6A"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1E4588" w14:textId="77777777" w:rsidR="00B77EA3" w:rsidRPr="0082484A" w:rsidRDefault="00B77EA3" w:rsidP="00B77EA3">
            <w:pPr>
              <w:spacing w:before="0" w:line="240" w:lineRule="auto"/>
              <w:contextualSpacing/>
              <w:jc w:val="center"/>
              <w:rPr>
                <w:sz w:val="22"/>
                <w:szCs w:val="22"/>
              </w:rPr>
            </w:pPr>
          </w:p>
        </w:tc>
      </w:tr>
      <w:tr w:rsidR="00B77EA3" w:rsidRPr="0082484A" w14:paraId="181E7D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8FB2C74"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6E54AC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72E966" w14:textId="77777777" w:rsidR="00B77EA3" w:rsidRPr="0082484A" w:rsidRDefault="00B77EA3" w:rsidP="00B77EA3">
            <w:pPr>
              <w:spacing w:before="0" w:line="240" w:lineRule="auto"/>
              <w:contextualSpacing/>
              <w:jc w:val="center"/>
              <w:rPr>
                <w:sz w:val="22"/>
                <w:szCs w:val="22"/>
              </w:rPr>
            </w:pPr>
            <w:r w:rsidRPr="0082484A">
              <w:rPr>
                <w:sz w:val="22"/>
                <w:szCs w:val="22"/>
              </w:rPr>
              <w:t>-0.4759</w:t>
            </w:r>
          </w:p>
        </w:tc>
        <w:tc>
          <w:tcPr>
            <w:tcW w:w="1134" w:type="dxa"/>
            <w:tcBorders>
              <w:top w:val="nil"/>
              <w:left w:val="nil"/>
              <w:bottom w:val="nil"/>
              <w:right w:val="nil"/>
            </w:tcBorders>
            <w:shd w:val="clear" w:color="auto" w:fill="FFFFFF"/>
            <w:tcMar>
              <w:left w:w="67" w:type="dxa"/>
              <w:right w:w="67" w:type="dxa"/>
            </w:tcMar>
            <w:vAlign w:val="center"/>
          </w:tcPr>
          <w:p w14:paraId="4470A281" w14:textId="77777777" w:rsidR="00B77EA3" w:rsidRPr="0082484A" w:rsidRDefault="00B77EA3" w:rsidP="00B77EA3">
            <w:pPr>
              <w:spacing w:before="0" w:line="240" w:lineRule="auto"/>
              <w:contextualSpacing/>
              <w:jc w:val="center"/>
              <w:rPr>
                <w:sz w:val="22"/>
                <w:szCs w:val="22"/>
              </w:rPr>
            </w:pPr>
            <w:r w:rsidRPr="0082484A">
              <w:rPr>
                <w:sz w:val="22"/>
                <w:szCs w:val="22"/>
              </w:rPr>
              <w:t>0.2597</w:t>
            </w:r>
          </w:p>
        </w:tc>
        <w:tc>
          <w:tcPr>
            <w:tcW w:w="1134" w:type="dxa"/>
            <w:tcBorders>
              <w:top w:val="nil"/>
              <w:left w:val="nil"/>
              <w:bottom w:val="nil"/>
              <w:right w:val="nil"/>
            </w:tcBorders>
            <w:shd w:val="clear" w:color="auto" w:fill="FFFFFF"/>
            <w:tcMar>
              <w:left w:w="67" w:type="dxa"/>
              <w:right w:w="67" w:type="dxa"/>
            </w:tcMar>
            <w:vAlign w:val="center"/>
          </w:tcPr>
          <w:p w14:paraId="30170E66" w14:textId="77777777" w:rsidR="00B77EA3" w:rsidRPr="0082484A" w:rsidRDefault="00B77EA3" w:rsidP="00B77EA3">
            <w:pPr>
              <w:spacing w:before="0" w:line="240" w:lineRule="auto"/>
              <w:contextualSpacing/>
              <w:jc w:val="center"/>
              <w:rPr>
                <w:sz w:val="22"/>
                <w:szCs w:val="22"/>
              </w:rPr>
            </w:pPr>
            <w:r w:rsidRPr="0082484A">
              <w:rPr>
                <w:sz w:val="22"/>
                <w:szCs w:val="22"/>
              </w:rPr>
              <w:t>0.6214</w:t>
            </w:r>
          </w:p>
        </w:tc>
        <w:tc>
          <w:tcPr>
            <w:tcW w:w="1134" w:type="dxa"/>
            <w:tcBorders>
              <w:top w:val="nil"/>
              <w:left w:val="nil"/>
              <w:bottom w:val="nil"/>
              <w:right w:val="nil"/>
            </w:tcBorders>
            <w:shd w:val="clear" w:color="auto" w:fill="FFFFFF"/>
            <w:tcMar>
              <w:left w:w="67" w:type="dxa"/>
              <w:right w:w="67" w:type="dxa"/>
            </w:tcMar>
            <w:vAlign w:val="center"/>
          </w:tcPr>
          <w:p w14:paraId="7F90293B" w14:textId="77777777" w:rsidR="00B77EA3" w:rsidRPr="0082484A" w:rsidRDefault="00B77EA3" w:rsidP="00B77EA3">
            <w:pPr>
              <w:spacing w:before="0" w:line="240" w:lineRule="auto"/>
              <w:contextualSpacing/>
              <w:jc w:val="center"/>
              <w:rPr>
                <w:sz w:val="22"/>
                <w:szCs w:val="22"/>
              </w:rPr>
            </w:pPr>
            <w:r w:rsidRPr="0082484A">
              <w:rPr>
                <w:sz w:val="22"/>
                <w:szCs w:val="22"/>
              </w:rPr>
              <w:t>0.3472</w:t>
            </w:r>
          </w:p>
        </w:tc>
        <w:tc>
          <w:tcPr>
            <w:tcW w:w="1134" w:type="dxa"/>
            <w:tcBorders>
              <w:top w:val="nil"/>
              <w:left w:val="nil"/>
              <w:bottom w:val="nil"/>
              <w:right w:val="nil"/>
            </w:tcBorders>
            <w:shd w:val="clear" w:color="auto" w:fill="FFFFFF"/>
            <w:tcMar>
              <w:left w:w="67" w:type="dxa"/>
              <w:right w:w="67" w:type="dxa"/>
            </w:tcMar>
            <w:vAlign w:val="center"/>
          </w:tcPr>
          <w:p w14:paraId="588AB5E4" w14:textId="77777777" w:rsidR="00B77EA3" w:rsidRPr="0082484A" w:rsidRDefault="00B77EA3" w:rsidP="00B77EA3">
            <w:pPr>
              <w:spacing w:before="0" w:line="240" w:lineRule="auto"/>
              <w:contextualSpacing/>
              <w:jc w:val="center"/>
              <w:rPr>
                <w:sz w:val="22"/>
                <w:szCs w:val="22"/>
              </w:rPr>
            </w:pPr>
            <w:r w:rsidRPr="0082484A">
              <w:rPr>
                <w:sz w:val="22"/>
                <w:szCs w:val="22"/>
              </w:rPr>
              <w:t>1.1121</w:t>
            </w:r>
          </w:p>
        </w:tc>
        <w:tc>
          <w:tcPr>
            <w:tcW w:w="1134" w:type="dxa"/>
            <w:tcBorders>
              <w:top w:val="nil"/>
              <w:left w:val="nil"/>
              <w:bottom w:val="nil"/>
              <w:right w:val="nil"/>
            </w:tcBorders>
            <w:shd w:val="clear" w:color="auto" w:fill="FFFFFF"/>
            <w:tcMar>
              <w:left w:w="67" w:type="dxa"/>
              <w:right w:w="67" w:type="dxa"/>
            </w:tcMar>
            <w:vAlign w:val="center"/>
          </w:tcPr>
          <w:p w14:paraId="5C70D699"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FE5A590"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80D7A6D" w14:textId="77777777" w:rsidR="00B77EA3" w:rsidRPr="0082484A" w:rsidRDefault="00B77EA3" w:rsidP="00B77EA3">
            <w:pPr>
              <w:spacing w:before="0" w:line="240" w:lineRule="auto"/>
              <w:contextualSpacing/>
              <w:jc w:val="center"/>
              <w:rPr>
                <w:sz w:val="22"/>
                <w:szCs w:val="22"/>
              </w:rPr>
            </w:pPr>
          </w:p>
        </w:tc>
      </w:tr>
      <w:tr w:rsidR="00B77EA3" w:rsidRPr="0082484A" w14:paraId="1613083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CE7D91" w14:textId="77777777" w:rsidR="00B77EA3" w:rsidRPr="0082484A" w:rsidRDefault="00B77EA3" w:rsidP="00B77EA3">
            <w:pPr>
              <w:spacing w:before="0" w:line="240" w:lineRule="auto"/>
              <w:contextualSpacing/>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0B4030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4E6390D" w14:textId="77777777" w:rsidR="00B77EA3" w:rsidRPr="0082484A" w:rsidRDefault="00B77EA3" w:rsidP="00B77EA3">
            <w:pPr>
              <w:spacing w:before="0" w:line="240" w:lineRule="auto"/>
              <w:contextualSpacing/>
              <w:jc w:val="center"/>
              <w:rPr>
                <w:sz w:val="22"/>
                <w:szCs w:val="22"/>
              </w:rPr>
            </w:pPr>
            <w:r w:rsidRPr="0082484A">
              <w:rPr>
                <w:sz w:val="22"/>
                <w:szCs w:val="22"/>
              </w:rPr>
              <w:t>0.0942</w:t>
            </w:r>
          </w:p>
        </w:tc>
        <w:tc>
          <w:tcPr>
            <w:tcW w:w="1134" w:type="dxa"/>
            <w:tcBorders>
              <w:top w:val="nil"/>
              <w:left w:val="nil"/>
              <w:bottom w:val="nil"/>
              <w:right w:val="nil"/>
            </w:tcBorders>
            <w:shd w:val="clear" w:color="auto" w:fill="FFFFFF"/>
            <w:tcMar>
              <w:left w:w="67" w:type="dxa"/>
              <w:right w:w="67" w:type="dxa"/>
            </w:tcMar>
            <w:vAlign w:val="center"/>
          </w:tcPr>
          <w:p w14:paraId="3F27A96D" w14:textId="77777777" w:rsidR="00B77EA3" w:rsidRPr="0082484A" w:rsidRDefault="00B77EA3" w:rsidP="00B77EA3">
            <w:pPr>
              <w:spacing w:before="0" w:line="240" w:lineRule="auto"/>
              <w:contextualSpacing/>
              <w:jc w:val="center"/>
              <w:rPr>
                <w:sz w:val="22"/>
                <w:szCs w:val="22"/>
              </w:rPr>
            </w:pPr>
            <w:r w:rsidRPr="0082484A">
              <w:rPr>
                <w:sz w:val="22"/>
                <w:szCs w:val="22"/>
              </w:rPr>
              <w:t>0.2101</w:t>
            </w:r>
          </w:p>
        </w:tc>
        <w:tc>
          <w:tcPr>
            <w:tcW w:w="1134" w:type="dxa"/>
            <w:tcBorders>
              <w:top w:val="nil"/>
              <w:left w:val="nil"/>
              <w:bottom w:val="nil"/>
              <w:right w:val="nil"/>
            </w:tcBorders>
            <w:shd w:val="clear" w:color="auto" w:fill="FFFFFF"/>
            <w:tcMar>
              <w:left w:w="67" w:type="dxa"/>
              <w:right w:w="67" w:type="dxa"/>
            </w:tcMar>
            <w:vAlign w:val="center"/>
          </w:tcPr>
          <w:p w14:paraId="6F9B7E41" w14:textId="77777777" w:rsidR="00B77EA3" w:rsidRPr="0082484A" w:rsidRDefault="00B77EA3" w:rsidP="00B77EA3">
            <w:pPr>
              <w:spacing w:before="0" w:line="240" w:lineRule="auto"/>
              <w:contextualSpacing/>
              <w:jc w:val="center"/>
              <w:rPr>
                <w:sz w:val="22"/>
                <w:szCs w:val="22"/>
              </w:rPr>
            </w:pPr>
            <w:r w:rsidRPr="0082484A">
              <w:rPr>
                <w:sz w:val="22"/>
                <w:szCs w:val="22"/>
              </w:rPr>
              <w:t>1.0988</w:t>
            </w:r>
          </w:p>
        </w:tc>
        <w:tc>
          <w:tcPr>
            <w:tcW w:w="1134" w:type="dxa"/>
            <w:tcBorders>
              <w:top w:val="nil"/>
              <w:left w:val="nil"/>
              <w:bottom w:val="nil"/>
              <w:right w:val="nil"/>
            </w:tcBorders>
            <w:shd w:val="clear" w:color="auto" w:fill="FFFFFF"/>
            <w:tcMar>
              <w:left w:w="67" w:type="dxa"/>
              <w:right w:w="67" w:type="dxa"/>
            </w:tcMar>
            <w:vAlign w:val="center"/>
          </w:tcPr>
          <w:p w14:paraId="3B4784A4" w14:textId="77777777" w:rsidR="00B77EA3" w:rsidRPr="0082484A" w:rsidRDefault="00B77EA3" w:rsidP="00B77EA3">
            <w:pPr>
              <w:spacing w:before="0" w:line="240" w:lineRule="auto"/>
              <w:contextualSpacing/>
              <w:jc w:val="center"/>
              <w:rPr>
                <w:sz w:val="22"/>
                <w:szCs w:val="22"/>
              </w:rPr>
            </w:pPr>
            <w:r w:rsidRPr="0082484A">
              <w:rPr>
                <w:sz w:val="22"/>
                <w:szCs w:val="22"/>
              </w:rPr>
              <w:t>0.6861</w:t>
            </w:r>
          </w:p>
        </w:tc>
        <w:tc>
          <w:tcPr>
            <w:tcW w:w="1134" w:type="dxa"/>
            <w:tcBorders>
              <w:top w:val="nil"/>
              <w:left w:val="nil"/>
              <w:bottom w:val="nil"/>
              <w:right w:val="nil"/>
            </w:tcBorders>
            <w:shd w:val="clear" w:color="auto" w:fill="FFFFFF"/>
            <w:tcMar>
              <w:left w:w="67" w:type="dxa"/>
              <w:right w:w="67" w:type="dxa"/>
            </w:tcMar>
            <w:vAlign w:val="center"/>
          </w:tcPr>
          <w:p w14:paraId="41B85953" w14:textId="77777777" w:rsidR="00B77EA3" w:rsidRPr="0082484A" w:rsidRDefault="00B77EA3" w:rsidP="00B77EA3">
            <w:pPr>
              <w:spacing w:before="0" w:line="240" w:lineRule="auto"/>
              <w:contextualSpacing/>
              <w:jc w:val="center"/>
              <w:rPr>
                <w:sz w:val="22"/>
                <w:szCs w:val="22"/>
              </w:rPr>
            </w:pPr>
            <w:r w:rsidRPr="0082484A">
              <w:rPr>
                <w:sz w:val="22"/>
                <w:szCs w:val="22"/>
              </w:rPr>
              <w:t>1.7597</w:t>
            </w:r>
          </w:p>
        </w:tc>
        <w:tc>
          <w:tcPr>
            <w:tcW w:w="1134" w:type="dxa"/>
            <w:tcBorders>
              <w:top w:val="nil"/>
              <w:left w:val="nil"/>
              <w:bottom w:val="nil"/>
              <w:right w:val="nil"/>
            </w:tcBorders>
            <w:shd w:val="clear" w:color="auto" w:fill="FFFFFF"/>
            <w:tcMar>
              <w:left w:w="67" w:type="dxa"/>
              <w:right w:w="67" w:type="dxa"/>
            </w:tcMar>
            <w:vAlign w:val="center"/>
          </w:tcPr>
          <w:p w14:paraId="5847A582" w14:textId="77777777" w:rsidR="00B77EA3" w:rsidRPr="0082484A" w:rsidRDefault="00B77EA3" w:rsidP="00B77EA3">
            <w:pPr>
              <w:spacing w:before="0" w:line="240" w:lineRule="auto"/>
              <w:contextualSpacing/>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FA55CB1" w14:textId="77777777" w:rsidR="00B77EA3" w:rsidRPr="0082484A" w:rsidRDefault="00B77EA3" w:rsidP="00B77EA3">
            <w:pPr>
              <w:spacing w:before="0" w:line="240" w:lineRule="auto"/>
              <w:contextualSpacing/>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E1E4CB" w14:textId="77777777" w:rsidR="00B77EA3" w:rsidRPr="0082484A" w:rsidRDefault="00B77EA3" w:rsidP="00B77EA3">
            <w:pPr>
              <w:spacing w:before="0" w:line="240" w:lineRule="auto"/>
              <w:contextualSpacing/>
              <w:jc w:val="center"/>
              <w:rPr>
                <w:sz w:val="22"/>
                <w:szCs w:val="22"/>
              </w:rPr>
            </w:pPr>
          </w:p>
        </w:tc>
      </w:tr>
      <w:tr w:rsidR="00B77EA3" w:rsidRPr="0082484A" w14:paraId="67677C5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32E7F2A" w14:textId="77777777" w:rsidR="00B77EA3" w:rsidRPr="0082484A" w:rsidRDefault="00B77EA3" w:rsidP="00B77EA3">
            <w:pPr>
              <w:spacing w:before="0" w:line="240" w:lineRule="auto"/>
              <w:contextualSpacing/>
              <w:rPr>
                <w:sz w:val="22"/>
                <w:szCs w:val="22"/>
              </w:rPr>
            </w:pPr>
            <w:r w:rsidRPr="0082484A">
              <w:rPr>
                <w:sz w:val="22"/>
                <w:szCs w:val="22"/>
              </w:rPr>
              <w:lastRenderedPageBreak/>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59D16B03"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2033C90" w14:textId="77777777" w:rsidR="00B77EA3" w:rsidRPr="0082484A" w:rsidRDefault="00B77EA3" w:rsidP="00B77EA3">
            <w:pPr>
              <w:spacing w:before="0" w:line="240" w:lineRule="auto"/>
              <w:contextualSpacing/>
              <w:jc w:val="center"/>
              <w:rPr>
                <w:sz w:val="22"/>
                <w:szCs w:val="22"/>
              </w:rPr>
            </w:pPr>
            <w:r w:rsidRPr="0082484A">
              <w:rPr>
                <w:sz w:val="22"/>
                <w:szCs w:val="22"/>
              </w:rPr>
              <w:t>0.0802</w:t>
            </w:r>
          </w:p>
        </w:tc>
        <w:tc>
          <w:tcPr>
            <w:tcW w:w="1134" w:type="dxa"/>
            <w:tcBorders>
              <w:top w:val="nil"/>
              <w:left w:val="nil"/>
              <w:bottom w:val="nil"/>
              <w:right w:val="nil"/>
            </w:tcBorders>
            <w:shd w:val="clear" w:color="auto" w:fill="FFFFFF"/>
            <w:tcMar>
              <w:left w:w="67" w:type="dxa"/>
              <w:right w:w="67" w:type="dxa"/>
            </w:tcMar>
            <w:vAlign w:val="center"/>
          </w:tcPr>
          <w:p w14:paraId="61373E6C" w14:textId="77777777" w:rsidR="00B77EA3" w:rsidRPr="0082484A" w:rsidRDefault="00B77EA3" w:rsidP="00B77EA3">
            <w:pPr>
              <w:spacing w:before="0" w:line="240" w:lineRule="auto"/>
              <w:contextualSpacing/>
              <w:jc w:val="center"/>
              <w:rPr>
                <w:sz w:val="22"/>
                <w:szCs w:val="22"/>
              </w:rPr>
            </w:pPr>
            <w:r w:rsidRPr="0082484A">
              <w:rPr>
                <w:sz w:val="22"/>
                <w:szCs w:val="22"/>
              </w:rPr>
              <w:t>0.0128</w:t>
            </w:r>
          </w:p>
        </w:tc>
        <w:tc>
          <w:tcPr>
            <w:tcW w:w="1134" w:type="dxa"/>
            <w:tcBorders>
              <w:top w:val="nil"/>
              <w:left w:val="nil"/>
              <w:bottom w:val="nil"/>
              <w:right w:val="nil"/>
            </w:tcBorders>
            <w:shd w:val="clear" w:color="auto" w:fill="FFFFFF"/>
            <w:tcMar>
              <w:left w:w="67" w:type="dxa"/>
              <w:right w:w="67" w:type="dxa"/>
            </w:tcMar>
            <w:vAlign w:val="center"/>
          </w:tcPr>
          <w:p w14:paraId="1F629478" w14:textId="77777777" w:rsidR="00B77EA3" w:rsidRPr="0082484A" w:rsidRDefault="00B77EA3" w:rsidP="00B77EA3">
            <w:pPr>
              <w:spacing w:before="0" w:line="240" w:lineRule="auto"/>
              <w:contextualSpacing/>
              <w:jc w:val="center"/>
              <w:rPr>
                <w:sz w:val="22"/>
                <w:szCs w:val="22"/>
              </w:rPr>
            </w:pPr>
            <w:r w:rsidRPr="0082484A">
              <w:rPr>
                <w:sz w:val="22"/>
                <w:szCs w:val="22"/>
              </w:rPr>
              <w:t>1.0835</w:t>
            </w:r>
          </w:p>
        </w:tc>
        <w:tc>
          <w:tcPr>
            <w:tcW w:w="1134" w:type="dxa"/>
            <w:tcBorders>
              <w:top w:val="nil"/>
              <w:left w:val="nil"/>
              <w:bottom w:val="nil"/>
              <w:right w:val="nil"/>
            </w:tcBorders>
            <w:shd w:val="clear" w:color="auto" w:fill="FFFFFF"/>
            <w:tcMar>
              <w:left w:w="67" w:type="dxa"/>
              <w:right w:w="67" w:type="dxa"/>
            </w:tcMar>
            <w:vAlign w:val="center"/>
          </w:tcPr>
          <w:p w14:paraId="23E69444" w14:textId="77777777" w:rsidR="00B77EA3" w:rsidRPr="0082484A" w:rsidRDefault="00B77EA3" w:rsidP="00B77EA3">
            <w:pPr>
              <w:spacing w:before="0" w:line="240" w:lineRule="auto"/>
              <w:contextualSpacing/>
              <w:jc w:val="center"/>
              <w:rPr>
                <w:sz w:val="22"/>
                <w:szCs w:val="22"/>
              </w:rPr>
            </w:pPr>
            <w:r w:rsidRPr="0082484A">
              <w:rPr>
                <w:sz w:val="22"/>
                <w:szCs w:val="22"/>
              </w:rPr>
              <w:t>1.0529</w:t>
            </w:r>
          </w:p>
        </w:tc>
        <w:tc>
          <w:tcPr>
            <w:tcW w:w="1134" w:type="dxa"/>
            <w:tcBorders>
              <w:top w:val="nil"/>
              <w:left w:val="nil"/>
              <w:bottom w:val="nil"/>
              <w:right w:val="nil"/>
            </w:tcBorders>
            <w:shd w:val="clear" w:color="auto" w:fill="FFFFFF"/>
            <w:tcMar>
              <w:left w:w="67" w:type="dxa"/>
              <w:right w:w="67" w:type="dxa"/>
            </w:tcMar>
            <w:vAlign w:val="center"/>
          </w:tcPr>
          <w:p w14:paraId="5FD2B1EB" w14:textId="77777777" w:rsidR="00B77EA3" w:rsidRPr="0082484A" w:rsidRDefault="00B77EA3" w:rsidP="00B77EA3">
            <w:pPr>
              <w:spacing w:before="0" w:line="240" w:lineRule="auto"/>
              <w:contextualSpacing/>
              <w:jc w:val="center"/>
              <w:rPr>
                <w:sz w:val="22"/>
                <w:szCs w:val="22"/>
              </w:rPr>
            </w:pPr>
            <w:r w:rsidRPr="0082484A">
              <w:rPr>
                <w:sz w:val="22"/>
                <w:szCs w:val="22"/>
              </w:rPr>
              <w:t>1.1150</w:t>
            </w:r>
          </w:p>
        </w:tc>
        <w:tc>
          <w:tcPr>
            <w:tcW w:w="1134" w:type="dxa"/>
            <w:tcBorders>
              <w:top w:val="nil"/>
              <w:left w:val="nil"/>
              <w:bottom w:val="nil"/>
              <w:right w:val="nil"/>
            </w:tcBorders>
            <w:shd w:val="clear" w:color="auto" w:fill="FFFFFF"/>
            <w:tcMar>
              <w:left w:w="67" w:type="dxa"/>
              <w:right w:w="67" w:type="dxa"/>
            </w:tcMar>
            <w:vAlign w:val="center"/>
          </w:tcPr>
          <w:p w14:paraId="31006D92" w14:textId="77777777" w:rsidR="00B77EA3" w:rsidRPr="0082484A" w:rsidRDefault="00B77EA3" w:rsidP="00B77EA3">
            <w:pPr>
              <w:spacing w:before="0" w:line="240" w:lineRule="auto"/>
              <w:contextualSpacing/>
              <w:jc w:val="center"/>
              <w:rPr>
                <w:sz w:val="22"/>
                <w:szCs w:val="22"/>
              </w:rPr>
            </w:pPr>
            <w:r w:rsidRPr="0082484A">
              <w:rPr>
                <w:sz w:val="22"/>
                <w:szCs w:val="22"/>
              </w:rPr>
              <w:t>39.37</w:t>
            </w:r>
          </w:p>
        </w:tc>
        <w:tc>
          <w:tcPr>
            <w:tcW w:w="567" w:type="dxa"/>
            <w:tcBorders>
              <w:top w:val="nil"/>
              <w:left w:val="nil"/>
              <w:bottom w:val="nil"/>
              <w:right w:val="nil"/>
            </w:tcBorders>
            <w:shd w:val="clear" w:color="auto" w:fill="FFFFFF"/>
            <w:tcMar>
              <w:left w:w="67" w:type="dxa"/>
              <w:right w:w="67" w:type="dxa"/>
            </w:tcMar>
            <w:vAlign w:val="center"/>
          </w:tcPr>
          <w:p w14:paraId="787854C6"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592EDC" w14:textId="77777777" w:rsidR="00B77EA3" w:rsidRPr="0082484A" w:rsidRDefault="00B77EA3" w:rsidP="00B77EA3">
            <w:pPr>
              <w:spacing w:before="0" w:line="240" w:lineRule="auto"/>
              <w:contextualSpacing/>
              <w:jc w:val="center"/>
              <w:rPr>
                <w:sz w:val="22"/>
                <w:szCs w:val="22"/>
              </w:rPr>
            </w:pPr>
            <w:r w:rsidRPr="0082484A">
              <w:rPr>
                <w:sz w:val="22"/>
                <w:szCs w:val="22"/>
              </w:rPr>
              <w:t>&lt;.0001</w:t>
            </w:r>
          </w:p>
        </w:tc>
      </w:tr>
      <w:tr w:rsidR="00B77EA3" w:rsidRPr="0082484A" w14:paraId="22B14AA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81B292C" w14:textId="77777777" w:rsidR="00B77EA3" w:rsidRPr="0082484A" w:rsidRDefault="00B77EA3" w:rsidP="00B77EA3">
            <w:pPr>
              <w:spacing w:before="0" w:line="240" w:lineRule="auto"/>
              <w:contextualSpacing/>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15073C9A"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1AC9B96" w14:textId="77777777" w:rsidR="00B77EA3" w:rsidRPr="0082484A" w:rsidRDefault="00B77EA3" w:rsidP="00B77EA3">
            <w:pPr>
              <w:spacing w:before="0" w:line="240" w:lineRule="auto"/>
              <w:contextualSpacing/>
              <w:jc w:val="center"/>
              <w:rPr>
                <w:sz w:val="22"/>
                <w:szCs w:val="22"/>
              </w:rPr>
            </w:pPr>
            <w:r w:rsidRPr="0082484A">
              <w:rPr>
                <w:sz w:val="22"/>
                <w:szCs w:val="22"/>
              </w:rPr>
              <w:t>-0.0057</w:t>
            </w:r>
          </w:p>
        </w:tc>
        <w:tc>
          <w:tcPr>
            <w:tcW w:w="1134" w:type="dxa"/>
            <w:tcBorders>
              <w:top w:val="nil"/>
              <w:left w:val="nil"/>
              <w:bottom w:val="nil"/>
              <w:right w:val="nil"/>
            </w:tcBorders>
            <w:shd w:val="clear" w:color="auto" w:fill="FFFFFF"/>
            <w:tcMar>
              <w:left w:w="67" w:type="dxa"/>
              <w:right w:w="67" w:type="dxa"/>
            </w:tcMar>
            <w:vAlign w:val="center"/>
          </w:tcPr>
          <w:p w14:paraId="65D9B9CF" w14:textId="77777777" w:rsidR="00B77EA3" w:rsidRPr="0082484A" w:rsidRDefault="00B77EA3" w:rsidP="00B77EA3">
            <w:pPr>
              <w:spacing w:before="0" w:line="240" w:lineRule="auto"/>
              <w:contextualSpacing/>
              <w:jc w:val="center"/>
              <w:rPr>
                <w:sz w:val="22"/>
                <w:szCs w:val="22"/>
              </w:rPr>
            </w:pPr>
            <w:r w:rsidRPr="0082484A">
              <w:rPr>
                <w:sz w:val="22"/>
                <w:szCs w:val="22"/>
              </w:rPr>
              <w:t>0.0078</w:t>
            </w:r>
          </w:p>
        </w:tc>
        <w:tc>
          <w:tcPr>
            <w:tcW w:w="1134" w:type="dxa"/>
            <w:tcBorders>
              <w:top w:val="nil"/>
              <w:left w:val="nil"/>
              <w:bottom w:val="nil"/>
              <w:right w:val="nil"/>
            </w:tcBorders>
            <w:shd w:val="clear" w:color="auto" w:fill="FFFFFF"/>
            <w:tcMar>
              <w:left w:w="67" w:type="dxa"/>
              <w:right w:w="67" w:type="dxa"/>
            </w:tcMar>
            <w:vAlign w:val="center"/>
          </w:tcPr>
          <w:p w14:paraId="6CBA1EC0" w14:textId="77777777" w:rsidR="00B77EA3" w:rsidRPr="0082484A" w:rsidRDefault="00B77EA3" w:rsidP="00B77EA3">
            <w:pPr>
              <w:spacing w:before="0" w:line="240" w:lineRule="auto"/>
              <w:contextualSpacing/>
              <w:jc w:val="center"/>
              <w:rPr>
                <w:sz w:val="22"/>
                <w:szCs w:val="22"/>
              </w:rPr>
            </w:pPr>
            <w:r w:rsidRPr="0082484A">
              <w:rPr>
                <w:sz w:val="22"/>
                <w:szCs w:val="22"/>
              </w:rPr>
              <w:t>0.9943</w:t>
            </w:r>
          </w:p>
        </w:tc>
        <w:tc>
          <w:tcPr>
            <w:tcW w:w="1134" w:type="dxa"/>
            <w:tcBorders>
              <w:top w:val="nil"/>
              <w:left w:val="nil"/>
              <w:bottom w:val="nil"/>
              <w:right w:val="nil"/>
            </w:tcBorders>
            <w:shd w:val="clear" w:color="auto" w:fill="FFFFFF"/>
            <w:tcMar>
              <w:left w:w="67" w:type="dxa"/>
              <w:right w:w="67" w:type="dxa"/>
            </w:tcMar>
            <w:vAlign w:val="center"/>
          </w:tcPr>
          <w:p w14:paraId="3B3AA2D0" w14:textId="77777777" w:rsidR="00B77EA3" w:rsidRPr="0082484A" w:rsidRDefault="00B77EA3" w:rsidP="00B77EA3">
            <w:pPr>
              <w:spacing w:before="0" w:line="240" w:lineRule="auto"/>
              <w:contextualSpacing/>
              <w:jc w:val="center"/>
              <w:rPr>
                <w:sz w:val="22"/>
                <w:szCs w:val="22"/>
              </w:rPr>
            </w:pPr>
            <w:r w:rsidRPr="0082484A">
              <w:rPr>
                <w:sz w:val="22"/>
                <w:szCs w:val="22"/>
              </w:rPr>
              <w:t>0.9771</w:t>
            </w:r>
          </w:p>
        </w:tc>
        <w:tc>
          <w:tcPr>
            <w:tcW w:w="1134" w:type="dxa"/>
            <w:tcBorders>
              <w:top w:val="nil"/>
              <w:left w:val="nil"/>
              <w:bottom w:val="nil"/>
              <w:right w:val="nil"/>
            </w:tcBorders>
            <w:shd w:val="clear" w:color="auto" w:fill="FFFFFF"/>
            <w:tcMar>
              <w:left w:w="67" w:type="dxa"/>
              <w:right w:w="67" w:type="dxa"/>
            </w:tcMar>
            <w:vAlign w:val="center"/>
          </w:tcPr>
          <w:p w14:paraId="5384D12A" w14:textId="77777777" w:rsidR="00B77EA3" w:rsidRPr="0082484A" w:rsidRDefault="00B77EA3" w:rsidP="00B77EA3">
            <w:pPr>
              <w:spacing w:before="0" w:line="240" w:lineRule="auto"/>
              <w:contextualSpacing/>
              <w:jc w:val="center"/>
              <w:rPr>
                <w:sz w:val="22"/>
                <w:szCs w:val="22"/>
              </w:rPr>
            </w:pPr>
            <w:r w:rsidRPr="0082484A">
              <w:rPr>
                <w:sz w:val="22"/>
                <w:szCs w:val="22"/>
              </w:rPr>
              <w:t>1.0119</w:t>
            </w:r>
          </w:p>
        </w:tc>
        <w:tc>
          <w:tcPr>
            <w:tcW w:w="1134" w:type="dxa"/>
            <w:tcBorders>
              <w:top w:val="nil"/>
              <w:left w:val="nil"/>
              <w:bottom w:val="nil"/>
              <w:right w:val="nil"/>
            </w:tcBorders>
            <w:shd w:val="clear" w:color="auto" w:fill="FFFFFF"/>
            <w:tcMar>
              <w:left w:w="67" w:type="dxa"/>
              <w:right w:w="67" w:type="dxa"/>
            </w:tcMar>
            <w:vAlign w:val="center"/>
          </w:tcPr>
          <w:p w14:paraId="29591CAA" w14:textId="77777777" w:rsidR="00B77EA3" w:rsidRPr="0082484A" w:rsidRDefault="00B77EA3" w:rsidP="00B77EA3">
            <w:pPr>
              <w:spacing w:before="0" w:line="240" w:lineRule="auto"/>
              <w:contextualSpacing/>
              <w:jc w:val="center"/>
              <w:rPr>
                <w:sz w:val="22"/>
                <w:szCs w:val="22"/>
              </w:rPr>
            </w:pPr>
            <w:r w:rsidRPr="0082484A">
              <w:rPr>
                <w:sz w:val="22"/>
                <w:szCs w:val="22"/>
              </w:rPr>
              <w:t>0.53</w:t>
            </w:r>
          </w:p>
        </w:tc>
        <w:tc>
          <w:tcPr>
            <w:tcW w:w="567" w:type="dxa"/>
            <w:tcBorders>
              <w:top w:val="nil"/>
              <w:left w:val="nil"/>
              <w:bottom w:val="nil"/>
              <w:right w:val="nil"/>
            </w:tcBorders>
            <w:shd w:val="clear" w:color="auto" w:fill="FFFFFF"/>
            <w:tcMar>
              <w:left w:w="67" w:type="dxa"/>
              <w:right w:w="67" w:type="dxa"/>
            </w:tcMar>
            <w:vAlign w:val="center"/>
          </w:tcPr>
          <w:p w14:paraId="5AAD6885"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8F8A16" w14:textId="77777777" w:rsidR="00B77EA3" w:rsidRPr="0082484A" w:rsidRDefault="00B77EA3" w:rsidP="00B77EA3">
            <w:pPr>
              <w:spacing w:before="0" w:line="240" w:lineRule="auto"/>
              <w:contextualSpacing/>
              <w:jc w:val="center"/>
              <w:rPr>
                <w:sz w:val="22"/>
                <w:szCs w:val="22"/>
              </w:rPr>
            </w:pPr>
            <w:r w:rsidRPr="0082484A">
              <w:rPr>
                <w:sz w:val="22"/>
                <w:szCs w:val="22"/>
              </w:rPr>
              <w:t>0.4669</w:t>
            </w:r>
          </w:p>
        </w:tc>
      </w:tr>
      <w:tr w:rsidR="00B77EA3" w:rsidRPr="0082484A" w14:paraId="3687E69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8AC324" w14:textId="77777777" w:rsidR="00B77EA3" w:rsidRPr="0082484A" w:rsidRDefault="00B77EA3" w:rsidP="00B77EA3">
            <w:pPr>
              <w:spacing w:before="0" w:line="240" w:lineRule="auto"/>
              <w:contextualSpacing/>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146CEBF6"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1A4F277" w14:textId="77777777" w:rsidR="00B77EA3" w:rsidRPr="0082484A" w:rsidRDefault="00B77EA3" w:rsidP="00B77EA3">
            <w:pPr>
              <w:spacing w:before="0" w:line="240" w:lineRule="auto"/>
              <w:contextualSpacing/>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FF69E9E" w14:textId="77777777" w:rsidR="00B77EA3" w:rsidRPr="0082484A" w:rsidRDefault="00B77EA3" w:rsidP="00B77EA3">
            <w:pPr>
              <w:spacing w:before="0" w:line="240" w:lineRule="auto"/>
              <w:contextualSpacing/>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532FCFA4" w14:textId="77777777" w:rsidR="00B77EA3" w:rsidRPr="0082484A" w:rsidRDefault="00B77EA3" w:rsidP="00B77EA3">
            <w:pPr>
              <w:spacing w:before="0" w:line="240" w:lineRule="auto"/>
              <w:contextualSpacing/>
              <w:jc w:val="center"/>
              <w:rPr>
                <w:sz w:val="22"/>
                <w:szCs w:val="22"/>
              </w:rPr>
            </w:pPr>
            <w:r w:rsidRPr="0082484A">
              <w:rPr>
                <w:sz w:val="22"/>
                <w:szCs w:val="22"/>
              </w:rPr>
              <w:t>0.9999</w:t>
            </w:r>
          </w:p>
        </w:tc>
        <w:tc>
          <w:tcPr>
            <w:tcW w:w="1134" w:type="dxa"/>
            <w:tcBorders>
              <w:top w:val="nil"/>
              <w:left w:val="nil"/>
              <w:bottom w:val="nil"/>
              <w:right w:val="nil"/>
            </w:tcBorders>
            <w:shd w:val="clear" w:color="auto" w:fill="FFFFFF"/>
            <w:tcMar>
              <w:left w:w="67" w:type="dxa"/>
              <w:right w:w="67" w:type="dxa"/>
            </w:tcMar>
            <w:vAlign w:val="center"/>
          </w:tcPr>
          <w:p w14:paraId="6C3DA1EA" w14:textId="77777777" w:rsidR="00B77EA3" w:rsidRPr="0082484A" w:rsidRDefault="00B77EA3" w:rsidP="00B77EA3">
            <w:pPr>
              <w:spacing w:before="0" w:line="240" w:lineRule="auto"/>
              <w:contextualSpacing/>
              <w:jc w:val="center"/>
              <w:rPr>
                <w:sz w:val="22"/>
                <w:szCs w:val="22"/>
              </w:rPr>
            </w:pPr>
            <w:r w:rsidRPr="0082484A">
              <w:rPr>
                <w:sz w:val="22"/>
                <w:szCs w:val="22"/>
              </w:rPr>
              <w:t>0.9951</w:t>
            </w:r>
          </w:p>
        </w:tc>
        <w:tc>
          <w:tcPr>
            <w:tcW w:w="1134" w:type="dxa"/>
            <w:tcBorders>
              <w:top w:val="nil"/>
              <w:left w:val="nil"/>
              <w:bottom w:val="nil"/>
              <w:right w:val="nil"/>
            </w:tcBorders>
            <w:shd w:val="clear" w:color="auto" w:fill="FFFFFF"/>
            <w:tcMar>
              <w:left w:w="67" w:type="dxa"/>
              <w:right w:w="67" w:type="dxa"/>
            </w:tcMar>
            <w:vAlign w:val="center"/>
          </w:tcPr>
          <w:p w14:paraId="137977F6" w14:textId="77777777" w:rsidR="00B77EA3" w:rsidRPr="0082484A" w:rsidRDefault="00B77EA3" w:rsidP="00B77EA3">
            <w:pPr>
              <w:spacing w:before="0" w:line="240" w:lineRule="auto"/>
              <w:contextualSpacing/>
              <w:jc w:val="center"/>
              <w:rPr>
                <w:sz w:val="22"/>
                <w:szCs w:val="22"/>
              </w:rPr>
            </w:pPr>
            <w:r w:rsidRPr="0082484A">
              <w:rPr>
                <w:sz w:val="22"/>
                <w:szCs w:val="22"/>
              </w:rPr>
              <w:t>1.0047</w:t>
            </w:r>
          </w:p>
        </w:tc>
        <w:tc>
          <w:tcPr>
            <w:tcW w:w="1134" w:type="dxa"/>
            <w:tcBorders>
              <w:top w:val="nil"/>
              <w:left w:val="nil"/>
              <w:bottom w:val="nil"/>
              <w:right w:val="nil"/>
            </w:tcBorders>
            <w:shd w:val="clear" w:color="auto" w:fill="FFFFFF"/>
            <w:tcMar>
              <w:left w:w="67" w:type="dxa"/>
              <w:right w:w="67" w:type="dxa"/>
            </w:tcMar>
            <w:vAlign w:val="center"/>
          </w:tcPr>
          <w:p w14:paraId="35FBC5D9" w14:textId="77777777" w:rsidR="00B77EA3" w:rsidRPr="0082484A" w:rsidRDefault="00B77EA3" w:rsidP="00B77EA3">
            <w:pPr>
              <w:spacing w:before="0" w:line="240" w:lineRule="auto"/>
              <w:contextualSpacing/>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16E1F97D"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2CFA36" w14:textId="77777777" w:rsidR="00B77EA3" w:rsidRPr="0082484A" w:rsidRDefault="00B77EA3" w:rsidP="00B77EA3">
            <w:pPr>
              <w:spacing w:before="0" w:line="240" w:lineRule="auto"/>
              <w:contextualSpacing/>
              <w:jc w:val="center"/>
              <w:rPr>
                <w:sz w:val="22"/>
                <w:szCs w:val="22"/>
              </w:rPr>
            </w:pPr>
            <w:r w:rsidRPr="0082484A">
              <w:rPr>
                <w:sz w:val="22"/>
                <w:szCs w:val="22"/>
              </w:rPr>
              <w:t>0.9492</w:t>
            </w:r>
          </w:p>
        </w:tc>
      </w:tr>
      <w:tr w:rsidR="00B77EA3" w:rsidRPr="0082484A" w14:paraId="1FA9AC10"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6A65486" w14:textId="77777777" w:rsidR="00B77EA3" w:rsidRPr="0082484A" w:rsidRDefault="00B77EA3" w:rsidP="00B77EA3">
            <w:pPr>
              <w:spacing w:before="0" w:line="240" w:lineRule="auto"/>
              <w:contextualSpacing/>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6056376" w14:textId="77777777" w:rsidR="00B77EA3" w:rsidRPr="0082484A" w:rsidRDefault="00B77EA3" w:rsidP="00B77EA3">
            <w:pPr>
              <w:spacing w:before="0" w:line="240" w:lineRule="auto"/>
              <w:contextualSpacing/>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7C563FC" w14:textId="77777777" w:rsidR="00B77EA3" w:rsidRPr="0082484A" w:rsidRDefault="00B77EA3" w:rsidP="00B77EA3">
            <w:pPr>
              <w:spacing w:before="0" w:line="240" w:lineRule="auto"/>
              <w:contextualSpacing/>
              <w:jc w:val="center"/>
              <w:rPr>
                <w:sz w:val="22"/>
                <w:szCs w:val="22"/>
              </w:rPr>
            </w:pPr>
            <w:r w:rsidRPr="0082484A">
              <w:rPr>
                <w:sz w:val="22"/>
                <w:szCs w:val="22"/>
              </w:rPr>
              <w:t>-0.0333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A998448" w14:textId="77777777" w:rsidR="00B77EA3" w:rsidRPr="0082484A" w:rsidRDefault="00B77EA3" w:rsidP="00B77EA3">
            <w:pPr>
              <w:spacing w:before="0" w:line="240" w:lineRule="auto"/>
              <w:contextualSpacing/>
              <w:jc w:val="center"/>
              <w:rPr>
                <w:sz w:val="22"/>
                <w:szCs w:val="22"/>
              </w:rPr>
            </w:pPr>
            <w:r w:rsidRPr="0082484A">
              <w:rPr>
                <w:sz w:val="22"/>
                <w:szCs w:val="22"/>
              </w:rPr>
              <w:t>0.0678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E746771" w14:textId="77777777" w:rsidR="00B77EA3" w:rsidRPr="0082484A" w:rsidRDefault="00B77EA3" w:rsidP="00B77EA3">
            <w:pPr>
              <w:spacing w:before="0" w:line="240" w:lineRule="auto"/>
              <w:contextualSpacing/>
              <w:jc w:val="center"/>
              <w:rPr>
                <w:sz w:val="22"/>
                <w:szCs w:val="22"/>
              </w:rPr>
            </w:pPr>
            <w:r w:rsidRPr="0082484A">
              <w:rPr>
                <w:sz w:val="22"/>
                <w:szCs w:val="22"/>
              </w:rPr>
              <w:t>0.9673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2B1371D" w14:textId="77777777" w:rsidR="00B77EA3" w:rsidRPr="0082484A" w:rsidRDefault="00B77EA3" w:rsidP="00B77EA3">
            <w:pPr>
              <w:spacing w:before="0" w:line="240" w:lineRule="auto"/>
              <w:contextualSpacing/>
              <w:jc w:val="center"/>
              <w:rPr>
                <w:sz w:val="22"/>
                <w:szCs w:val="22"/>
              </w:rPr>
            </w:pPr>
            <w:r w:rsidRPr="0082484A">
              <w:rPr>
                <w:sz w:val="22"/>
                <w:szCs w:val="22"/>
              </w:rPr>
              <w:t>0.8309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39C1DF1" w14:textId="77777777" w:rsidR="00B77EA3" w:rsidRPr="0082484A" w:rsidRDefault="00B77EA3" w:rsidP="00B77EA3">
            <w:pPr>
              <w:spacing w:before="0" w:line="240" w:lineRule="auto"/>
              <w:contextualSpacing/>
              <w:jc w:val="center"/>
              <w:rPr>
                <w:sz w:val="22"/>
                <w:szCs w:val="22"/>
              </w:rPr>
            </w:pPr>
            <w:r w:rsidRPr="0082484A">
              <w:rPr>
                <w:sz w:val="22"/>
                <w:szCs w:val="22"/>
              </w:rPr>
              <w:t>1.1261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7356831" w14:textId="77777777" w:rsidR="00B77EA3" w:rsidRPr="0082484A" w:rsidRDefault="00B77EA3" w:rsidP="00B77EA3">
            <w:pPr>
              <w:spacing w:before="0" w:line="240" w:lineRule="auto"/>
              <w:contextualSpacing/>
              <w:jc w:val="center"/>
              <w:rPr>
                <w:sz w:val="22"/>
                <w:szCs w:val="22"/>
              </w:rPr>
            </w:pPr>
            <w:r w:rsidRPr="0082484A">
              <w:rPr>
                <w:sz w:val="22"/>
                <w:szCs w:val="22"/>
              </w:rPr>
              <w:t>0.24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6EAD7C6" w14:textId="77777777" w:rsidR="00B77EA3" w:rsidRPr="0082484A" w:rsidRDefault="00B77EA3" w:rsidP="00B77EA3">
            <w:pPr>
              <w:spacing w:before="0" w:line="240" w:lineRule="auto"/>
              <w:contextualSpacing/>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1A6494B5" w14:textId="77777777" w:rsidR="00B77EA3" w:rsidRPr="0082484A" w:rsidRDefault="00B77EA3" w:rsidP="00B77EA3">
            <w:pPr>
              <w:spacing w:before="0" w:line="240" w:lineRule="auto"/>
              <w:contextualSpacing/>
              <w:jc w:val="center"/>
              <w:rPr>
                <w:sz w:val="22"/>
                <w:szCs w:val="22"/>
              </w:rPr>
            </w:pPr>
            <w:r w:rsidRPr="0082484A">
              <w:rPr>
                <w:sz w:val="22"/>
                <w:szCs w:val="22"/>
              </w:rPr>
              <w:t>0.6238</w:t>
            </w:r>
          </w:p>
        </w:tc>
      </w:tr>
    </w:tbl>
    <w:p w14:paraId="4B3AA027" w14:textId="77777777" w:rsidR="00B77EA3" w:rsidRPr="0082484A" w:rsidRDefault="00B77EA3" w:rsidP="00B77EA3">
      <w:pPr>
        <w:adjustRightInd w:val="0"/>
        <w:spacing w:before="0" w:line="240" w:lineRule="auto"/>
        <w:contextualSpacing/>
        <w:rPr>
          <w:rFonts w:eastAsia="Calibri"/>
          <w:sz w:val="22"/>
          <w:szCs w:val="22"/>
        </w:rPr>
      </w:pPr>
      <w:r w:rsidRPr="0082484A">
        <w:rPr>
          <w:rFonts w:eastAsia="Calibri"/>
          <w:sz w:val="22"/>
          <w:szCs w:val="22"/>
          <w:vertAlign w:val="superscript"/>
        </w:rPr>
        <w:t>a</w:t>
      </w:r>
      <w:r w:rsidRPr="0082484A">
        <w:rPr>
          <w:rFonts w:eastAsia="Calibri"/>
          <w:sz w:val="22"/>
          <w:szCs w:val="22"/>
        </w:rPr>
        <w:t xml:space="preserve"> The proportion of patients achieving at least one of the following indicators: 1) prescribing an oral NSAID in patients prescribed both a diuretic and an angiotensin-converting-enzyme inhibitor (ACE-I) or angiotensin receptor blocker (ARB) and 2) prescribing an oral NSAID in patients with chronic kidney disease (CKD)</w:t>
      </w:r>
    </w:p>
    <w:p w14:paraId="231ED6CE" w14:textId="77777777" w:rsidR="00B77EA3" w:rsidRPr="0082484A" w:rsidRDefault="00B77EA3" w:rsidP="00B77EA3">
      <w:pPr>
        <w:spacing w:before="0" w:after="160" w:line="259" w:lineRule="auto"/>
        <w:rPr>
          <w:sz w:val="22"/>
          <w:szCs w:val="22"/>
        </w:rPr>
      </w:pPr>
      <w:r w:rsidRPr="0082484A">
        <w:rPr>
          <w:sz w:val="22"/>
          <w:szCs w:val="22"/>
        </w:rPr>
        <w:t>The estimated number needed to treat to prevent one patient achieving the renal risk composite risk composite indicator is 142</w:t>
      </w:r>
    </w:p>
    <w:p w14:paraId="7123601E" w14:textId="77777777" w:rsidR="00B77EA3" w:rsidRPr="0082484A" w:rsidRDefault="00B77EA3" w:rsidP="00B77EA3">
      <w:pPr>
        <w:spacing w:before="0" w:after="160" w:line="259" w:lineRule="auto"/>
        <w:rPr>
          <w:sz w:val="22"/>
          <w:szCs w:val="22"/>
        </w:rPr>
      </w:pPr>
      <w:r w:rsidRPr="0082484A">
        <w:rPr>
          <w:sz w:val="22"/>
          <w:szCs w:val="22"/>
        </w:rPr>
        <w:br w:type="page"/>
      </w:r>
    </w:p>
    <w:p w14:paraId="752B6372" w14:textId="5192D1B1" w:rsidR="00B77EA3" w:rsidRPr="0082484A" w:rsidRDefault="00B77EA3" w:rsidP="00B77EA3">
      <w:pPr>
        <w:spacing w:before="0" w:line="240" w:lineRule="auto"/>
        <w:rPr>
          <w:bCs/>
          <w:sz w:val="22"/>
          <w:szCs w:val="22"/>
        </w:rPr>
      </w:pPr>
      <w:bookmarkStart w:id="144" w:name="_Ref502917867"/>
      <w:bookmarkStart w:id="145" w:name="_Toc8728112"/>
      <w:bookmarkStart w:id="146" w:name="_Toc19526767"/>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38</w:t>
      </w:r>
      <w:r w:rsidRPr="0082484A">
        <w:rPr>
          <w:bCs/>
          <w:noProof/>
          <w:sz w:val="22"/>
          <w:szCs w:val="22"/>
        </w:rPr>
        <w:fldChar w:fldCharType="end"/>
      </w:r>
      <w:bookmarkEnd w:id="144"/>
      <w:r w:rsidRPr="0082484A">
        <w:rPr>
          <w:bCs/>
          <w:sz w:val="22"/>
          <w:szCs w:val="22"/>
        </w:rPr>
        <w:t>: Secondary outcome for Trial 2: Blood pressure below 140/90 mmHg in patients aged under 80 years with hypertension (WP4A)</w:t>
      </w:r>
      <w:bookmarkEnd w:id="145"/>
      <w:bookmarkEnd w:id="146"/>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4232F1FE" w14:textId="77777777" w:rsidTr="00B77EA3">
        <w:trPr>
          <w:cantSplit/>
          <w:tblHeader/>
          <w:jc w:val="center"/>
        </w:trPr>
        <w:tc>
          <w:tcPr>
            <w:tcW w:w="3118" w:type="dxa"/>
            <w:tcBorders>
              <w:top w:val="single" w:sz="4" w:space="0" w:color="auto"/>
              <w:left w:val="single" w:sz="4" w:space="0" w:color="auto"/>
              <w:bottom w:val="single" w:sz="4" w:space="0" w:color="000000"/>
              <w:right w:val="nil"/>
            </w:tcBorders>
            <w:shd w:val="clear" w:color="auto" w:fill="FFFFFF"/>
            <w:tcMar>
              <w:left w:w="67" w:type="dxa"/>
              <w:right w:w="67" w:type="dxa"/>
            </w:tcMar>
            <w:vAlign w:val="bottom"/>
          </w:tcPr>
          <w:p w14:paraId="1C92F2B2"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left w:w="67" w:type="dxa"/>
              <w:right w:w="67" w:type="dxa"/>
            </w:tcMar>
            <w:vAlign w:val="bottom"/>
          </w:tcPr>
          <w:p w14:paraId="4C7547E4"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4A53DCA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0E43EE6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5F1E683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2C91150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54E0312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7CA012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left w:w="67" w:type="dxa"/>
              <w:right w:w="67" w:type="dxa"/>
            </w:tcMar>
            <w:vAlign w:val="bottom"/>
          </w:tcPr>
          <w:p w14:paraId="5B9A1AA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left w:w="67" w:type="dxa"/>
              <w:right w:w="67" w:type="dxa"/>
            </w:tcMar>
            <w:vAlign w:val="bottom"/>
          </w:tcPr>
          <w:p w14:paraId="41FDD72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C32176A"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377A716B"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F5DEF0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01A80B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0.0785</w:t>
            </w:r>
          </w:p>
        </w:tc>
        <w:tc>
          <w:tcPr>
            <w:tcW w:w="1134" w:type="dxa"/>
            <w:tcBorders>
              <w:top w:val="nil"/>
              <w:left w:val="nil"/>
              <w:bottom w:val="nil"/>
              <w:right w:val="nil"/>
            </w:tcBorders>
            <w:shd w:val="clear" w:color="auto" w:fill="FFFFFF"/>
            <w:tcMar>
              <w:left w:w="67" w:type="dxa"/>
              <w:right w:w="67" w:type="dxa"/>
            </w:tcMar>
            <w:vAlign w:val="center"/>
          </w:tcPr>
          <w:p w14:paraId="26DF67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0.0584</w:t>
            </w:r>
          </w:p>
        </w:tc>
        <w:tc>
          <w:tcPr>
            <w:tcW w:w="1134" w:type="dxa"/>
            <w:tcBorders>
              <w:top w:val="nil"/>
              <w:left w:val="nil"/>
              <w:bottom w:val="nil"/>
              <w:right w:val="nil"/>
            </w:tcBorders>
            <w:shd w:val="clear" w:color="auto" w:fill="FFFFFF"/>
            <w:tcMar>
              <w:left w:w="67" w:type="dxa"/>
              <w:right w:w="67" w:type="dxa"/>
            </w:tcMar>
            <w:vAlign w:val="center"/>
          </w:tcPr>
          <w:p w14:paraId="639F28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1.0817</w:t>
            </w:r>
          </w:p>
        </w:tc>
        <w:tc>
          <w:tcPr>
            <w:tcW w:w="1134" w:type="dxa"/>
            <w:tcBorders>
              <w:top w:val="nil"/>
              <w:left w:val="nil"/>
              <w:bottom w:val="nil"/>
              <w:right w:val="nil"/>
            </w:tcBorders>
            <w:shd w:val="clear" w:color="auto" w:fill="FFFFFF"/>
            <w:tcMar>
              <w:left w:w="67" w:type="dxa"/>
              <w:right w:w="67" w:type="dxa"/>
            </w:tcMar>
            <w:vAlign w:val="center"/>
          </w:tcPr>
          <w:p w14:paraId="6BD61F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0.9489</w:t>
            </w:r>
          </w:p>
        </w:tc>
        <w:tc>
          <w:tcPr>
            <w:tcW w:w="1134" w:type="dxa"/>
            <w:tcBorders>
              <w:top w:val="nil"/>
              <w:left w:val="nil"/>
              <w:bottom w:val="nil"/>
              <w:right w:val="nil"/>
            </w:tcBorders>
            <w:shd w:val="clear" w:color="auto" w:fill="FFFFFF"/>
            <w:tcMar>
              <w:left w:w="67" w:type="dxa"/>
              <w:right w:w="67" w:type="dxa"/>
            </w:tcMar>
            <w:vAlign w:val="center"/>
          </w:tcPr>
          <w:p w14:paraId="107DBA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1.2331</w:t>
            </w:r>
          </w:p>
        </w:tc>
        <w:tc>
          <w:tcPr>
            <w:tcW w:w="1134" w:type="dxa"/>
            <w:tcBorders>
              <w:top w:val="nil"/>
              <w:left w:val="nil"/>
              <w:bottom w:val="nil"/>
              <w:right w:val="nil"/>
            </w:tcBorders>
            <w:shd w:val="clear" w:color="auto" w:fill="FFFFFF"/>
            <w:tcMar>
              <w:left w:w="67" w:type="dxa"/>
              <w:right w:w="67" w:type="dxa"/>
            </w:tcMar>
            <w:vAlign w:val="center"/>
          </w:tcPr>
          <w:p w14:paraId="427155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1.81</w:t>
            </w:r>
          </w:p>
        </w:tc>
        <w:tc>
          <w:tcPr>
            <w:tcW w:w="567" w:type="dxa"/>
            <w:tcBorders>
              <w:top w:val="nil"/>
              <w:left w:val="nil"/>
              <w:bottom w:val="nil"/>
              <w:right w:val="nil"/>
            </w:tcBorders>
            <w:shd w:val="clear" w:color="auto" w:fill="FFFFFF"/>
            <w:tcMar>
              <w:left w:w="67" w:type="dxa"/>
              <w:right w:w="67" w:type="dxa"/>
            </w:tcMar>
            <w:vAlign w:val="center"/>
          </w:tcPr>
          <w:p w14:paraId="10E23B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521AE0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0.1790</w:t>
            </w:r>
          </w:p>
        </w:tc>
      </w:tr>
      <w:tr w:rsidR="00B77EA3" w:rsidRPr="0082484A" w14:paraId="6CA5595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8B92B20"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52B860F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066BA9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0.0563</w:t>
            </w:r>
          </w:p>
        </w:tc>
        <w:tc>
          <w:tcPr>
            <w:tcW w:w="1134" w:type="dxa"/>
            <w:tcBorders>
              <w:top w:val="nil"/>
              <w:left w:val="nil"/>
              <w:bottom w:val="nil"/>
              <w:right w:val="nil"/>
            </w:tcBorders>
            <w:shd w:val="clear" w:color="auto" w:fill="FFFFFF"/>
            <w:tcMar>
              <w:left w:w="67" w:type="dxa"/>
              <w:right w:w="67" w:type="dxa"/>
            </w:tcMar>
            <w:vAlign w:val="center"/>
          </w:tcPr>
          <w:p w14:paraId="6B5C57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0.0175</w:t>
            </w:r>
          </w:p>
        </w:tc>
        <w:tc>
          <w:tcPr>
            <w:tcW w:w="1134" w:type="dxa"/>
            <w:tcBorders>
              <w:top w:val="nil"/>
              <w:left w:val="nil"/>
              <w:bottom w:val="nil"/>
              <w:right w:val="nil"/>
            </w:tcBorders>
            <w:shd w:val="clear" w:color="auto" w:fill="FFFFFF"/>
            <w:tcMar>
              <w:left w:w="67" w:type="dxa"/>
              <w:right w:w="67" w:type="dxa"/>
            </w:tcMar>
            <w:vAlign w:val="center"/>
          </w:tcPr>
          <w:p w14:paraId="509F96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1.0579</w:t>
            </w:r>
          </w:p>
        </w:tc>
        <w:tc>
          <w:tcPr>
            <w:tcW w:w="1134" w:type="dxa"/>
            <w:tcBorders>
              <w:top w:val="nil"/>
              <w:left w:val="nil"/>
              <w:bottom w:val="nil"/>
              <w:right w:val="nil"/>
            </w:tcBorders>
            <w:shd w:val="clear" w:color="auto" w:fill="FFFFFF"/>
            <w:tcMar>
              <w:left w:w="67" w:type="dxa"/>
              <w:right w:w="67" w:type="dxa"/>
            </w:tcMar>
            <w:vAlign w:val="center"/>
          </w:tcPr>
          <w:p w14:paraId="156FC5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1.0172</w:t>
            </w:r>
          </w:p>
        </w:tc>
        <w:tc>
          <w:tcPr>
            <w:tcW w:w="1134" w:type="dxa"/>
            <w:tcBorders>
              <w:top w:val="nil"/>
              <w:left w:val="nil"/>
              <w:bottom w:val="nil"/>
              <w:right w:val="nil"/>
            </w:tcBorders>
            <w:shd w:val="clear" w:color="auto" w:fill="FFFFFF"/>
            <w:tcMar>
              <w:left w:w="67" w:type="dxa"/>
              <w:right w:w="67" w:type="dxa"/>
            </w:tcMar>
            <w:vAlign w:val="center"/>
          </w:tcPr>
          <w:p w14:paraId="7BE80B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1.1002</w:t>
            </w:r>
          </w:p>
        </w:tc>
        <w:tc>
          <w:tcPr>
            <w:tcW w:w="1134" w:type="dxa"/>
            <w:tcBorders>
              <w:top w:val="nil"/>
              <w:left w:val="nil"/>
              <w:bottom w:val="nil"/>
              <w:right w:val="nil"/>
            </w:tcBorders>
            <w:shd w:val="clear" w:color="auto" w:fill="FFFFFF"/>
            <w:tcMar>
              <w:left w:w="67" w:type="dxa"/>
              <w:right w:w="67" w:type="dxa"/>
            </w:tcMar>
            <w:vAlign w:val="center"/>
          </w:tcPr>
          <w:p w14:paraId="1012A2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w:t>
            </w:r>
          </w:p>
        </w:tc>
        <w:tc>
          <w:tcPr>
            <w:tcW w:w="567" w:type="dxa"/>
            <w:tcBorders>
              <w:top w:val="nil"/>
              <w:left w:val="nil"/>
              <w:bottom w:val="nil"/>
              <w:right w:val="nil"/>
            </w:tcBorders>
            <w:shd w:val="clear" w:color="auto" w:fill="FFFFFF"/>
            <w:tcMar>
              <w:left w:w="67" w:type="dxa"/>
              <w:right w:w="67" w:type="dxa"/>
            </w:tcMar>
            <w:vAlign w:val="center"/>
          </w:tcPr>
          <w:p w14:paraId="35F333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4DF936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r>
      <w:tr w:rsidR="00B77EA3" w:rsidRPr="0082484A" w14:paraId="30BC7B19"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E60C32F"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12CA9A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7471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0.0153</w:t>
            </w:r>
          </w:p>
        </w:tc>
        <w:tc>
          <w:tcPr>
            <w:tcW w:w="1134" w:type="dxa"/>
            <w:tcBorders>
              <w:top w:val="nil"/>
              <w:left w:val="nil"/>
              <w:bottom w:val="nil"/>
              <w:right w:val="nil"/>
            </w:tcBorders>
            <w:shd w:val="clear" w:color="auto" w:fill="FFFFFF"/>
            <w:tcMar>
              <w:left w:w="67" w:type="dxa"/>
              <w:right w:w="67" w:type="dxa"/>
            </w:tcMar>
            <w:vAlign w:val="center"/>
          </w:tcPr>
          <w:p w14:paraId="7328EC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03FD51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1.0154</w:t>
            </w:r>
          </w:p>
        </w:tc>
        <w:tc>
          <w:tcPr>
            <w:tcW w:w="1134" w:type="dxa"/>
            <w:tcBorders>
              <w:top w:val="nil"/>
              <w:left w:val="nil"/>
              <w:bottom w:val="nil"/>
              <w:right w:val="nil"/>
            </w:tcBorders>
            <w:shd w:val="clear" w:color="auto" w:fill="FFFFFF"/>
            <w:tcMar>
              <w:left w:w="67" w:type="dxa"/>
              <w:right w:w="67" w:type="dxa"/>
            </w:tcMar>
            <w:vAlign w:val="center"/>
          </w:tcPr>
          <w:p w14:paraId="2820D4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1.0135</w:t>
            </w:r>
          </w:p>
        </w:tc>
        <w:tc>
          <w:tcPr>
            <w:tcW w:w="1134" w:type="dxa"/>
            <w:tcBorders>
              <w:top w:val="nil"/>
              <w:left w:val="nil"/>
              <w:bottom w:val="nil"/>
              <w:right w:val="nil"/>
            </w:tcBorders>
            <w:shd w:val="clear" w:color="auto" w:fill="FFFFFF"/>
            <w:tcMar>
              <w:left w:w="67" w:type="dxa"/>
              <w:right w:w="67" w:type="dxa"/>
            </w:tcMar>
            <w:vAlign w:val="center"/>
          </w:tcPr>
          <w:p w14:paraId="0E93ED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1.0173</w:t>
            </w:r>
          </w:p>
        </w:tc>
        <w:tc>
          <w:tcPr>
            <w:tcW w:w="1134" w:type="dxa"/>
            <w:tcBorders>
              <w:top w:val="nil"/>
              <w:left w:val="nil"/>
              <w:bottom w:val="nil"/>
              <w:right w:val="nil"/>
            </w:tcBorders>
            <w:shd w:val="clear" w:color="auto" w:fill="FFFFFF"/>
            <w:tcMar>
              <w:left w:w="67" w:type="dxa"/>
              <w:right w:w="67" w:type="dxa"/>
            </w:tcMar>
            <w:vAlign w:val="center"/>
          </w:tcPr>
          <w:p w14:paraId="5C0FA8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343.67</w:t>
            </w:r>
          </w:p>
        </w:tc>
        <w:tc>
          <w:tcPr>
            <w:tcW w:w="567" w:type="dxa"/>
            <w:tcBorders>
              <w:top w:val="nil"/>
              <w:left w:val="nil"/>
              <w:bottom w:val="nil"/>
              <w:right w:val="nil"/>
            </w:tcBorders>
            <w:shd w:val="clear" w:color="auto" w:fill="FFFFFF"/>
            <w:tcMar>
              <w:left w:w="67" w:type="dxa"/>
              <w:right w:w="67" w:type="dxa"/>
            </w:tcMar>
            <w:vAlign w:val="center"/>
          </w:tcPr>
          <w:p w14:paraId="5FBF47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482AE5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FF85F61"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9CB3616"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3E6D93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A26CF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5DE772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1331C0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0.9983</w:t>
            </w:r>
          </w:p>
        </w:tc>
        <w:tc>
          <w:tcPr>
            <w:tcW w:w="1134" w:type="dxa"/>
            <w:tcBorders>
              <w:top w:val="nil"/>
              <w:left w:val="nil"/>
              <w:bottom w:val="nil"/>
              <w:right w:val="nil"/>
            </w:tcBorders>
            <w:shd w:val="clear" w:color="auto" w:fill="FFFFFF"/>
            <w:tcMar>
              <w:left w:w="67" w:type="dxa"/>
              <w:right w:w="67" w:type="dxa"/>
            </w:tcMar>
            <w:vAlign w:val="center"/>
          </w:tcPr>
          <w:p w14:paraId="76B4A6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0.9966</w:t>
            </w:r>
          </w:p>
        </w:tc>
        <w:tc>
          <w:tcPr>
            <w:tcW w:w="1134" w:type="dxa"/>
            <w:tcBorders>
              <w:top w:val="nil"/>
              <w:left w:val="nil"/>
              <w:bottom w:val="nil"/>
              <w:right w:val="nil"/>
            </w:tcBorders>
            <w:shd w:val="clear" w:color="auto" w:fill="FFFFFF"/>
            <w:tcMar>
              <w:left w:w="67" w:type="dxa"/>
              <w:right w:w="67" w:type="dxa"/>
            </w:tcMar>
            <w:vAlign w:val="center"/>
          </w:tcPr>
          <w:p w14:paraId="0B6E29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1.0000</w:t>
            </w:r>
          </w:p>
        </w:tc>
        <w:tc>
          <w:tcPr>
            <w:tcW w:w="1134" w:type="dxa"/>
            <w:tcBorders>
              <w:top w:val="nil"/>
              <w:left w:val="nil"/>
              <w:bottom w:val="nil"/>
              <w:right w:val="nil"/>
            </w:tcBorders>
            <w:shd w:val="clear" w:color="auto" w:fill="FFFFFF"/>
            <w:tcMar>
              <w:left w:w="67" w:type="dxa"/>
              <w:right w:w="67" w:type="dxa"/>
            </w:tcMar>
            <w:vAlign w:val="center"/>
          </w:tcPr>
          <w:p w14:paraId="1C3C24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4.93</w:t>
            </w:r>
          </w:p>
        </w:tc>
        <w:tc>
          <w:tcPr>
            <w:tcW w:w="567" w:type="dxa"/>
            <w:tcBorders>
              <w:top w:val="nil"/>
              <w:left w:val="nil"/>
              <w:bottom w:val="nil"/>
              <w:right w:val="nil"/>
            </w:tcBorders>
            <w:shd w:val="clear" w:color="auto" w:fill="FFFFFF"/>
            <w:tcMar>
              <w:left w:w="67" w:type="dxa"/>
              <w:right w:w="67" w:type="dxa"/>
            </w:tcMar>
            <w:vAlign w:val="center"/>
          </w:tcPr>
          <w:p w14:paraId="4A435B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1526E3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0.0264</w:t>
            </w:r>
          </w:p>
        </w:tc>
      </w:tr>
      <w:tr w:rsidR="00B77EA3" w:rsidRPr="0082484A" w14:paraId="72AA999A"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66FBA5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74BAA7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CD766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0.1311</w:t>
            </w:r>
          </w:p>
        </w:tc>
        <w:tc>
          <w:tcPr>
            <w:tcW w:w="1134" w:type="dxa"/>
            <w:tcBorders>
              <w:top w:val="nil"/>
              <w:left w:val="nil"/>
              <w:bottom w:val="nil"/>
              <w:right w:val="nil"/>
            </w:tcBorders>
            <w:shd w:val="clear" w:color="auto" w:fill="FFFFFF"/>
            <w:tcMar>
              <w:left w:w="67" w:type="dxa"/>
              <w:right w:w="67" w:type="dxa"/>
            </w:tcMar>
            <w:vAlign w:val="center"/>
          </w:tcPr>
          <w:p w14:paraId="2E8163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0.1338</w:t>
            </w:r>
          </w:p>
        </w:tc>
        <w:tc>
          <w:tcPr>
            <w:tcW w:w="1134" w:type="dxa"/>
            <w:tcBorders>
              <w:top w:val="nil"/>
              <w:left w:val="nil"/>
              <w:bottom w:val="nil"/>
              <w:right w:val="nil"/>
            </w:tcBorders>
            <w:shd w:val="clear" w:color="auto" w:fill="FFFFFF"/>
            <w:tcMar>
              <w:left w:w="67" w:type="dxa"/>
              <w:right w:w="67" w:type="dxa"/>
            </w:tcMar>
            <w:vAlign w:val="center"/>
          </w:tcPr>
          <w:p w14:paraId="34D5E1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1.1401</w:t>
            </w:r>
          </w:p>
        </w:tc>
        <w:tc>
          <w:tcPr>
            <w:tcW w:w="1134" w:type="dxa"/>
            <w:tcBorders>
              <w:top w:val="nil"/>
              <w:left w:val="nil"/>
              <w:bottom w:val="nil"/>
              <w:right w:val="nil"/>
            </w:tcBorders>
            <w:shd w:val="clear" w:color="auto" w:fill="FFFFFF"/>
            <w:tcMar>
              <w:left w:w="67" w:type="dxa"/>
              <w:right w:w="67" w:type="dxa"/>
            </w:tcMar>
            <w:vAlign w:val="center"/>
          </w:tcPr>
          <w:p w14:paraId="0C3A04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0.8447</w:t>
            </w:r>
          </w:p>
        </w:tc>
        <w:tc>
          <w:tcPr>
            <w:tcW w:w="1134" w:type="dxa"/>
            <w:tcBorders>
              <w:top w:val="nil"/>
              <w:left w:val="nil"/>
              <w:bottom w:val="nil"/>
              <w:right w:val="nil"/>
            </w:tcBorders>
            <w:shd w:val="clear" w:color="auto" w:fill="FFFFFF"/>
            <w:tcMar>
              <w:left w:w="67" w:type="dxa"/>
              <w:right w:w="67" w:type="dxa"/>
            </w:tcMar>
            <w:vAlign w:val="center"/>
          </w:tcPr>
          <w:p w14:paraId="28BE65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1.5388</w:t>
            </w:r>
          </w:p>
        </w:tc>
        <w:tc>
          <w:tcPr>
            <w:tcW w:w="1134" w:type="dxa"/>
            <w:tcBorders>
              <w:top w:val="nil"/>
              <w:left w:val="nil"/>
              <w:bottom w:val="nil"/>
              <w:right w:val="nil"/>
            </w:tcBorders>
            <w:shd w:val="clear" w:color="auto" w:fill="FFFFFF"/>
            <w:tcMar>
              <w:left w:w="67" w:type="dxa"/>
              <w:right w:w="67" w:type="dxa"/>
            </w:tcMar>
            <w:vAlign w:val="center"/>
          </w:tcPr>
          <w:p w14:paraId="2B5BBD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1.59</w:t>
            </w:r>
          </w:p>
        </w:tc>
        <w:tc>
          <w:tcPr>
            <w:tcW w:w="567" w:type="dxa"/>
            <w:tcBorders>
              <w:top w:val="nil"/>
              <w:left w:val="nil"/>
              <w:bottom w:val="nil"/>
              <w:right w:val="nil"/>
            </w:tcBorders>
            <w:shd w:val="clear" w:color="auto" w:fill="FFFFFF"/>
            <w:tcMar>
              <w:left w:w="67" w:type="dxa"/>
              <w:right w:w="67" w:type="dxa"/>
            </w:tcMar>
            <w:vAlign w:val="center"/>
          </w:tcPr>
          <w:p w14:paraId="79931D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1BCF16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0.1230</w:t>
            </w:r>
          </w:p>
        </w:tc>
      </w:tr>
      <w:tr w:rsidR="00B77EA3" w:rsidRPr="0082484A" w14:paraId="229BF50E"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5D38EB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016364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F2D26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0.0453</w:t>
            </w:r>
          </w:p>
        </w:tc>
        <w:tc>
          <w:tcPr>
            <w:tcW w:w="1134" w:type="dxa"/>
            <w:tcBorders>
              <w:top w:val="nil"/>
              <w:left w:val="nil"/>
              <w:bottom w:val="nil"/>
              <w:right w:val="nil"/>
            </w:tcBorders>
            <w:shd w:val="clear" w:color="auto" w:fill="FFFFFF"/>
            <w:tcMar>
              <w:left w:w="67" w:type="dxa"/>
              <w:right w:w="67" w:type="dxa"/>
            </w:tcMar>
            <w:vAlign w:val="center"/>
          </w:tcPr>
          <w:p w14:paraId="221975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0.1179</w:t>
            </w:r>
          </w:p>
        </w:tc>
        <w:tc>
          <w:tcPr>
            <w:tcW w:w="1134" w:type="dxa"/>
            <w:tcBorders>
              <w:top w:val="nil"/>
              <w:left w:val="nil"/>
              <w:bottom w:val="nil"/>
              <w:right w:val="nil"/>
            </w:tcBorders>
            <w:shd w:val="clear" w:color="auto" w:fill="FFFFFF"/>
            <w:tcMar>
              <w:left w:w="67" w:type="dxa"/>
              <w:right w:w="67" w:type="dxa"/>
            </w:tcMar>
            <w:vAlign w:val="center"/>
          </w:tcPr>
          <w:p w14:paraId="45C517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1.0463</w:t>
            </w:r>
          </w:p>
        </w:tc>
        <w:tc>
          <w:tcPr>
            <w:tcW w:w="1134" w:type="dxa"/>
            <w:tcBorders>
              <w:top w:val="nil"/>
              <w:left w:val="nil"/>
              <w:bottom w:val="nil"/>
              <w:right w:val="nil"/>
            </w:tcBorders>
            <w:shd w:val="clear" w:color="auto" w:fill="FFFFFF"/>
            <w:tcMar>
              <w:left w:w="67" w:type="dxa"/>
              <w:right w:w="67" w:type="dxa"/>
            </w:tcMar>
            <w:vAlign w:val="center"/>
          </w:tcPr>
          <w:p w14:paraId="3527B5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0.8034</w:t>
            </w:r>
          </w:p>
        </w:tc>
        <w:tc>
          <w:tcPr>
            <w:tcW w:w="1134" w:type="dxa"/>
            <w:tcBorders>
              <w:top w:val="nil"/>
              <w:left w:val="nil"/>
              <w:bottom w:val="nil"/>
              <w:right w:val="nil"/>
            </w:tcBorders>
            <w:shd w:val="clear" w:color="auto" w:fill="FFFFFF"/>
            <w:tcMar>
              <w:left w:w="67" w:type="dxa"/>
              <w:right w:w="67" w:type="dxa"/>
            </w:tcMar>
            <w:vAlign w:val="center"/>
          </w:tcPr>
          <w:p w14:paraId="4F739C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1.3628</w:t>
            </w:r>
          </w:p>
        </w:tc>
        <w:tc>
          <w:tcPr>
            <w:tcW w:w="1134" w:type="dxa"/>
            <w:tcBorders>
              <w:top w:val="nil"/>
              <w:left w:val="nil"/>
              <w:bottom w:val="nil"/>
              <w:right w:val="nil"/>
            </w:tcBorders>
            <w:shd w:val="clear" w:color="auto" w:fill="FFFFFF"/>
            <w:tcMar>
              <w:left w:w="67" w:type="dxa"/>
              <w:right w:w="67" w:type="dxa"/>
            </w:tcMar>
            <w:vAlign w:val="center"/>
          </w:tcPr>
          <w:p w14:paraId="214D84B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5E9365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4ED6D45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983D61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414D47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E27531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AB50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0.3383</w:t>
            </w:r>
          </w:p>
        </w:tc>
        <w:tc>
          <w:tcPr>
            <w:tcW w:w="1134" w:type="dxa"/>
            <w:tcBorders>
              <w:top w:val="nil"/>
              <w:left w:val="nil"/>
              <w:bottom w:val="nil"/>
              <w:right w:val="nil"/>
            </w:tcBorders>
            <w:shd w:val="clear" w:color="auto" w:fill="FFFFFF"/>
            <w:tcMar>
              <w:left w:w="67" w:type="dxa"/>
              <w:right w:w="67" w:type="dxa"/>
            </w:tcMar>
            <w:vAlign w:val="center"/>
          </w:tcPr>
          <w:p w14:paraId="184A92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0.1305</w:t>
            </w:r>
          </w:p>
        </w:tc>
        <w:tc>
          <w:tcPr>
            <w:tcW w:w="1134" w:type="dxa"/>
            <w:tcBorders>
              <w:top w:val="nil"/>
              <w:left w:val="nil"/>
              <w:bottom w:val="nil"/>
              <w:right w:val="nil"/>
            </w:tcBorders>
            <w:shd w:val="clear" w:color="auto" w:fill="FFFFFF"/>
            <w:tcMar>
              <w:left w:w="67" w:type="dxa"/>
              <w:right w:w="67" w:type="dxa"/>
            </w:tcMar>
            <w:vAlign w:val="center"/>
          </w:tcPr>
          <w:p w14:paraId="7FD277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1.4026</w:t>
            </w:r>
          </w:p>
        </w:tc>
        <w:tc>
          <w:tcPr>
            <w:tcW w:w="1134" w:type="dxa"/>
            <w:tcBorders>
              <w:top w:val="nil"/>
              <w:left w:val="nil"/>
              <w:bottom w:val="nil"/>
              <w:right w:val="nil"/>
            </w:tcBorders>
            <w:shd w:val="clear" w:color="auto" w:fill="FFFFFF"/>
            <w:tcMar>
              <w:left w:w="67" w:type="dxa"/>
              <w:right w:w="67" w:type="dxa"/>
            </w:tcMar>
            <w:vAlign w:val="center"/>
          </w:tcPr>
          <w:p w14:paraId="48340E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1.0468</w:t>
            </w:r>
          </w:p>
        </w:tc>
        <w:tc>
          <w:tcPr>
            <w:tcW w:w="1134" w:type="dxa"/>
            <w:tcBorders>
              <w:top w:val="nil"/>
              <w:left w:val="nil"/>
              <w:bottom w:val="nil"/>
              <w:right w:val="nil"/>
            </w:tcBorders>
            <w:shd w:val="clear" w:color="auto" w:fill="FFFFFF"/>
            <w:tcMar>
              <w:left w:w="67" w:type="dxa"/>
              <w:right w:w="67" w:type="dxa"/>
            </w:tcMar>
            <w:vAlign w:val="center"/>
          </w:tcPr>
          <w:p w14:paraId="102529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1.8793</w:t>
            </w:r>
          </w:p>
        </w:tc>
        <w:tc>
          <w:tcPr>
            <w:tcW w:w="1134" w:type="dxa"/>
            <w:tcBorders>
              <w:top w:val="nil"/>
              <w:left w:val="nil"/>
              <w:bottom w:val="nil"/>
              <w:right w:val="nil"/>
            </w:tcBorders>
            <w:shd w:val="clear" w:color="auto" w:fill="FFFFFF"/>
            <w:tcMar>
              <w:left w:w="67" w:type="dxa"/>
              <w:right w:w="67" w:type="dxa"/>
            </w:tcMar>
            <w:vAlign w:val="center"/>
          </w:tcPr>
          <w:p w14:paraId="7CBC5EE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190F52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111A503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FC910D6"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1B8620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996940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0BA45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0.1159</w:t>
            </w:r>
          </w:p>
        </w:tc>
        <w:tc>
          <w:tcPr>
            <w:tcW w:w="1134" w:type="dxa"/>
            <w:tcBorders>
              <w:top w:val="nil"/>
              <w:left w:val="nil"/>
              <w:bottom w:val="nil"/>
              <w:right w:val="nil"/>
            </w:tcBorders>
            <w:shd w:val="clear" w:color="auto" w:fill="FFFFFF"/>
            <w:tcMar>
              <w:left w:w="67" w:type="dxa"/>
              <w:right w:w="67" w:type="dxa"/>
            </w:tcMar>
            <w:vAlign w:val="center"/>
          </w:tcPr>
          <w:p w14:paraId="150877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0.1219</w:t>
            </w:r>
          </w:p>
        </w:tc>
        <w:tc>
          <w:tcPr>
            <w:tcW w:w="1134" w:type="dxa"/>
            <w:tcBorders>
              <w:top w:val="nil"/>
              <w:left w:val="nil"/>
              <w:bottom w:val="nil"/>
              <w:right w:val="nil"/>
            </w:tcBorders>
            <w:shd w:val="clear" w:color="auto" w:fill="FFFFFF"/>
            <w:tcMar>
              <w:left w:w="67" w:type="dxa"/>
              <w:right w:w="67" w:type="dxa"/>
            </w:tcMar>
            <w:vAlign w:val="center"/>
          </w:tcPr>
          <w:p w14:paraId="00DFE7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1.1229</w:t>
            </w:r>
          </w:p>
        </w:tc>
        <w:tc>
          <w:tcPr>
            <w:tcW w:w="1134" w:type="dxa"/>
            <w:tcBorders>
              <w:top w:val="nil"/>
              <w:left w:val="nil"/>
              <w:bottom w:val="nil"/>
              <w:right w:val="nil"/>
            </w:tcBorders>
            <w:shd w:val="clear" w:color="auto" w:fill="FFFFFF"/>
            <w:tcMar>
              <w:left w:w="67" w:type="dxa"/>
              <w:right w:w="67" w:type="dxa"/>
            </w:tcMar>
            <w:vAlign w:val="center"/>
          </w:tcPr>
          <w:p w14:paraId="28C0A3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0.8543</w:t>
            </w:r>
          </w:p>
        </w:tc>
        <w:tc>
          <w:tcPr>
            <w:tcW w:w="1134" w:type="dxa"/>
            <w:tcBorders>
              <w:top w:val="nil"/>
              <w:left w:val="nil"/>
              <w:bottom w:val="nil"/>
              <w:right w:val="nil"/>
            </w:tcBorders>
            <w:shd w:val="clear" w:color="auto" w:fill="FFFFFF"/>
            <w:tcMar>
              <w:left w:w="67" w:type="dxa"/>
              <w:right w:w="67" w:type="dxa"/>
            </w:tcMar>
            <w:vAlign w:val="center"/>
          </w:tcPr>
          <w:p w14:paraId="01434C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1.4759</w:t>
            </w:r>
          </w:p>
        </w:tc>
        <w:tc>
          <w:tcPr>
            <w:tcW w:w="1134" w:type="dxa"/>
            <w:tcBorders>
              <w:top w:val="nil"/>
              <w:left w:val="nil"/>
              <w:bottom w:val="nil"/>
              <w:right w:val="nil"/>
            </w:tcBorders>
            <w:shd w:val="clear" w:color="auto" w:fill="FFFFFF"/>
            <w:tcMar>
              <w:left w:w="67" w:type="dxa"/>
              <w:right w:w="67" w:type="dxa"/>
            </w:tcMar>
            <w:vAlign w:val="center"/>
          </w:tcPr>
          <w:p w14:paraId="0DDBB59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0D147B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37B82DF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2C4F9A8"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F97B7F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A7A1B0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6AFB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0.2648</w:t>
            </w:r>
          </w:p>
        </w:tc>
        <w:tc>
          <w:tcPr>
            <w:tcW w:w="1134" w:type="dxa"/>
            <w:tcBorders>
              <w:top w:val="nil"/>
              <w:left w:val="nil"/>
              <w:bottom w:val="nil"/>
              <w:right w:val="nil"/>
            </w:tcBorders>
            <w:shd w:val="clear" w:color="auto" w:fill="FFFFFF"/>
            <w:tcMar>
              <w:left w:w="67" w:type="dxa"/>
              <w:right w:w="67" w:type="dxa"/>
            </w:tcMar>
            <w:vAlign w:val="center"/>
          </w:tcPr>
          <w:p w14:paraId="683043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0.1446</w:t>
            </w:r>
          </w:p>
        </w:tc>
        <w:tc>
          <w:tcPr>
            <w:tcW w:w="1134" w:type="dxa"/>
            <w:tcBorders>
              <w:top w:val="nil"/>
              <w:left w:val="nil"/>
              <w:bottom w:val="nil"/>
              <w:right w:val="nil"/>
            </w:tcBorders>
            <w:shd w:val="clear" w:color="auto" w:fill="FFFFFF"/>
            <w:tcMar>
              <w:left w:w="67" w:type="dxa"/>
              <w:right w:w="67" w:type="dxa"/>
            </w:tcMar>
            <w:vAlign w:val="center"/>
          </w:tcPr>
          <w:p w14:paraId="1EA504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1.3032</w:t>
            </w:r>
          </w:p>
        </w:tc>
        <w:tc>
          <w:tcPr>
            <w:tcW w:w="1134" w:type="dxa"/>
            <w:tcBorders>
              <w:top w:val="nil"/>
              <w:left w:val="nil"/>
              <w:bottom w:val="nil"/>
              <w:right w:val="nil"/>
            </w:tcBorders>
            <w:shd w:val="clear" w:color="auto" w:fill="FFFFFF"/>
            <w:tcMar>
              <w:left w:w="67" w:type="dxa"/>
              <w:right w:w="67" w:type="dxa"/>
            </w:tcMar>
            <w:vAlign w:val="center"/>
          </w:tcPr>
          <w:p w14:paraId="3BAF7E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0.9425</w:t>
            </w:r>
          </w:p>
        </w:tc>
        <w:tc>
          <w:tcPr>
            <w:tcW w:w="1134" w:type="dxa"/>
            <w:tcBorders>
              <w:top w:val="nil"/>
              <w:left w:val="nil"/>
              <w:bottom w:val="nil"/>
              <w:right w:val="nil"/>
            </w:tcBorders>
            <w:shd w:val="clear" w:color="auto" w:fill="FFFFFF"/>
            <w:tcMar>
              <w:left w:w="67" w:type="dxa"/>
              <w:right w:w="67" w:type="dxa"/>
            </w:tcMar>
            <w:vAlign w:val="center"/>
          </w:tcPr>
          <w:p w14:paraId="569262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1.8019</w:t>
            </w:r>
          </w:p>
        </w:tc>
        <w:tc>
          <w:tcPr>
            <w:tcW w:w="1134" w:type="dxa"/>
            <w:tcBorders>
              <w:top w:val="nil"/>
              <w:left w:val="nil"/>
              <w:bottom w:val="nil"/>
              <w:right w:val="nil"/>
            </w:tcBorders>
            <w:shd w:val="clear" w:color="auto" w:fill="FFFFFF"/>
            <w:tcMar>
              <w:left w:w="67" w:type="dxa"/>
              <w:right w:w="67" w:type="dxa"/>
            </w:tcMar>
            <w:vAlign w:val="center"/>
          </w:tcPr>
          <w:p w14:paraId="48D51F5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31F5ED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55860D9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1EFDA7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29AA6FA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A8A60C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AF05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0.0565</w:t>
            </w:r>
          </w:p>
        </w:tc>
        <w:tc>
          <w:tcPr>
            <w:tcW w:w="1134" w:type="dxa"/>
            <w:tcBorders>
              <w:top w:val="nil"/>
              <w:left w:val="nil"/>
              <w:bottom w:val="nil"/>
              <w:right w:val="nil"/>
            </w:tcBorders>
            <w:shd w:val="clear" w:color="auto" w:fill="FFFFFF"/>
            <w:tcMar>
              <w:left w:w="67" w:type="dxa"/>
              <w:right w:w="67" w:type="dxa"/>
            </w:tcMar>
            <w:vAlign w:val="center"/>
          </w:tcPr>
          <w:p w14:paraId="4A7DCD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0.1130</w:t>
            </w:r>
          </w:p>
        </w:tc>
        <w:tc>
          <w:tcPr>
            <w:tcW w:w="1134" w:type="dxa"/>
            <w:tcBorders>
              <w:top w:val="nil"/>
              <w:left w:val="nil"/>
              <w:bottom w:val="nil"/>
              <w:right w:val="nil"/>
            </w:tcBorders>
            <w:shd w:val="clear" w:color="auto" w:fill="FFFFFF"/>
            <w:tcMar>
              <w:left w:w="67" w:type="dxa"/>
              <w:right w:w="67" w:type="dxa"/>
            </w:tcMar>
            <w:vAlign w:val="center"/>
          </w:tcPr>
          <w:p w14:paraId="575107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1.0582</w:t>
            </w:r>
          </w:p>
        </w:tc>
        <w:tc>
          <w:tcPr>
            <w:tcW w:w="1134" w:type="dxa"/>
            <w:tcBorders>
              <w:top w:val="nil"/>
              <w:left w:val="nil"/>
              <w:bottom w:val="nil"/>
              <w:right w:val="nil"/>
            </w:tcBorders>
            <w:shd w:val="clear" w:color="auto" w:fill="FFFFFF"/>
            <w:tcMar>
              <w:left w:w="67" w:type="dxa"/>
              <w:right w:w="67" w:type="dxa"/>
            </w:tcMar>
            <w:vAlign w:val="center"/>
          </w:tcPr>
          <w:p w14:paraId="5AA0AC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0.8215</w:t>
            </w:r>
          </w:p>
        </w:tc>
        <w:tc>
          <w:tcPr>
            <w:tcW w:w="1134" w:type="dxa"/>
            <w:tcBorders>
              <w:top w:val="nil"/>
              <w:left w:val="nil"/>
              <w:bottom w:val="nil"/>
              <w:right w:val="nil"/>
            </w:tcBorders>
            <w:shd w:val="clear" w:color="auto" w:fill="FFFFFF"/>
            <w:tcMar>
              <w:left w:w="67" w:type="dxa"/>
              <w:right w:w="67" w:type="dxa"/>
            </w:tcMar>
            <w:vAlign w:val="center"/>
          </w:tcPr>
          <w:p w14:paraId="610961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1.3631</w:t>
            </w:r>
          </w:p>
        </w:tc>
        <w:tc>
          <w:tcPr>
            <w:tcW w:w="1134" w:type="dxa"/>
            <w:tcBorders>
              <w:top w:val="nil"/>
              <w:left w:val="nil"/>
              <w:bottom w:val="nil"/>
              <w:right w:val="nil"/>
            </w:tcBorders>
            <w:shd w:val="clear" w:color="auto" w:fill="FFFFFF"/>
            <w:tcMar>
              <w:left w:w="67" w:type="dxa"/>
              <w:right w:w="67" w:type="dxa"/>
            </w:tcMar>
            <w:vAlign w:val="center"/>
          </w:tcPr>
          <w:p w14:paraId="3FF75D7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FC859F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143149F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93A740F"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299C7DC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3928C9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277C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0.0760</w:t>
            </w:r>
          </w:p>
        </w:tc>
        <w:tc>
          <w:tcPr>
            <w:tcW w:w="1134" w:type="dxa"/>
            <w:tcBorders>
              <w:top w:val="nil"/>
              <w:left w:val="nil"/>
              <w:bottom w:val="nil"/>
              <w:right w:val="nil"/>
            </w:tcBorders>
            <w:shd w:val="clear" w:color="auto" w:fill="FFFFFF"/>
            <w:tcMar>
              <w:left w:w="67" w:type="dxa"/>
              <w:right w:w="67" w:type="dxa"/>
            </w:tcMar>
            <w:vAlign w:val="center"/>
          </w:tcPr>
          <w:p w14:paraId="7DEE94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0.1120</w:t>
            </w:r>
          </w:p>
        </w:tc>
        <w:tc>
          <w:tcPr>
            <w:tcW w:w="1134" w:type="dxa"/>
            <w:tcBorders>
              <w:top w:val="nil"/>
              <w:left w:val="nil"/>
              <w:bottom w:val="nil"/>
              <w:right w:val="nil"/>
            </w:tcBorders>
            <w:shd w:val="clear" w:color="auto" w:fill="FFFFFF"/>
            <w:tcMar>
              <w:left w:w="67" w:type="dxa"/>
              <w:right w:w="67" w:type="dxa"/>
            </w:tcMar>
            <w:vAlign w:val="center"/>
          </w:tcPr>
          <w:p w14:paraId="44BB98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1.0790</w:t>
            </w:r>
          </w:p>
        </w:tc>
        <w:tc>
          <w:tcPr>
            <w:tcW w:w="1134" w:type="dxa"/>
            <w:tcBorders>
              <w:top w:val="nil"/>
              <w:left w:val="nil"/>
              <w:bottom w:val="nil"/>
              <w:right w:val="nil"/>
            </w:tcBorders>
            <w:shd w:val="clear" w:color="auto" w:fill="FFFFFF"/>
            <w:tcMar>
              <w:left w:w="67" w:type="dxa"/>
              <w:right w:w="67" w:type="dxa"/>
            </w:tcMar>
            <w:vAlign w:val="center"/>
          </w:tcPr>
          <w:p w14:paraId="6BD53F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0.8395</w:t>
            </w:r>
          </w:p>
        </w:tc>
        <w:tc>
          <w:tcPr>
            <w:tcW w:w="1134" w:type="dxa"/>
            <w:tcBorders>
              <w:top w:val="nil"/>
              <w:left w:val="nil"/>
              <w:bottom w:val="nil"/>
              <w:right w:val="nil"/>
            </w:tcBorders>
            <w:shd w:val="clear" w:color="auto" w:fill="FFFFFF"/>
            <w:tcMar>
              <w:left w:w="67" w:type="dxa"/>
              <w:right w:w="67" w:type="dxa"/>
            </w:tcMar>
            <w:vAlign w:val="center"/>
          </w:tcPr>
          <w:p w14:paraId="6EFCD6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1.3868</w:t>
            </w:r>
          </w:p>
        </w:tc>
        <w:tc>
          <w:tcPr>
            <w:tcW w:w="1134" w:type="dxa"/>
            <w:tcBorders>
              <w:top w:val="nil"/>
              <w:left w:val="nil"/>
              <w:bottom w:val="nil"/>
              <w:right w:val="nil"/>
            </w:tcBorders>
            <w:shd w:val="clear" w:color="auto" w:fill="FFFFFF"/>
            <w:tcMar>
              <w:left w:w="67" w:type="dxa"/>
              <w:right w:w="67" w:type="dxa"/>
            </w:tcMar>
            <w:vAlign w:val="center"/>
          </w:tcPr>
          <w:p w14:paraId="74AE02B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2AA7ED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71D0FB0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406AED"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28358D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3F4E20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49065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0.2840</w:t>
            </w:r>
          </w:p>
        </w:tc>
        <w:tc>
          <w:tcPr>
            <w:tcW w:w="1134" w:type="dxa"/>
            <w:tcBorders>
              <w:top w:val="nil"/>
              <w:left w:val="nil"/>
              <w:bottom w:val="nil"/>
              <w:right w:val="nil"/>
            </w:tcBorders>
            <w:shd w:val="clear" w:color="auto" w:fill="FFFFFF"/>
            <w:tcMar>
              <w:left w:w="67" w:type="dxa"/>
              <w:right w:w="67" w:type="dxa"/>
            </w:tcMar>
            <w:vAlign w:val="center"/>
          </w:tcPr>
          <w:p w14:paraId="2296F2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0.1157</w:t>
            </w:r>
          </w:p>
        </w:tc>
        <w:tc>
          <w:tcPr>
            <w:tcW w:w="1134" w:type="dxa"/>
            <w:tcBorders>
              <w:top w:val="nil"/>
              <w:left w:val="nil"/>
              <w:bottom w:val="nil"/>
              <w:right w:val="nil"/>
            </w:tcBorders>
            <w:shd w:val="clear" w:color="auto" w:fill="FFFFFF"/>
            <w:tcMar>
              <w:left w:w="67" w:type="dxa"/>
              <w:right w:w="67" w:type="dxa"/>
            </w:tcMar>
            <w:vAlign w:val="center"/>
          </w:tcPr>
          <w:p w14:paraId="13E406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1.3284</w:t>
            </w:r>
          </w:p>
        </w:tc>
        <w:tc>
          <w:tcPr>
            <w:tcW w:w="1134" w:type="dxa"/>
            <w:tcBorders>
              <w:top w:val="nil"/>
              <w:left w:val="nil"/>
              <w:bottom w:val="nil"/>
              <w:right w:val="nil"/>
            </w:tcBorders>
            <w:shd w:val="clear" w:color="auto" w:fill="FFFFFF"/>
            <w:tcMar>
              <w:left w:w="67" w:type="dxa"/>
              <w:right w:w="67" w:type="dxa"/>
            </w:tcMar>
            <w:vAlign w:val="center"/>
          </w:tcPr>
          <w:p w14:paraId="2DCB0F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1.0249</w:t>
            </w:r>
          </w:p>
        </w:tc>
        <w:tc>
          <w:tcPr>
            <w:tcW w:w="1134" w:type="dxa"/>
            <w:tcBorders>
              <w:top w:val="nil"/>
              <w:left w:val="nil"/>
              <w:bottom w:val="nil"/>
              <w:right w:val="nil"/>
            </w:tcBorders>
            <w:shd w:val="clear" w:color="auto" w:fill="FFFFFF"/>
            <w:tcMar>
              <w:left w:w="67" w:type="dxa"/>
              <w:right w:w="67" w:type="dxa"/>
            </w:tcMar>
            <w:vAlign w:val="center"/>
          </w:tcPr>
          <w:p w14:paraId="621CA0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1.7218</w:t>
            </w:r>
          </w:p>
        </w:tc>
        <w:tc>
          <w:tcPr>
            <w:tcW w:w="1134" w:type="dxa"/>
            <w:tcBorders>
              <w:top w:val="nil"/>
              <w:left w:val="nil"/>
              <w:bottom w:val="nil"/>
              <w:right w:val="nil"/>
            </w:tcBorders>
            <w:shd w:val="clear" w:color="auto" w:fill="FFFFFF"/>
            <w:tcMar>
              <w:left w:w="67" w:type="dxa"/>
              <w:right w:w="67" w:type="dxa"/>
            </w:tcMar>
            <w:vAlign w:val="center"/>
          </w:tcPr>
          <w:p w14:paraId="7F3B5E5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39EC27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1C98068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16E38D2"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3552CAC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443B305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DB9EB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507EC2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29E973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0.9965</w:t>
            </w:r>
          </w:p>
        </w:tc>
        <w:tc>
          <w:tcPr>
            <w:tcW w:w="1134" w:type="dxa"/>
            <w:tcBorders>
              <w:top w:val="nil"/>
              <w:left w:val="nil"/>
              <w:bottom w:val="nil"/>
              <w:right w:val="nil"/>
            </w:tcBorders>
            <w:shd w:val="clear" w:color="auto" w:fill="FFFFFF"/>
            <w:tcMar>
              <w:left w:w="67" w:type="dxa"/>
              <w:right w:w="67" w:type="dxa"/>
            </w:tcMar>
            <w:vAlign w:val="center"/>
          </w:tcPr>
          <w:p w14:paraId="7C03D2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0.9887</w:t>
            </w:r>
          </w:p>
        </w:tc>
        <w:tc>
          <w:tcPr>
            <w:tcW w:w="1134" w:type="dxa"/>
            <w:tcBorders>
              <w:top w:val="nil"/>
              <w:left w:val="nil"/>
              <w:bottom w:val="nil"/>
              <w:right w:val="nil"/>
            </w:tcBorders>
            <w:shd w:val="clear" w:color="auto" w:fill="FFFFFF"/>
            <w:tcMar>
              <w:left w:w="67" w:type="dxa"/>
              <w:right w:w="67" w:type="dxa"/>
            </w:tcMar>
            <w:vAlign w:val="center"/>
          </w:tcPr>
          <w:p w14:paraId="39B23B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1.0044</w:t>
            </w:r>
          </w:p>
        </w:tc>
        <w:tc>
          <w:tcPr>
            <w:tcW w:w="1134" w:type="dxa"/>
            <w:tcBorders>
              <w:top w:val="nil"/>
              <w:left w:val="nil"/>
              <w:bottom w:val="nil"/>
              <w:right w:val="nil"/>
            </w:tcBorders>
            <w:shd w:val="clear" w:color="auto" w:fill="FFFFFF"/>
            <w:tcMar>
              <w:left w:w="67" w:type="dxa"/>
              <w:right w:w="67" w:type="dxa"/>
            </w:tcMar>
            <w:vAlign w:val="center"/>
          </w:tcPr>
          <w:p w14:paraId="05931F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w:t>
            </w:r>
          </w:p>
        </w:tc>
        <w:tc>
          <w:tcPr>
            <w:tcW w:w="567" w:type="dxa"/>
            <w:tcBorders>
              <w:top w:val="nil"/>
              <w:left w:val="nil"/>
              <w:bottom w:val="nil"/>
              <w:right w:val="nil"/>
            </w:tcBorders>
            <w:shd w:val="clear" w:color="auto" w:fill="FFFFFF"/>
            <w:tcMar>
              <w:left w:w="67" w:type="dxa"/>
              <w:right w:w="67" w:type="dxa"/>
            </w:tcMar>
            <w:vAlign w:val="center"/>
          </w:tcPr>
          <w:p w14:paraId="7839D7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5E0358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0.3236</w:t>
            </w:r>
          </w:p>
        </w:tc>
      </w:tr>
      <w:tr w:rsidR="00B77EA3" w:rsidRPr="0082484A" w14:paraId="3EB6B5F0"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3C86A4C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146D6ED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5421F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0.0277</w:t>
            </w:r>
          </w:p>
        </w:tc>
        <w:tc>
          <w:tcPr>
            <w:tcW w:w="1134" w:type="dxa"/>
            <w:tcBorders>
              <w:top w:val="nil"/>
              <w:left w:val="nil"/>
              <w:bottom w:val="nil"/>
              <w:right w:val="nil"/>
            </w:tcBorders>
            <w:shd w:val="clear" w:color="auto" w:fill="FFFFFF"/>
            <w:tcMar>
              <w:left w:w="67" w:type="dxa"/>
              <w:right w:w="67" w:type="dxa"/>
            </w:tcMar>
            <w:vAlign w:val="center"/>
          </w:tcPr>
          <w:p w14:paraId="14C117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0.0050</w:t>
            </w:r>
          </w:p>
        </w:tc>
        <w:tc>
          <w:tcPr>
            <w:tcW w:w="1134" w:type="dxa"/>
            <w:tcBorders>
              <w:top w:val="nil"/>
              <w:left w:val="nil"/>
              <w:bottom w:val="nil"/>
              <w:right w:val="nil"/>
            </w:tcBorders>
            <w:shd w:val="clear" w:color="auto" w:fill="FFFFFF"/>
            <w:tcMar>
              <w:left w:w="67" w:type="dxa"/>
              <w:right w:w="67" w:type="dxa"/>
            </w:tcMar>
            <w:vAlign w:val="center"/>
          </w:tcPr>
          <w:p w14:paraId="4EBCBF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1.0281</w:t>
            </w:r>
          </w:p>
        </w:tc>
        <w:tc>
          <w:tcPr>
            <w:tcW w:w="1134" w:type="dxa"/>
            <w:tcBorders>
              <w:top w:val="nil"/>
              <w:left w:val="nil"/>
              <w:bottom w:val="nil"/>
              <w:right w:val="nil"/>
            </w:tcBorders>
            <w:shd w:val="clear" w:color="auto" w:fill="FFFFFF"/>
            <w:tcMar>
              <w:left w:w="67" w:type="dxa"/>
              <w:right w:w="67" w:type="dxa"/>
            </w:tcMar>
            <w:vAlign w:val="center"/>
          </w:tcPr>
          <w:p w14:paraId="3A0923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1.0168</w:t>
            </w:r>
          </w:p>
        </w:tc>
        <w:tc>
          <w:tcPr>
            <w:tcW w:w="1134" w:type="dxa"/>
            <w:tcBorders>
              <w:top w:val="nil"/>
              <w:left w:val="nil"/>
              <w:bottom w:val="nil"/>
              <w:right w:val="nil"/>
            </w:tcBorders>
            <w:shd w:val="clear" w:color="auto" w:fill="FFFFFF"/>
            <w:tcMar>
              <w:left w:w="67" w:type="dxa"/>
              <w:right w:w="67" w:type="dxa"/>
            </w:tcMar>
            <w:vAlign w:val="center"/>
          </w:tcPr>
          <w:p w14:paraId="0B982A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1.0396</w:t>
            </w:r>
          </w:p>
        </w:tc>
        <w:tc>
          <w:tcPr>
            <w:tcW w:w="1134" w:type="dxa"/>
            <w:tcBorders>
              <w:top w:val="nil"/>
              <w:left w:val="nil"/>
              <w:bottom w:val="nil"/>
              <w:right w:val="nil"/>
            </w:tcBorders>
            <w:shd w:val="clear" w:color="auto" w:fill="FFFFFF"/>
            <w:tcMar>
              <w:left w:w="67" w:type="dxa"/>
              <w:right w:w="67" w:type="dxa"/>
            </w:tcMar>
            <w:vAlign w:val="center"/>
          </w:tcPr>
          <w:p w14:paraId="67A35B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31.37</w:t>
            </w:r>
          </w:p>
        </w:tc>
        <w:tc>
          <w:tcPr>
            <w:tcW w:w="567" w:type="dxa"/>
            <w:tcBorders>
              <w:top w:val="nil"/>
              <w:left w:val="nil"/>
              <w:bottom w:val="nil"/>
              <w:right w:val="nil"/>
            </w:tcBorders>
            <w:shd w:val="clear" w:color="auto" w:fill="FFFFFF"/>
            <w:tcMar>
              <w:left w:w="67" w:type="dxa"/>
              <w:right w:w="67" w:type="dxa"/>
            </w:tcMar>
            <w:vAlign w:val="center"/>
          </w:tcPr>
          <w:p w14:paraId="00FCDF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01849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CE5789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26E8B19"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Overall QOF score</w:t>
            </w:r>
          </w:p>
        </w:tc>
        <w:tc>
          <w:tcPr>
            <w:tcW w:w="3969" w:type="dxa"/>
            <w:tcBorders>
              <w:top w:val="nil"/>
              <w:left w:val="nil"/>
              <w:bottom w:val="nil"/>
              <w:right w:val="nil"/>
            </w:tcBorders>
            <w:shd w:val="clear" w:color="auto" w:fill="FFFFFF"/>
            <w:tcMar>
              <w:left w:w="67" w:type="dxa"/>
              <w:right w:w="67" w:type="dxa"/>
            </w:tcMar>
            <w:vAlign w:val="center"/>
          </w:tcPr>
          <w:p w14:paraId="65DAEF4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1B90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0B8377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4D89BD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383BCC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0.9987</w:t>
            </w:r>
          </w:p>
        </w:tc>
        <w:tc>
          <w:tcPr>
            <w:tcW w:w="1134" w:type="dxa"/>
            <w:tcBorders>
              <w:top w:val="nil"/>
              <w:left w:val="nil"/>
              <w:bottom w:val="nil"/>
              <w:right w:val="nil"/>
            </w:tcBorders>
            <w:shd w:val="clear" w:color="auto" w:fill="FFFFFF"/>
            <w:tcMar>
              <w:left w:w="67" w:type="dxa"/>
              <w:right w:w="67" w:type="dxa"/>
            </w:tcMar>
            <w:vAlign w:val="center"/>
          </w:tcPr>
          <w:p w14:paraId="692CF1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1.0047</w:t>
            </w:r>
          </w:p>
        </w:tc>
        <w:tc>
          <w:tcPr>
            <w:tcW w:w="1134" w:type="dxa"/>
            <w:tcBorders>
              <w:top w:val="nil"/>
              <w:left w:val="nil"/>
              <w:bottom w:val="nil"/>
              <w:right w:val="nil"/>
            </w:tcBorders>
            <w:shd w:val="clear" w:color="auto" w:fill="FFFFFF"/>
            <w:tcMar>
              <w:left w:w="67" w:type="dxa"/>
              <w:right w:w="67" w:type="dxa"/>
            </w:tcMar>
            <w:vAlign w:val="center"/>
          </w:tcPr>
          <w:p w14:paraId="7C3790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1.57</w:t>
            </w:r>
          </w:p>
        </w:tc>
        <w:tc>
          <w:tcPr>
            <w:tcW w:w="567" w:type="dxa"/>
            <w:tcBorders>
              <w:top w:val="nil"/>
              <w:left w:val="nil"/>
              <w:bottom w:val="nil"/>
              <w:right w:val="nil"/>
            </w:tcBorders>
            <w:shd w:val="clear" w:color="auto" w:fill="FFFFFF"/>
            <w:tcMar>
              <w:left w:w="67" w:type="dxa"/>
              <w:right w:w="67" w:type="dxa"/>
            </w:tcMar>
            <w:vAlign w:val="center"/>
          </w:tcPr>
          <w:p w14:paraId="7ABD17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4343D8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0.2098</w:t>
            </w:r>
          </w:p>
        </w:tc>
      </w:tr>
      <w:tr w:rsidR="00B77EA3" w:rsidRPr="0082484A" w14:paraId="3BC005E0" w14:textId="77777777" w:rsidTr="00B77EA3">
        <w:trPr>
          <w:cantSplit/>
          <w:jc w:val="center"/>
        </w:trPr>
        <w:tc>
          <w:tcPr>
            <w:tcW w:w="3118" w:type="dxa"/>
            <w:tcBorders>
              <w:top w:val="nil"/>
              <w:left w:val="single" w:sz="4" w:space="0" w:color="auto"/>
              <w:bottom w:val="single" w:sz="4" w:space="0" w:color="auto"/>
              <w:right w:val="nil"/>
            </w:tcBorders>
            <w:shd w:val="clear" w:color="auto" w:fill="FFFFFF"/>
            <w:tcMar>
              <w:left w:w="67" w:type="dxa"/>
              <w:right w:w="67" w:type="dxa"/>
            </w:tcMar>
            <w:vAlign w:val="center"/>
          </w:tcPr>
          <w:p w14:paraId="2A4F8B00"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left w:w="67" w:type="dxa"/>
              <w:right w:w="67" w:type="dxa"/>
            </w:tcMar>
            <w:vAlign w:val="center"/>
          </w:tcPr>
          <w:p w14:paraId="4894528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4" w:space="0" w:color="auto"/>
              <w:right w:val="nil"/>
            </w:tcBorders>
            <w:shd w:val="clear" w:color="auto" w:fill="FFFFFF"/>
            <w:tcMar>
              <w:left w:w="67" w:type="dxa"/>
              <w:right w:w="67" w:type="dxa"/>
            </w:tcMar>
            <w:vAlign w:val="center"/>
          </w:tcPr>
          <w:p w14:paraId="7D2F8C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-0.0501</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243349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0.0314</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5EA59E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0.9511</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12CB8C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0.8865</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25CA8D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1.0205</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66AEA8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2.54</w:t>
            </w:r>
          </w:p>
        </w:tc>
        <w:tc>
          <w:tcPr>
            <w:tcW w:w="567" w:type="dxa"/>
            <w:tcBorders>
              <w:top w:val="nil"/>
              <w:left w:val="nil"/>
              <w:bottom w:val="single" w:sz="4" w:space="0" w:color="auto"/>
              <w:right w:val="nil"/>
            </w:tcBorders>
            <w:shd w:val="clear" w:color="auto" w:fill="FFFFFF"/>
            <w:tcMar>
              <w:left w:w="67" w:type="dxa"/>
              <w:right w:w="67" w:type="dxa"/>
            </w:tcMar>
            <w:vAlign w:val="center"/>
          </w:tcPr>
          <w:p w14:paraId="5581E9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left w:w="67" w:type="dxa"/>
              <w:right w:w="67" w:type="dxa"/>
            </w:tcMar>
            <w:vAlign w:val="center"/>
          </w:tcPr>
          <w:p w14:paraId="73F5E7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0.1106</w:t>
            </w:r>
          </w:p>
        </w:tc>
      </w:tr>
    </w:tbl>
    <w:p w14:paraId="50AE4880" w14:textId="77777777" w:rsidR="00B77EA3" w:rsidRPr="0082484A" w:rsidRDefault="00B77EA3" w:rsidP="00B77EA3">
      <w:pPr>
        <w:spacing w:before="0" w:after="160" w:line="259" w:lineRule="auto"/>
        <w:rPr>
          <w:sz w:val="22"/>
          <w:szCs w:val="22"/>
        </w:rPr>
      </w:pPr>
      <w:bookmarkStart w:id="147" w:name="_Ref502917868"/>
      <w:r w:rsidRPr="0082484A">
        <w:rPr>
          <w:sz w:val="22"/>
          <w:szCs w:val="22"/>
        </w:rPr>
        <w:t>The estimated number needed to treat for one patient aged under 80 years with hypertension to achieve blood pressure below 140/90 mmHg is 52</w:t>
      </w:r>
    </w:p>
    <w:p w14:paraId="49204671" w14:textId="77777777" w:rsidR="00B77EA3" w:rsidRPr="0082484A" w:rsidRDefault="00B77EA3" w:rsidP="00B77EA3">
      <w:pPr>
        <w:spacing w:before="0" w:line="240" w:lineRule="auto"/>
        <w:rPr>
          <w:bCs/>
          <w:sz w:val="22"/>
          <w:szCs w:val="22"/>
        </w:rPr>
      </w:pPr>
    </w:p>
    <w:p w14:paraId="763B4520" w14:textId="77777777" w:rsidR="00B77EA3" w:rsidRPr="0082484A" w:rsidRDefault="00B77EA3" w:rsidP="00B77EA3">
      <w:pPr>
        <w:spacing w:before="0" w:after="200"/>
        <w:rPr>
          <w:bCs/>
          <w:sz w:val="22"/>
          <w:szCs w:val="22"/>
        </w:rPr>
      </w:pPr>
      <w:r w:rsidRPr="0082484A">
        <w:rPr>
          <w:sz w:val="22"/>
          <w:szCs w:val="22"/>
        </w:rPr>
        <w:br w:type="page"/>
      </w:r>
    </w:p>
    <w:p w14:paraId="5AD7C1ED" w14:textId="1C19209B" w:rsidR="00B77EA3" w:rsidRPr="0082484A" w:rsidRDefault="00B77EA3" w:rsidP="00B77EA3">
      <w:pPr>
        <w:spacing w:before="0" w:line="240" w:lineRule="auto"/>
        <w:rPr>
          <w:bCs/>
          <w:sz w:val="22"/>
          <w:szCs w:val="22"/>
        </w:rPr>
      </w:pPr>
      <w:bookmarkStart w:id="148" w:name="_Ref8647290"/>
      <w:bookmarkStart w:id="149" w:name="_Toc8728113"/>
      <w:bookmarkStart w:id="150" w:name="_Toc19526768"/>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39</w:t>
      </w:r>
      <w:r w:rsidRPr="0082484A">
        <w:rPr>
          <w:bCs/>
          <w:noProof/>
          <w:sz w:val="22"/>
          <w:szCs w:val="22"/>
        </w:rPr>
        <w:fldChar w:fldCharType="end"/>
      </w:r>
      <w:bookmarkEnd w:id="147"/>
      <w:bookmarkEnd w:id="148"/>
      <w:r w:rsidRPr="0082484A">
        <w:rPr>
          <w:bCs/>
          <w:sz w:val="22"/>
          <w:szCs w:val="22"/>
        </w:rPr>
        <w:t>: Secondary outcome for Trial 2: Blood pressure below 150/90 mmHg in patients aged 80 years and over with hypertension (WP4A)</w:t>
      </w:r>
      <w:bookmarkEnd w:id="149"/>
      <w:bookmarkEnd w:id="150"/>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7441C14B" w14:textId="77777777" w:rsidTr="00B77EA3">
        <w:trPr>
          <w:cantSplit/>
          <w:tblHeader/>
          <w:jc w:val="center"/>
        </w:trPr>
        <w:tc>
          <w:tcPr>
            <w:tcW w:w="3118" w:type="dxa"/>
            <w:tcBorders>
              <w:top w:val="single" w:sz="4" w:space="0" w:color="auto"/>
              <w:left w:val="single" w:sz="4" w:space="0" w:color="auto"/>
              <w:bottom w:val="single" w:sz="4" w:space="0" w:color="000000"/>
              <w:right w:val="nil"/>
            </w:tcBorders>
            <w:shd w:val="clear" w:color="auto" w:fill="FFFFFF"/>
            <w:tcMar>
              <w:left w:w="67" w:type="dxa"/>
              <w:right w:w="67" w:type="dxa"/>
            </w:tcMar>
            <w:vAlign w:val="bottom"/>
          </w:tcPr>
          <w:p w14:paraId="2237911E"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left w:w="67" w:type="dxa"/>
              <w:right w:w="67" w:type="dxa"/>
            </w:tcMar>
            <w:vAlign w:val="bottom"/>
          </w:tcPr>
          <w:p w14:paraId="48C6F494"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13A1B2F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D5ADE4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620F41D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7E5E617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05CF376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798D446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left w:w="67" w:type="dxa"/>
              <w:right w:w="67" w:type="dxa"/>
            </w:tcMar>
            <w:vAlign w:val="bottom"/>
          </w:tcPr>
          <w:p w14:paraId="3B86296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left w:w="67" w:type="dxa"/>
              <w:right w:w="67" w:type="dxa"/>
            </w:tcMar>
            <w:vAlign w:val="bottom"/>
          </w:tcPr>
          <w:p w14:paraId="24EEB27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DE1254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9A14552"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AED23F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568AB2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0.0625</w:t>
            </w:r>
          </w:p>
        </w:tc>
        <w:tc>
          <w:tcPr>
            <w:tcW w:w="1134" w:type="dxa"/>
            <w:tcBorders>
              <w:top w:val="nil"/>
              <w:left w:val="nil"/>
              <w:bottom w:val="nil"/>
              <w:right w:val="nil"/>
            </w:tcBorders>
            <w:shd w:val="clear" w:color="auto" w:fill="FFFFFF"/>
            <w:tcMar>
              <w:left w:w="67" w:type="dxa"/>
              <w:right w:w="67" w:type="dxa"/>
            </w:tcMar>
            <w:vAlign w:val="center"/>
          </w:tcPr>
          <w:p w14:paraId="21FCE8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0.0787</w:t>
            </w:r>
          </w:p>
        </w:tc>
        <w:tc>
          <w:tcPr>
            <w:tcW w:w="1134" w:type="dxa"/>
            <w:tcBorders>
              <w:top w:val="nil"/>
              <w:left w:val="nil"/>
              <w:bottom w:val="nil"/>
              <w:right w:val="nil"/>
            </w:tcBorders>
            <w:shd w:val="clear" w:color="auto" w:fill="FFFFFF"/>
            <w:tcMar>
              <w:left w:w="67" w:type="dxa"/>
              <w:right w:w="67" w:type="dxa"/>
            </w:tcMar>
            <w:vAlign w:val="center"/>
          </w:tcPr>
          <w:p w14:paraId="7E727D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1.0645</w:t>
            </w:r>
          </w:p>
        </w:tc>
        <w:tc>
          <w:tcPr>
            <w:tcW w:w="1134" w:type="dxa"/>
            <w:tcBorders>
              <w:top w:val="nil"/>
              <w:left w:val="nil"/>
              <w:bottom w:val="nil"/>
              <w:right w:val="nil"/>
            </w:tcBorders>
            <w:shd w:val="clear" w:color="auto" w:fill="FFFFFF"/>
            <w:tcMar>
              <w:left w:w="67" w:type="dxa"/>
              <w:right w:w="67" w:type="dxa"/>
            </w:tcMar>
            <w:vAlign w:val="center"/>
          </w:tcPr>
          <w:p w14:paraId="094E49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0.8923</w:t>
            </w:r>
          </w:p>
        </w:tc>
        <w:tc>
          <w:tcPr>
            <w:tcW w:w="1134" w:type="dxa"/>
            <w:tcBorders>
              <w:top w:val="nil"/>
              <w:left w:val="nil"/>
              <w:bottom w:val="nil"/>
              <w:right w:val="nil"/>
            </w:tcBorders>
            <w:shd w:val="clear" w:color="auto" w:fill="FFFFFF"/>
            <w:tcMar>
              <w:left w:w="67" w:type="dxa"/>
              <w:right w:w="67" w:type="dxa"/>
            </w:tcMar>
            <w:vAlign w:val="center"/>
          </w:tcPr>
          <w:p w14:paraId="1B5BE4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1.2699</w:t>
            </w:r>
          </w:p>
        </w:tc>
        <w:tc>
          <w:tcPr>
            <w:tcW w:w="1134" w:type="dxa"/>
            <w:tcBorders>
              <w:top w:val="nil"/>
              <w:left w:val="nil"/>
              <w:bottom w:val="nil"/>
              <w:right w:val="nil"/>
            </w:tcBorders>
            <w:shd w:val="clear" w:color="auto" w:fill="FFFFFF"/>
            <w:tcMar>
              <w:left w:w="67" w:type="dxa"/>
              <w:right w:w="67" w:type="dxa"/>
            </w:tcMar>
            <w:vAlign w:val="center"/>
          </w:tcPr>
          <w:p w14:paraId="2F6939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w:t>
            </w:r>
          </w:p>
        </w:tc>
        <w:tc>
          <w:tcPr>
            <w:tcW w:w="567" w:type="dxa"/>
            <w:tcBorders>
              <w:top w:val="nil"/>
              <w:left w:val="nil"/>
              <w:bottom w:val="nil"/>
              <w:right w:val="nil"/>
            </w:tcBorders>
            <w:shd w:val="clear" w:color="auto" w:fill="FFFFFF"/>
            <w:tcMar>
              <w:left w:w="67" w:type="dxa"/>
              <w:right w:w="67" w:type="dxa"/>
            </w:tcMar>
            <w:vAlign w:val="center"/>
          </w:tcPr>
          <w:p w14:paraId="72D1A2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6F56BE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0.4271</w:t>
            </w:r>
          </w:p>
        </w:tc>
      </w:tr>
      <w:tr w:rsidR="00B77EA3" w:rsidRPr="0082484A" w14:paraId="64A78710"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15F873A"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8D3C1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6EA292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-0.3604</w:t>
            </w:r>
          </w:p>
        </w:tc>
        <w:tc>
          <w:tcPr>
            <w:tcW w:w="1134" w:type="dxa"/>
            <w:tcBorders>
              <w:top w:val="nil"/>
              <w:left w:val="nil"/>
              <w:bottom w:val="nil"/>
              <w:right w:val="nil"/>
            </w:tcBorders>
            <w:shd w:val="clear" w:color="auto" w:fill="FFFFFF"/>
            <w:tcMar>
              <w:left w:w="67" w:type="dxa"/>
              <w:right w:w="67" w:type="dxa"/>
            </w:tcMar>
            <w:vAlign w:val="center"/>
          </w:tcPr>
          <w:p w14:paraId="6DEA66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0.0472</w:t>
            </w:r>
          </w:p>
        </w:tc>
        <w:tc>
          <w:tcPr>
            <w:tcW w:w="1134" w:type="dxa"/>
            <w:tcBorders>
              <w:top w:val="nil"/>
              <w:left w:val="nil"/>
              <w:bottom w:val="nil"/>
              <w:right w:val="nil"/>
            </w:tcBorders>
            <w:shd w:val="clear" w:color="auto" w:fill="FFFFFF"/>
            <w:tcMar>
              <w:left w:w="67" w:type="dxa"/>
              <w:right w:w="67" w:type="dxa"/>
            </w:tcMar>
            <w:vAlign w:val="center"/>
          </w:tcPr>
          <w:p w14:paraId="5475EF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0.6974</w:t>
            </w:r>
          </w:p>
        </w:tc>
        <w:tc>
          <w:tcPr>
            <w:tcW w:w="1134" w:type="dxa"/>
            <w:tcBorders>
              <w:top w:val="nil"/>
              <w:left w:val="nil"/>
              <w:bottom w:val="nil"/>
              <w:right w:val="nil"/>
            </w:tcBorders>
            <w:shd w:val="clear" w:color="auto" w:fill="FFFFFF"/>
            <w:tcMar>
              <w:left w:w="67" w:type="dxa"/>
              <w:right w:w="67" w:type="dxa"/>
            </w:tcMar>
            <w:vAlign w:val="center"/>
          </w:tcPr>
          <w:p w14:paraId="4B7C9F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0.6274</w:t>
            </w:r>
          </w:p>
        </w:tc>
        <w:tc>
          <w:tcPr>
            <w:tcW w:w="1134" w:type="dxa"/>
            <w:tcBorders>
              <w:top w:val="nil"/>
              <w:left w:val="nil"/>
              <w:bottom w:val="nil"/>
              <w:right w:val="nil"/>
            </w:tcBorders>
            <w:shd w:val="clear" w:color="auto" w:fill="FFFFFF"/>
            <w:tcMar>
              <w:left w:w="67" w:type="dxa"/>
              <w:right w:w="67" w:type="dxa"/>
            </w:tcMar>
            <w:vAlign w:val="center"/>
          </w:tcPr>
          <w:p w14:paraId="06FFD5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0.7752</w:t>
            </w:r>
          </w:p>
        </w:tc>
        <w:tc>
          <w:tcPr>
            <w:tcW w:w="1134" w:type="dxa"/>
            <w:tcBorders>
              <w:top w:val="nil"/>
              <w:left w:val="nil"/>
              <w:bottom w:val="nil"/>
              <w:right w:val="nil"/>
            </w:tcBorders>
            <w:shd w:val="clear" w:color="auto" w:fill="FFFFFF"/>
            <w:tcMar>
              <w:left w:w="67" w:type="dxa"/>
              <w:right w:w="67" w:type="dxa"/>
            </w:tcMar>
            <w:vAlign w:val="center"/>
          </w:tcPr>
          <w:p w14:paraId="1FA129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58.33</w:t>
            </w:r>
          </w:p>
        </w:tc>
        <w:tc>
          <w:tcPr>
            <w:tcW w:w="567" w:type="dxa"/>
            <w:tcBorders>
              <w:top w:val="nil"/>
              <w:left w:val="nil"/>
              <w:bottom w:val="nil"/>
              <w:right w:val="nil"/>
            </w:tcBorders>
            <w:shd w:val="clear" w:color="auto" w:fill="FFFFFF"/>
            <w:tcMar>
              <w:left w:w="67" w:type="dxa"/>
              <w:right w:w="67" w:type="dxa"/>
            </w:tcMar>
            <w:vAlign w:val="center"/>
          </w:tcPr>
          <w:p w14:paraId="04BB9E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2CCA36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3ABECD35"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9F5554C"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3D5E7FA"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03131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-0.0197</w:t>
            </w:r>
          </w:p>
        </w:tc>
        <w:tc>
          <w:tcPr>
            <w:tcW w:w="1134" w:type="dxa"/>
            <w:tcBorders>
              <w:top w:val="nil"/>
              <w:left w:val="nil"/>
              <w:bottom w:val="nil"/>
              <w:right w:val="nil"/>
            </w:tcBorders>
            <w:shd w:val="clear" w:color="auto" w:fill="FFFFFF"/>
            <w:tcMar>
              <w:left w:w="67" w:type="dxa"/>
              <w:right w:w="67" w:type="dxa"/>
            </w:tcMar>
            <w:vAlign w:val="center"/>
          </w:tcPr>
          <w:p w14:paraId="5A43A5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0.0049</w:t>
            </w:r>
          </w:p>
        </w:tc>
        <w:tc>
          <w:tcPr>
            <w:tcW w:w="1134" w:type="dxa"/>
            <w:tcBorders>
              <w:top w:val="nil"/>
              <w:left w:val="nil"/>
              <w:bottom w:val="nil"/>
              <w:right w:val="nil"/>
            </w:tcBorders>
            <w:shd w:val="clear" w:color="auto" w:fill="FFFFFF"/>
            <w:tcMar>
              <w:left w:w="67" w:type="dxa"/>
              <w:right w:w="67" w:type="dxa"/>
            </w:tcMar>
            <w:vAlign w:val="center"/>
          </w:tcPr>
          <w:p w14:paraId="7036E8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0.9804</w:t>
            </w:r>
          </w:p>
        </w:tc>
        <w:tc>
          <w:tcPr>
            <w:tcW w:w="1134" w:type="dxa"/>
            <w:tcBorders>
              <w:top w:val="nil"/>
              <w:left w:val="nil"/>
              <w:bottom w:val="nil"/>
              <w:right w:val="nil"/>
            </w:tcBorders>
            <w:shd w:val="clear" w:color="auto" w:fill="FFFFFF"/>
            <w:tcMar>
              <w:left w:w="67" w:type="dxa"/>
              <w:right w:w="67" w:type="dxa"/>
            </w:tcMar>
            <w:vAlign w:val="center"/>
          </w:tcPr>
          <w:p w14:paraId="057FD2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0.9698</w:t>
            </w:r>
          </w:p>
        </w:tc>
        <w:tc>
          <w:tcPr>
            <w:tcW w:w="1134" w:type="dxa"/>
            <w:tcBorders>
              <w:top w:val="nil"/>
              <w:left w:val="nil"/>
              <w:bottom w:val="nil"/>
              <w:right w:val="nil"/>
            </w:tcBorders>
            <w:shd w:val="clear" w:color="auto" w:fill="FFFFFF"/>
            <w:tcMar>
              <w:left w:w="67" w:type="dxa"/>
              <w:right w:w="67" w:type="dxa"/>
            </w:tcMar>
            <w:vAlign w:val="center"/>
          </w:tcPr>
          <w:p w14:paraId="13B498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0.9912</w:t>
            </w:r>
          </w:p>
        </w:tc>
        <w:tc>
          <w:tcPr>
            <w:tcW w:w="1134" w:type="dxa"/>
            <w:tcBorders>
              <w:top w:val="nil"/>
              <w:left w:val="nil"/>
              <w:bottom w:val="nil"/>
              <w:right w:val="nil"/>
            </w:tcBorders>
            <w:shd w:val="clear" w:color="auto" w:fill="FFFFFF"/>
            <w:tcMar>
              <w:left w:w="67" w:type="dxa"/>
              <w:right w:w="67" w:type="dxa"/>
            </w:tcMar>
            <w:vAlign w:val="center"/>
          </w:tcPr>
          <w:p w14:paraId="124AC1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16.42</w:t>
            </w:r>
          </w:p>
        </w:tc>
        <w:tc>
          <w:tcPr>
            <w:tcW w:w="567" w:type="dxa"/>
            <w:tcBorders>
              <w:top w:val="nil"/>
              <w:left w:val="nil"/>
              <w:bottom w:val="nil"/>
              <w:right w:val="nil"/>
            </w:tcBorders>
            <w:shd w:val="clear" w:color="auto" w:fill="FFFFFF"/>
            <w:tcMar>
              <w:left w:w="67" w:type="dxa"/>
              <w:right w:w="67" w:type="dxa"/>
            </w:tcMar>
            <w:vAlign w:val="center"/>
          </w:tcPr>
          <w:p w14:paraId="58E216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748F5B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2105FC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4D32D9D"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7489C52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45EA4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1DDA53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5BBB0B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0.9973</w:t>
            </w:r>
          </w:p>
        </w:tc>
        <w:tc>
          <w:tcPr>
            <w:tcW w:w="1134" w:type="dxa"/>
            <w:tcBorders>
              <w:top w:val="nil"/>
              <w:left w:val="nil"/>
              <w:bottom w:val="nil"/>
              <w:right w:val="nil"/>
            </w:tcBorders>
            <w:shd w:val="clear" w:color="auto" w:fill="FFFFFF"/>
            <w:tcMar>
              <w:left w:w="67" w:type="dxa"/>
              <w:right w:w="67" w:type="dxa"/>
            </w:tcMar>
            <w:vAlign w:val="center"/>
          </w:tcPr>
          <w:p w14:paraId="31B3A1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0.9948</w:t>
            </w:r>
          </w:p>
        </w:tc>
        <w:tc>
          <w:tcPr>
            <w:tcW w:w="1134" w:type="dxa"/>
            <w:tcBorders>
              <w:top w:val="nil"/>
              <w:left w:val="nil"/>
              <w:bottom w:val="nil"/>
              <w:right w:val="nil"/>
            </w:tcBorders>
            <w:shd w:val="clear" w:color="auto" w:fill="FFFFFF"/>
            <w:tcMar>
              <w:left w:w="67" w:type="dxa"/>
              <w:right w:w="67" w:type="dxa"/>
            </w:tcMar>
            <w:vAlign w:val="center"/>
          </w:tcPr>
          <w:p w14:paraId="533B50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0.9997</w:t>
            </w:r>
          </w:p>
        </w:tc>
        <w:tc>
          <w:tcPr>
            <w:tcW w:w="1134" w:type="dxa"/>
            <w:tcBorders>
              <w:top w:val="nil"/>
              <w:left w:val="nil"/>
              <w:bottom w:val="nil"/>
              <w:right w:val="nil"/>
            </w:tcBorders>
            <w:shd w:val="clear" w:color="auto" w:fill="FFFFFF"/>
            <w:tcMar>
              <w:left w:w="67" w:type="dxa"/>
              <w:right w:w="67" w:type="dxa"/>
            </w:tcMar>
            <w:vAlign w:val="center"/>
          </w:tcPr>
          <w:p w14:paraId="258A5D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6.16</w:t>
            </w:r>
          </w:p>
        </w:tc>
        <w:tc>
          <w:tcPr>
            <w:tcW w:w="567" w:type="dxa"/>
            <w:tcBorders>
              <w:top w:val="nil"/>
              <w:left w:val="nil"/>
              <w:bottom w:val="nil"/>
              <w:right w:val="nil"/>
            </w:tcBorders>
            <w:shd w:val="clear" w:color="auto" w:fill="FFFFFF"/>
            <w:tcMar>
              <w:left w:w="67" w:type="dxa"/>
              <w:right w:w="67" w:type="dxa"/>
            </w:tcMar>
            <w:vAlign w:val="center"/>
          </w:tcPr>
          <w:p w14:paraId="483DCF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63DF5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0.0131</w:t>
            </w:r>
          </w:p>
        </w:tc>
      </w:tr>
      <w:tr w:rsidR="00B77EA3" w:rsidRPr="0082484A" w14:paraId="6D5A9A87"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9368D7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CDCD41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EC208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0.0495</w:t>
            </w:r>
          </w:p>
        </w:tc>
        <w:tc>
          <w:tcPr>
            <w:tcW w:w="1134" w:type="dxa"/>
            <w:tcBorders>
              <w:top w:val="nil"/>
              <w:left w:val="nil"/>
              <w:bottom w:val="nil"/>
              <w:right w:val="nil"/>
            </w:tcBorders>
            <w:shd w:val="clear" w:color="auto" w:fill="FFFFFF"/>
            <w:tcMar>
              <w:left w:w="67" w:type="dxa"/>
              <w:right w:w="67" w:type="dxa"/>
            </w:tcMar>
            <w:vAlign w:val="center"/>
          </w:tcPr>
          <w:p w14:paraId="14CDA1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0.1605</w:t>
            </w:r>
          </w:p>
        </w:tc>
        <w:tc>
          <w:tcPr>
            <w:tcW w:w="1134" w:type="dxa"/>
            <w:tcBorders>
              <w:top w:val="nil"/>
              <w:left w:val="nil"/>
              <w:bottom w:val="nil"/>
              <w:right w:val="nil"/>
            </w:tcBorders>
            <w:shd w:val="clear" w:color="auto" w:fill="FFFFFF"/>
            <w:tcMar>
              <w:left w:w="67" w:type="dxa"/>
              <w:right w:w="67" w:type="dxa"/>
            </w:tcMar>
            <w:vAlign w:val="center"/>
          </w:tcPr>
          <w:p w14:paraId="2FC0F9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1.0507</w:t>
            </w:r>
          </w:p>
        </w:tc>
        <w:tc>
          <w:tcPr>
            <w:tcW w:w="1134" w:type="dxa"/>
            <w:tcBorders>
              <w:top w:val="nil"/>
              <w:left w:val="nil"/>
              <w:bottom w:val="nil"/>
              <w:right w:val="nil"/>
            </w:tcBorders>
            <w:shd w:val="clear" w:color="auto" w:fill="FFFFFF"/>
            <w:tcMar>
              <w:left w:w="67" w:type="dxa"/>
              <w:right w:w="67" w:type="dxa"/>
            </w:tcMar>
            <w:vAlign w:val="center"/>
          </w:tcPr>
          <w:p w14:paraId="19238F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0.7333</w:t>
            </w:r>
          </w:p>
        </w:tc>
        <w:tc>
          <w:tcPr>
            <w:tcW w:w="1134" w:type="dxa"/>
            <w:tcBorders>
              <w:top w:val="nil"/>
              <w:left w:val="nil"/>
              <w:bottom w:val="nil"/>
              <w:right w:val="nil"/>
            </w:tcBorders>
            <w:shd w:val="clear" w:color="auto" w:fill="FFFFFF"/>
            <w:tcMar>
              <w:left w:w="67" w:type="dxa"/>
              <w:right w:w="67" w:type="dxa"/>
            </w:tcMar>
            <w:vAlign w:val="center"/>
          </w:tcPr>
          <w:p w14:paraId="044075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1.5056</w:t>
            </w:r>
          </w:p>
        </w:tc>
        <w:tc>
          <w:tcPr>
            <w:tcW w:w="1134" w:type="dxa"/>
            <w:tcBorders>
              <w:top w:val="nil"/>
              <w:left w:val="nil"/>
              <w:bottom w:val="nil"/>
              <w:right w:val="nil"/>
            </w:tcBorders>
            <w:shd w:val="clear" w:color="auto" w:fill="FFFFFF"/>
            <w:tcMar>
              <w:left w:w="67" w:type="dxa"/>
              <w:right w:w="67" w:type="dxa"/>
            </w:tcMar>
            <w:vAlign w:val="center"/>
          </w:tcPr>
          <w:p w14:paraId="37DED9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4.14</w:t>
            </w:r>
          </w:p>
        </w:tc>
        <w:tc>
          <w:tcPr>
            <w:tcW w:w="567" w:type="dxa"/>
            <w:tcBorders>
              <w:top w:val="nil"/>
              <w:left w:val="nil"/>
              <w:bottom w:val="nil"/>
              <w:right w:val="nil"/>
            </w:tcBorders>
            <w:shd w:val="clear" w:color="auto" w:fill="FFFFFF"/>
            <w:tcMar>
              <w:left w:w="67" w:type="dxa"/>
              <w:right w:w="67" w:type="dxa"/>
            </w:tcMar>
            <w:vAlign w:val="center"/>
          </w:tcPr>
          <w:p w14:paraId="7B3CF9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6D2CDE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176700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7E70EA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62AD06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389B2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-0.7314</w:t>
            </w:r>
          </w:p>
        </w:tc>
        <w:tc>
          <w:tcPr>
            <w:tcW w:w="1134" w:type="dxa"/>
            <w:tcBorders>
              <w:top w:val="nil"/>
              <w:left w:val="nil"/>
              <w:bottom w:val="nil"/>
              <w:right w:val="nil"/>
            </w:tcBorders>
            <w:shd w:val="clear" w:color="auto" w:fill="FFFFFF"/>
            <w:tcMar>
              <w:left w:w="67" w:type="dxa"/>
              <w:right w:w="67" w:type="dxa"/>
            </w:tcMar>
            <w:vAlign w:val="center"/>
          </w:tcPr>
          <w:p w14:paraId="449DEC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0.1689</w:t>
            </w:r>
          </w:p>
        </w:tc>
        <w:tc>
          <w:tcPr>
            <w:tcW w:w="1134" w:type="dxa"/>
            <w:tcBorders>
              <w:top w:val="nil"/>
              <w:left w:val="nil"/>
              <w:bottom w:val="nil"/>
              <w:right w:val="nil"/>
            </w:tcBorders>
            <w:shd w:val="clear" w:color="auto" w:fill="FFFFFF"/>
            <w:tcMar>
              <w:left w:w="67" w:type="dxa"/>
              <w:right w:w="67" w:type="dxa"/>
            </w:tcMar>
            <w:vAlign w:val="center"/>
          </w:tcPr>
          <w:p w14:paraId="7999A9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0.4812</w:t>
            </w:r>
          </w:p>
        </w:tc>
        <w:tc>
          <w:tcPr>
            <w:tcW w:w="1134" w:type="dxa"/>
            <w:tcBorders>
              <w:top w:val="nil"/>
              <w:left w:val="nil"/>
              <w:bottom w:val="nil"/>
              <w:right w:val="nil"/>
            </w:tcBorders>
            <w:shd w:val="clear" w:color="auto" w:fill="FFFFFF"/>
            <w:tcMar>
              <w:left w:w="67" w:type="dxa"/>
              <w:right w:w="67" w:type="dxa"/>
            </w:tcMar>
            <w:vAlign w:val="center"/>
          </w:tcPr>
          <w:p w14:paraId="171351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0.3295</w:t>
            </w:r>
          </w:p>
        </w:tc>
        <w:tc>
          <w:tcPr>
            <w:tcW w:w="1134" w:type="dxa"/>
            <w:tcBorders>
              <w:top w:val="nil"/>
              <w:left w:val="nil"/>
              <w:bottom w:val="nil"/>
              <w:right w:val="nil"/>
            </w:tcBorders>
            <w:shd w:val="clear" w:color="auto" w:fill="FFFFFF"/>
            <w:tcMar>
              <w:left w:w="67" w:type="dxa"/>
              <w:right w:w="67" w:type="dxa"/>
            </w:tcMar>
            <w:vAlign w:val="center"/>
          </w:tcPr>
          <w:p w14:paraId="5B38A7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0.7028</w:t>
            </w:r>
          </w:p>
        </w:tc>
        <w:tc>
          <w:tcPr>
            <w:tcW w:w="1134" w:type="dxa"/>
            <w:tcBorders>
              <w:top w:val="nil"/>
              <w:left w:val="nil"/>
              <w:bottom w:val="nil"/>
              <w:right w:val="nil"/>
            </w:tcBorders>
            <w:shd w:val="clear" w:color="auto" w:fill="FFFFFF"/>
            <w:tcMar>
              <w:left w:w="67" w:type="dxa"/>
              <w:right w:w="67" w:type="dxa"/>
            </w:tcMar>
            <w:vAlign w:val="center"/>
          </w:tcPr>
          <w:p w14:paraId="27795BF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5CA3A5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A2D287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081681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7B41CE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3C670E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EE679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0.2283</w:t>
            </w:r>
          </w:p>
        </w:tc>
        <w:tc>
          <w:tcPr>
            <w:tcW w:w="1134" w:type="dxa"/>
            <w:tcBorders>
              <w:top w:val="nil"/>
              <w:left w:val="nil"/>
              <w:bottom w:val="nil"/>
              <w:right w:val="nil"/>
            </w:tcBorders>
            <w:shd w:val="clear" w:color="auto" w:fill="FFFFFF"/>
            <w:tcMar>
              <w:left w:w="67" w:type="dxa"/>
              <w:right w:w="67" w:type="dxa"/>
            </w:tcMar>
            <w:vAlign w:val="center"/>
          </w:tcPr>
          <w:p w14:paraId="0ABEE2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0.1715</w:t>
            </w:r>
          </w:p>
        </w:tc>
        <w:tc>
          <w:tcPr>
            <w:tcW w:w="1134" w:type="dxa"/>
            <w:tcBorders>
              <w:top w:val="nil"/>
              <w:left w:val="nil"/>
              <w:bottom w:val="nil"/>
              <w:right w:val="nil"/>
            </w:tcBorders>
            <w:shd w:val="clear" w:color="auto" w:fill="FFFFFF"/>
            <w:tcMar>
              <w:left w:w="67" w:type="dxa"/>
              <w:right w:w="67" w:type="dxa"/>
            </w:tcMar>
            <w:vAlign w:val="center"/>
          </w:tcPr>
          <w:p w14:paraId="5810C9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1.2565</w:t>
            </w:r>
          </w:p>
        </w:tc>
        <w:tc>
          <w:tcPr>
            <w:tcW w:w="1134" w:type="dxa"/>
            <w:tcBorders>
              <w:top w:val="nil"/>
              <w:left w:val="nil"/>
              <w:bottom w:val="nil"/>
              <w:right w:val="nil"/>
            </w:tcBorders>
            <w:shd w:val="clear" w:color="auto" w:fill="FFFFFF"/>
            <w:tcMar>
              <w:left w:w="67" w:type="dxa"/>
              <w:right w:w="67" w:type="dxa"/>
            </w:tcMar>
            <w:vAlign w:val="center"/>
          </w:tcPr>
          <w:p w14:paraId="17117E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0.8554</w:t>
            </w:r>
          </w:p>
        </w:tc>
        <w:tc>
          <w:tcPr>
            <w:tcW w:w="1134" w:type="dxa"/>
            <w:tcBorders>
              <w:top w:val="nil"/>
              <w:left w:val="nil"/>
              <w:bottom w:val="nil"/>
              <w:right w:val="nil"/>
            </w:tcBorders>
            <w:shd w:val="clear" w:color="auto" w:fill="FFFFFF"/>
            <w:tcMar>
              <w:left w:w="67" w:type="dxa"/>
              <w:right w:w="67" w:type="dxa"/>
            </w:tcMar>
            <w:vAlign w:val="center"/>
          </w:tcPr>
          <w:p w14:paraId="152A9D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1.8455</w:t>
            </w:r>
          </w:p>
        </w:tc>
        <w:tc>
          <w:tcPr>
            <w:tcW w:w="1134" w:type="dxa"/>
            <w:tcBorders>
              <w:top w:val="nil"/>
              <w:left w:val="nil"/>
              <w:bottom w:val="nil"/>
              <w:right w:val="nil"/>
            </w:tcBorders>
            <w:shd w:val="clear" w:color="auto" w:fill="FFFFFF"/>
            <w:tcMar>
              <w:left w:w="67" w:type="dxa"/>
              <w:right w:w="67" w:type="dxa"/>
            </w:tcMar>
            <w:vAlign w:val="center"/>
          </w:tcPr>
          <w:p w14:paraId="1EE6CD1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56F1C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7D8633E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68F1995"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F828E3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E96FB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12ABD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-0.2103</w:t>
            </w:r>
          </w:p>
        </w:tc>
        <w:tc>
          <w:tcPr>
            <w:tcW w:w="1134" w:type="dxa"/>
            <w:tcBorders>
              <w:top w:val="nil"/>
              <w:left w:val="nil"/>
              <w:bottom w:val="nil"/>
              <w:right w:val="nil"/>
            </w:tcBorders>
            <w:shd w:val="clear" w:color="auto" w:fill="FFFFFF"/>
            <w:tcMar>
              <w:left w:w="67" w:type="dxa"/>
              <w:right w:w="67" w:type="dxa"/>
            </w:tcMar>
            <w:vAlign w:val="center"/>
          </w:tcPr>
          <w:p w14:paraId="4FB986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0.1589</w:t>
            </w:r>
          </w:p>
        </w:tc>
        <w:tc>
          <w:tcPr>
            <w:tcW w:w="1134" w:type="dxa"/>
            <w:tcBorders>
              <w:top w:val="nil"/>
              <w:left w:val="nil"/>
              <w:bottom w:val="nil"/>
              <w:right w:val="nil"/>
            </w:tcBorders>
            <w:shd w:val="clear" w:color="auto" w:fill="FFFFFF"/>
            <w:tcMar>
              <w:left w:w="67" w:type="dxa"/>
              <w:right w:w="67" w:type="dxa"/>
            </w:tcMar>
            <w:vAlign w:val="center"/>
          </w:tcPr>
          <w:p w14:paraId="1B5A91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0.8103</w:t>
            </w:r>
          </w:p>
        </w:tc>
        <w:tc>
          <w:tcPr>
            <w:tcW w:w="1134" w:type="dxa"/>
            <w:tcBorders>
              <w:top w:val="nil"/>
              <w:left w:val="nil"/>
              <w:bottom w:val="nil"/>
              <w:right w:val="nil"/>
            </w:tcBorders>
            <w:shd w:val="clear" w:color="auto" w:fill="FFFFFF"/>
            <w:tcMar>
              <w:left w:w="67" w:type="dxa"/>
              <w:right w:w="67" w:type="dxa"/>
            </w:tcMar>
            <w:vAlign w:val="center"/>
          </w:tcPr>
          <w:p w14:paraId="7C917C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0.5674</w:t>
            </w:r>
          </w:p>
        </w:tc>
        <w:tc>
          <w:tcPr>
            <w:tcW w:w="1134" w:type="dxa"/>
            <w:tcBorders>
              <w:top w:val="nil"/>
              <w:left w:val="nil"/>
              <w:bottom w:val="nil"/>
              <w:right w:val="nil"/>
            </w:tcBorders>
            <w:shd w:val="clear" w:color="auto" w:fill="FFFFFF"/>
            <w:tcMar>
              <w:left w:w="67" w:type="dxa"/>
              <w:right w:w="67" w:type="dxa"/>
            </w:tcMar>
            <w:vAlign w:val="center"/>
          </w:tcPr>
          <w:p w14:paraId="7460DD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1.1571</w:t>
            </w:r>
          </w:p>
        </w:tc>
        <w:tc>
          <w:tcPr>
            <w:tcW w:w="1134" w:type="dxa"/>
            <w:tcBorders>
              <w:top w:val="nil"/>
              <w:left w:val="nil"/>
              <w:bottom w:val="nil"/>
              <w:right w:val="nil"/>
            </w:tcBorders>
            <w:shd w:val="clear" w:color="auto" w:fill="FFFFFF"/>
            <w:tcMar>
              <w:left w:w="67" w:type="dxa"/>
              <w:right w:w="67" w:type="dxa"/>
            </w:tcMar>
            <w:vAlign w:val="center"/>
          </w:tcPr>
          <w:p w14:paraId="4311588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B7DAC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F3F32D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E829E1F"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1AD5461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2EFB05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04C99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0.2532</w:t>
            </w:r>
          </w:p>
        </w:tc>
        <w:tc>
          <w:tcPr>
            <w:tcW w:w="1134" w:type="dxa"/>
            <w:tcBorders>
              <w:top w:val="nil"/>
              <w:left w:val="nil"/>
              <w:bottom w:val="nil"/>
              <w:right w:val="nil"/>
            </w:tcBorders>
            <w:shd w:val="clear" w:color="auto" w:fill="FFFFFF"/>
            <w:tcMar>
              <w:left w:w="67" w:type="dxa"/>
              <w:right w:w="67" w:type="dxa"/>
            </w:tcMar>
            <w:vAlign w:val="center"/>
          </w:tcPr>
          <w:p w14:paraId="559672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0.1746</w:t>
            </w:r>
          </w:p>
        </w:tc>
        <w:tc>
          <w:tcPr>
            <w:tcW w:w="1134" w:type="dxa"/>
            <w:tcBorders>
              <w:top w:val="nil"/>
              <w:left w:val="nil"/>
              <w:bottom w:val="nil"/>
              <w:right w:val="nil"/>
            </w:tcBorders>
            <w:shd w:val="clear" w:color="auto" w:fill="FFFFFF"/>
            <w:tcMar>
              <w:left w:w="67" w:type="dxa"/>
              <w:right w:w="67" w:type="dxa"/>
            </w:tcMar>
            <w:vAlign w:val="center"/>
          </w:tcPr>
          <w:p w14:paraId="07C52F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1.2881</w:t>
            </w:r>
          </w:p>
        </w:tc>
        <w:tc>
          <w:tcPr>
            <w:tcW w:w="1134" w:type="dxa"/>
            <w:tcBorders>
              <w:top w:val="nil"/>
              <w:left w:val="nil"/>
              <w:bottom w:val="nil"/>
              <w:right w:val="nil"/>
            </w:tcBorders>
            <w:shd w:val="clear" w:color="auto" w:fill="FFFFFF"/>
            <w:tcMar>
              <w:left w:w="67" w:type="dxa"/>
              <w:right w:w="67" w:type="dxa"/>
            </w:tcMar>
            <w:vAlign w:val="center"/>
          </w:tcPr>
          <w:p w14:paraId="32C286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0.8709</w:t>
            </w:r>
          </w:p>
        </w:tc>
        <w:tc>
          <w:tcPr>
            <w:tcW w:w="1134" w:type="dxa"/>
            <w:tcBorders>
              <w:top w:val="nil"/>
              <w:left w:val="nil"/>
              <w:bottom w:val="nil"/>
              <w:right w:val="nil"/>
            </w:tcBorders>
            <w:shd w:val="clear" w:color="auto" w:fill="FFFFFF"/>
            <w:tcMar>
              <w:left w:w="67" w:type="dxa"/>
              <w:right w:w="67" w:type="dxa"/>
            </w:tcMar>
            <w:vAlign w:val="center"/>
          </w:tcPr>
          <w:p w14:paraId="6BC095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1.9053</w:t>
            </w:r>
          </w:p>
        </w:tc>
        <w:tc>
          <w:tcPr>
            <w:tcW w:w="1134" w:type="dxa"/>
            <w:tcBorders>
              <w:top w:val="nil"/>
              <w:left w:val="nil"/>
              <w:bottom w:val="nil"/>
              <w:right w:val="nil"/>
            </w:tcBorders>
            <w:shd w:val="clear" w:color="auto" w:fill="FFFFFF"/>
            <w:tcMar>
              <w:left w:w="67" w:type="dxa"/>
              <w:right w:w="67" w:type="dxa"/>
            </w:tcMar>
            <w:vAlign w:val="center"/>
          </w:tcPr>
          <w:p w14:paraId="562FC0C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1031C4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F5FEFE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8440AED"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3F8FBB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DE01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CDB8B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-0.0349</w:t>
            </w:r>
          </w:p>
        </w:tc>
        <w:tc>
          <w:tcPr>
            <w:tcW w:w="1134" w:type="dxa"/>
            <w:tcBorders>
              <w:top w:val="nil"/>
              <w:left w:val="nil"/>
              <w:bottom w:val="nil"/>
              <w:right w:val="nil"/>
            </w:tcBorders>
            <w:shd w:val="clear" w:color="auto" w:fill="FFFFFF"/>
            <w:tcMar>
              <w:left w:w="67" w:type="dxa"/>
              <w:right w:w="67" w:type="dxa"/>
            </w:tcMar>
            <w:vAlign w:val="center"/>
          </w:tcPr>
          <w:p w14:paraId="4D7AA2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0.1523</w:t>
            </w:r>
          </w:p>
        </w:tc>
        <w:tc>
          <w:tcPr>
            <w:tcW w:w="1134" w:type="dxa"/>
            <w:tcBorders>
              <w:top w:val="nil"/>
              <w:left w:val="nil"/>
              <w:bottom w:val="nil"/>
              <w:right w:val="nil"/>
            </w:tcBorders>
            <w:shd w:val="clear" w:color="auto" w:fill="FFFFFF"/>
            <w:tcMar>
              <w:left w:w="67" w:type="dxa"/>
              <w:right w:w="67" w:type="dxa"/>
            </w:tcMar>
            <w:vAlign w:val="center"/>
          </w:tcPr>
          <w:p w14:paraId="74B2F7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0.9657</w:t>
            </w:r>
          </w:p>
        </w:tc>
        <w:tc>
          <w:tcPr>
            <w:tcW w:w="1134" w:type="dxa"/>
            <w:tcBorders>
              <w:top w:val="nil"/>
              <w:left w:val="nil"/>
              <w:bottom w:val="nil"/>
              <w:right w:val="nil"/>
            </w:tcBorders>
            <w:shd w:val="clear" w:color="auto" w:fill="FFFFFF"/>
            <w:tcMar>
              <w:left w:w="67" w:type="dxa"/>
              <w:right w:w="67" w:type="dxa"/>
            </w:tcMar>
            <w:vAlign w:val="center"/>
          </w:tcPr>
          <w:p w14:paraId="10C88C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0.6864</w:t>
            </w:r>
          </w:p>
        </w:tc>
        <w:tc>
          <w:tcPr>
            <w:tcW w:w="1134" w:type="dxa"/>
            <w:tcBorders>
              <w:top w:val="nil"/>
              <w:left w:val="nil"/>
              <w:bottom w:val="nil"/>
              <w:right w:val="nil"/>
            </w:tcBorders>
            <w:shd w:val="clear" w:color="auto" w:fill="FFFFFF"/>
            <w:tcMar>
              <w:left w:w="67" w:type="dxa"/>
              <w:right w:w="67" w:type="dxa"/>
            </w:tcMar>
            <w:vAlign w:val="center"/>
          </w:tcPr>
          <w:p w14:paraId="78B432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1.3585</w:t>
            </w:r>
          </w:p>
        </w:tc>
        <w:tc>
          <w:tcPr>
            <w:tcW w:w="1134" w:type="dxa"/>
            <w:tcBorders>
              <w:top w:val="nil"/>
              <w:left w:val="nil"/>
              <w:bottom w:val="nil"/>
              <w:right w:val="nil"/>
            </w:tcBorders>
            <w:shd w:val="clear" w:color="auto" w:fill="FFFFFF"/>
            <w:tcMar>
              <w:left w:w="67" w:type="dxa"/>
              <w:right w:w="67" w:type="dxa"/>
            </w:tcMar>
            <w:vAlign w:val="center"/>
          </w:tcPr>
          <w:p w14:paraId="34130B7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9AA910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7F8B262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31F9D2C"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563EEB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C9499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198D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0.1749</w:t>
            </w:r>
          </w:p>
        </w:tc>
        <w:tc>
          <w:tcPr>
            <w:tcW w:w="1134" w:type="dxa"/>
            <w:tcBorders>
              <w:top w:val="nil"/>
              <w:left w:val="nil"/>
              <w:bottom w:val="nil"/>
              <w:right w:val="nil"/>
            </w:tcBorders>
            <w:shd w:val="clear" w:color="auto" w:fill="FFFFFF"/>
            <w:tcMar>
              <w:left w:w="67" w:type="dxa"/>
              <w:right w:w="67" w:type="dxa"/>
            </w:tcMar>
            <w:vAlign w:val="center"/>
          </w:tcPr>
          <w:p w14:paraId="4D54AC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0.1464</w:t>
            </w:r>
          </w:p>
        </w:tc>
        <w:tc>
          <w:tcPr>
            <w:tcW w:w="1134" w:type="dxa"/>
            <w:tcBorders>
              <w:top w:val="nil"/>
              <w:left w:val="nil"/>
              <w:bottom w:val="nil"/>
              <w:right w:val="nil"/>
            </w:tcBorders>
            <w:shd w:val="clear" w:color="auto" w:fill="FFFFFF"/>
            <w:tcMar>
              <w:left w:w="67" w:type="dxa"/>
              <w:right w:w="67" w:type="dxa"/>
            </w:tcMar>
            <w:vAlign w:val="center"/>
          </w:tcPr>
          <w:p w14:paraId="447052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1.1911</w:t>
            </w:r>
          </w:p>
        </w:tc>
        <w:tc>
          <w:tcPr>
            <w:tcW w:w="1134" w:type="dxa"/>
            <w:tcBorders>
              <w:top w:val="nil"/>
              <w:left w:val="nil"/>
              <w:bottom w:val="nil"/>
              <w:right w:val="nil"/>
            </w:tcBorders>
            <w:shd w:val="clear" w:color="auto" w:fill="FFFFFF"/>
            <w:tcMar>
              <w:left w:w="67" w:type="dxa"/>
              <w:right w:w="67" w:type="dxa"/>
            </w:tcMar>
            <w:vAlign w:val="center"/>
          </w:tcPr>
          <w:p w14:paraId="2429C9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0.8579</w:t>
            </w:r>
          </w:p>
        </w:tc>
        <w:tc>
          <w:tcPr>
            <w:tcW w:w="1134" w:type="dxa"/>
            <w:tcBorders>
              <w:top w:val="nil"/>
              <w:left w:val="nil"/>
              <w:bottom w:val="nil"/>
              <w:right w:val="nil"/>
            </w:tcBorders>
            <w:shd w:val="clear" w:color="auto" w:fill="FFFFFF"/>
            <w:tcMar>
              <w:left w:w="67" w:type="dxa"/>
              <w:right w:w="67" w:type="dxa"/>
            </w:tcMar>
            <w:vAlign w:val="center"/>
          </w:tcPr>
          <w:p w14:paraId="722236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1.6538</w:t>
            </w:r>
          </w:p>
        </w:tc>
        <w:tc>
          <w:tcPr>
            <w:tcW w:w="1134" w:type="dxa"/>
            <w:tcBorders>
              <w:top w:val="nil"/>
              <w:left w:val="nil"/>
              <w:bottom w:val="nil"/>
              <w:right w:val="nil"/>
            </w:tcBorders>
            <w:shd w:val="clear" w:color="auto" w:fill="FFFFFF"/>
            <w:tcMar>
              <w:left w:w="67" w:type="dxa"/>
              <w:right w:w="67" w:type="dxa"/>
            </w:tcMar>
            <w:vAlign w:val="center"/>
          </w:tcPr>
          <w:p w14:paraId="25A2803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61C739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C8B9D5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352A175"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2EDD6BF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F849BE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D5EDD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0.1059</w:t>
            </w:r>
          </w:p>
        </w:tc>
        <w:tc>
          <w:tcPr>
            <w:tcW w:w="1134" w:type="dxa"/>
            <w:tcBorders>
              <w:top w:val="nil"/>
              <w:left w:val="nil"/>
              <w:bottom w:val="nil"/>
              <w:right w:val="nil"/>
            </w:tcBorders>
            <w:shd w:val="clear" w:color="auto" w:fill="FFFFFF"/>
            <w:tcMar>
              <w:left w:w="67" w:type="dxa"/>
              <w:right w:w="67" w:type="dxa"/>
            </w:tcMar>
            <w:vAlign w:val="center"/>
          </w:tcPr>
          <w:p w14:paraId="5B5871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0.1508</w:t>
            </w:r>
          </w:p>
        </w:tc>
        <w:tc>
          <w:tcPr>
            <w:tcW w:w="1134" w:type="dxa"/>
            <w:tcBorders>
              <w:top w:val="nil"/>
              <w:left w:val="nil"/>
              <w:bottom w:val="nil"/>
              <w:right w:val="nil"/>
            </w:tcBorders>
            <w:shd w:val="clear" w:color="auto" w:fill="FFFFFF"/>
            <w:tcMar>
              <w:left w:w="67" w:type="dxa"/>
              <w:right w:w="67" w:type="dxa"/>
            </w:tcMar>
            <w:vAlign w:val="center"/>
          </w:tcPr>
          <w:p w14:paraId="6B0CC6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1.1117</w:t>
            </w:r>
          </w:p>
        </w:tc>
        <w:tc>
          <w:tcPr>
            <w:tcW w:w="1134" w:type="dxa"/>
            <w:tcBorders>
              <w:top w:val="nil"/>
              <w:left w:val="nil"/>
              <w:bottom w:val="nil"/>
              <w:right w:val="nil"/>
            </w:tcBorders>
            <w:shd w:val="clear" w:color="auto" w:fill="FFFFFF"/>
            <w:tcMar>
              <w:left w:w="67" w:type="dxa"/>
              <w:right w:w="67" w:type="dxa"/>
            </w:tcMar>
            <w:vAlign w:val="center"/>
          </w:tcPr>
          <w:p w14:paraId="643248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0.7929</w:t>
            </w:r>
          </w:p>
        </w:tc>
        <w:tc>
          <w:tcPr>
            <w:tcW w:w="1134" w:type="dxa"/>
            <w:tcBorders>
              <w:top w:val="nil"/>
              <w:left w:val="nil"/>
              <w:bottom w:val="nil"/>
              <w:right w:val="nil"/>
            </w:tcBorders>
            <w:shd w:val="clear" w:color="auto" w:fill="FFFFFF"/>
            <w:tcMar>
              <w:left w:w="67" w:type="dxa"/>
              <w:right w:w="67" w:type="dxa"/>
            </w:tcMar>
            <w:vAlign w:val="center"/>
          </w:tcPr>
          <w:p w14:paraId="781E28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1.5588</w:t>
            </w:r>
          </w:p>
        </w:tc>
        <w:tc>
          <w:tcPr>
            <w:tcW w:w="1134" w:type="dxa"/>
            <w:tcBorders>
              <w:top w:val="nil"/>
              <w:left w:val="nil"/>
              <w:bottom w:val="nil"/>
              <w:right w:val="nil"/>
            </w:tcBorders>
            <w:shd w:val="clear" w:color="auto" w:fill="FFFFFF"/>
            <w:tcMar>
              <w:left w:w="67" w:type="dxa"/>
              <w:right w:w="67" w:type="dxa"/>
            </w:tcMar>
            <w:vAlign w:val="center"/>
          </w:tcPr>
          <w:p w14:paraId="3806562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624FBF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33E27FE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F034222"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6408D0BB"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413C7DD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8B538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0.0042</w:t>
            </w:r>
          </w:p>
        </w:tc>
        <w:tc>
          <w:tcPr>
            <w:tcW w:w="1134" w:type="dxa"/>
            <w:tcBorders>
              <w:top w:val="nil"/>
              <w:left w:val="nil"/>
              <w:bottom w:val="nil"/>
              <w:right w:val="nil"/>
            </w:tcBorders>
            <w:shd w:val="clear" w:color="auto" w:fill="FFFFFF"/>
            <w:tcMar>
              <w:left w:w="67" w:type="dxa"/>
              <w:right w:w="67" w:type="dxa"/>
            </w:tcMar>
            <w:vAlign w:val="center"/>
          </w:tcPr>
          <w:p w14:paraId="6B3D40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27EB00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1.0042</w:t>
            </w:r>
          </w:p>
        </w:tc>
        <w:tc>
          <w:tcPr>
            <w:tcW w:w="1134" w:type="dxa"/>
            <w:tcBorders>
              <w:top w:val="nil"/>
              <w:left w:val="nil"/>
              <w:bottom w:val="nil"/>
              <w:right w:val="nil"/>
            </w:tcBorders>
            <w:shd w:val="clear" w:color="auto" w:fill="FFFFFF"/>
            <w:tcMar>
              <w:left w:w="67" w:type="dxa"/>
              <w:right w:w="67" w:type="dxa"/>
            </w:tcMar>
            <w:vAlign w:val="center"/>
          </w:tcPr>
          <w:p w14:paraId="7D8262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0.9927</w:t>
            </w:r>
          </w:p>
        </w:tc>
        <w:tc>
          <w:tcPr>
            <w:tcW w:w="1134" w:type="dxa"/>
            <w:tcBorders>
              <w:top w:val="nil"/>
              <w:left w:val="nil"/>
              <w:bottom w:val="nil"/>
              <w:right w:val="nil"/>
            </w:tcBorders>
            <w:shd w:val="clear" w:color="auto" w:fill="FFFFFF"/>
            <w:tcMar>
              <w:left w:w="67" w:type="dxa"/>
              <w:right w:w="67" w:type="dxa"/>
            </w:tcMar>
            <w:vAlign w:val="center"/>
          </w:tcPr>
          <w:p w14:paraId="0E11F9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1.0158</w:t>
            </w:r>
          </w:p>
        </w:tc>
        <w:tc>
          <w:tcPr>
            <w:tcW w:w="1134" w:type="dxa"/>
            <w:tcBorders>
              <w:top w:val="nil"/>
              <w:left w:val="nil"/>
              <w:bottom w:val="nil"/>
              <w:right w:val="nil"/>
            </w:tcBorders>
            <w:shd w:val="clear" w:color="auto" w:fill="FFFFFF"/>
            <w:tcMar>
              <w:left w:w="67" w:type="dxa"/>
              <w:right w:w="67" w:type="dxa"/>
            </w:tcMar>
            <w:vAlign w:val="center"/>
          </w:tcPr>
          <w:p w14:paraId="62A5EF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w:t>
            </w:r>
          </w:p>
        </w:tc>
        <w:tc>
          <w:tcPr>
            <w:tcW w:w="567" w:type="dxa"/>
            <w:tcBorders>
              <w:top w:val="nil"/>
              <w:left w:val="nil"/>
              <w:bottom w:val="nil"/>
              <w:right w:val="nil"/>
            </w:tcBorders>
            <w:shd w:val="clear" w:color="auto" w:fill="FFFFFF"/>
            <w:tcMar>
              <w:left w:w="67" w:type="dxa"/>
              <w:right w:w="67" w:type="dxa"/>
            </w:tcMar>
            <w:vAlign w:val="center"/>
          </w:tcPr>
          <w:p w14:paraId="12EC2F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9F7B5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0.4167</w:t>
            </w:r>
          </w:p>
        </w:tc>
      </w:tr>
      <w:tr w:rsidR="00B77EA3" w:rsidRPr="0082484A" w14:paraId="35723CC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3B0D20F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01B58A8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C8F3F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0.0301</w:t>
            </w:r>
          </w:p>
        </w:tc>
        <w:tc>
          <w:tcPr>
            <w:tcW w:w="1134" w:type="dxa"/>
            <w:tcBorders>
              <w:top w:val="nil"/>
              <w:left w:val="nil"/>
              <w:bottom w:val="nil"/>
              <w:right w:val="nil"/>
            </w:tcBorders>
            <w:shd w:val="clear" w:color="auto" w:fill="FFFFFF"/>
            <w:tcMar>
              <w:left w:w="67" w:type="dxa"/>
              <w:right w:w="67" w:type="dxa"/>
            </w:tcMar>
            <w:vAlign w:val="center"/>
          </w:tcPr>
          <w:p w14:paraId="0E7A19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0.0065</w:t>
            </w:r>
          </w:p>
        </w:tc>
        <w:tc>
          <w:tcPr>
            <w:tcW w:w="1134" w:type="dxa"/>
            <w:tcBorders>
              <w:top w:val="nil"/>
              <w:left w:val="nil"/>
              <w:bottom w:val="nil"/>
              <w:right w:val="nil"/>
            </w:tcBorders>
            <w:shd w:val="clear" w:color="auto" w:fill="FFFFFF"/>
            <w:tcMar>
              <w:left w:w="67" w:type="dxa"/>
              <w:right w:w="67" w:type="dxa"/>
            </w:tcMar>
            <w:vAlign w:val="center"/>
          </w:tcPr>
          <w:p w14:paraId="7D2584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1.0306</w:t>
            </w:r>
          </w:p>
        </w:tc>
        <w:tc>
          <w:tcPr>
            <w:tcW w:w="1134" w:type="dxa"/>
            <w:tcBorders>
              <w:top w:val="nil"/>
              <w:left w:val="nil"/>
              <w:bottom w:val="nil"/>
              <w:right w:val="nil"/>
            </w:tcBorders>
            <w:shd w:val="clear" w:color="auto" w:fill="FFFFFF"/>
            <w:tcMar>
              <w:left w:w="67" w:type="dxa"/>
              <w:right w:w="67" w:type="dxa"/>
            </w:tcMar>
            <w:vAlign w:val="center"/>
          </w:tcPr>
          <w:p w14:paraId="235FE8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1.0156</w:t>
            </w:r>
          </w:p>
        </w:tc>
        <w:tc>
          <w:tcPr>
            <w:tcW w:w="1134" w:type="dxa"/>
            <w:tcBorders>
              <w:top w:val="nil"/>
              <w:left w:val="nil"/>
              <w:bottom w:val="nil"/>
              <w:right w:val="nil"/>
            </w:tcBorders>
            <w:shd w:val="clear" w:color="auto" w:fill="FFFFFF"/>
            <w:tcMar>
              <w:left w:w="67" w:type="dxa"/>
              <w:right w:w="67" w:type="dxa"/>
            </w:tcMar>
            <w:vAlign w:val="center"/>
          </w:tcPr>
          <w:p w14:paraId="315A95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1.0458</w:t>
            </w:r>
          </w:p>
        </w:tc>
        <w:tc>
          <w:tcPr>
            <w:tcW w:w="1134" w:type="dxa"/>
            <w:tcBorders>
              <w:top w:val="nil"/>
              <w:left w:val="nil"/>
              <w:bottom w:val="nil"/>
              <w:right w:val="nil"/>
            </w:tcBorders>
            <w:shd w:val="clear" w:color="auto" w:fill="FFFFFF"/>
            <w:tcMar>
              <w:left w:w="67" w:type="dxa"/>
              <w:right w:w="67" w:type="dxa"/>
            </w:tcMar>
            <w:vAlign w:val="center"/>
          </w:tcPr>
          <w:p w14:paraId="7B1CE4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21.26</w:t>
            </w:r>
          </w:p>
        </w:tc>
        <w:tc>
          <w:tcPr>
            <w:tcW w:w="567" w:type="dxa"/>
            <w:tcBorders>
              <w:top w:val="nil"/>
              <w:left w:val="nil"/>
              <w:bottom w:val="nil"/>
              <w:right w:val="nil"/>
            </w:tcBorders>
            <w:shd w:val="clear" w:color="auto" w:fill="FFFFFF"/>
            <w:tcMar>
              <w:left w:w="67" w:type="dxa"/>
              <w:right w:w="67" w:type="dxa"/>
            </w:tcMar>
            <w:vAlign w:val="center"/>
          </w:tcPr>
          <w:p w14:paraId="1E745F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718FD1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3944ECDF"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A91D0E4"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Overall QOF score</w:t>
            </w:r>
          </w:p>
        </w:tc>
        <w:tc>
          <w:tcPr>
            <w:tcW w:w="3969" w:type="dxa"/>
            <w:tcBorders>
              <w:top w:val="nil"/>
              <w:left w:val="nil"/>
              <w:bottom w:val="nil"/>
              <w:right w:val="nil"/>
            </w:tcBorders>
            <w:shd w:val="clear" w:color="auto" w:fill="FFFFFF"/>
            <w:tcMar>
              <w:left w:w="67" w:type="dxa"/>
              <w:right w:w="67" w:type="dxa"/>
            </w:tcMar>
            <w:vAlign w:val="center"/>
          </w:tcPr>
          <w:p w14:paraId="4707A2A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AF8BD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03949F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77B524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1.0027</w:t>
            </w:r>
          </w:p>
        </w:tc>
        <w:tc>
          <w:tcPr>
            <w:tcW w:w="1134" w:type="dxa"/>
            <w:tcBorders>
              <w:top w:val="nil"/>
              <w:left w:val="nil"/>
              <w:bottom w:val="nil"/>
              <w:right w:val="nil"/>
            </w:tcBorders>
            <w:shd w:val="clear" w:color="auto" w:fill="FFFFFF"/>
            <w:tcMar>
              <w:left w:w="67" w:type="dxa"/>
              <w:right w:w="67" w:type="dxa"/>
            </w:tcMar>
            <w:vAlign w:val="center"/>
          </w:tcPr>
          <w:p w14:paraId="7B4B6D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0.9984</w:t>
            </w:r>
          </w:p>
        </w:tc>
        <w:tc>
          <w:tcPr>
            <w:tcW w:w="1134" w:type="dxa"/>
            <w:tcBorders>
              <w:top w:val="nil"/>
              <w:left w:val="nil"/>
              <w:bottom w:val="nil"/>
              <w:right w:val="nil"/>
            </w:tcBorders>
            <w:shd w:val="clear" w:color="auto" w:fill="FFFFFF"/>
            <w:tcMar>
              <w:left w:w="67" w:type="dxa"/>
              <w:right w:w="67" w:type="dxa"/>
            </w:tcMar>
            <w:vAlign w:val="center"/>
          </w:tcPr>
          <w:p w14:paraId="17BCB9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1.0071</w:t>
            </w:r>
          </w:p>
        </w:tc>
        <w:tc>
          <w:tcPr>
            <w:tcW w:w="1134" w:type="dxa"/>
            <w:tcBorders>
              <w:top w:val="nil"/>
              <w:left w:val="nil"/>
              <w:bottom w:val="nil"/>
              <w:right w:val="nil"/>
            </w:tcBorders>
            <w:shd w:val="clear" w:color="auto" w:fill="FFFFFF"/>
            <w:tcMar>
              <w:left w:w="67" w:type="dxa"/>
              <w:right w:w="67" w:type="dxa"/>
            </w:tcMar>
            <w:vAlign w:val="center"/>
          </w:tcPr>
          <w:p w14:paraId="3E275F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1.96</w:t>
            </w:r>
          </w:p>
        </w:tc>
        <w:tc>
          <w:tcPr>
            <w:tcW w:w="567" w:type="dxa"/>
            <w:tcBorders>
              <w:top w:val="nil"/>
              <w:left w:val="nil"/>
              <w:bottom w:val="nil"/>
              <w:right w:val="nil"/>
            </w:tcBorders>
            <w:shd w:val="clear" w:color="auto" w:fill="FFFFFF"/>
            <w:tcMar>
              <w:left w:w="67" w:type="dxa"/>
              <w:right w:w="67" w:type="dxa"/>
            </w:tcMar>
            <w:vAlign w:val="center"/>
          </w:tcPr>
          <w:p w14:paraId="078FD5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33F42B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0.1615</w:t>
            </w:r>
          </w:p>
        </w:tc>
      </w:tr>
      <w:tr w:rsidR="00B77EA3" w:rsidRPr="0082484A" w14:paraId="6CD1F2E8" w14:textId="77777777" w:rsidTr="00B77EA3">
        <w:trPr>
          <w:cantSplit/>
          <w:jc w:val="center"/>
        </w:trPr>
        <w:tc>
          <w:tcPr>
            <w:tcW w:w="3118" w:type="dxa"/>
            <w:tcBorders>
              <w:top w:val="nil"/>
              <w:left w:val="single" w:sz="4" w:space="0" w:color="auto"/>
              <w:bottom w:val="single" w:sz="4" w:space="0" w:color="auto"/>
              <w:right w:val="nil"/>
            </w:tcBorders>
            <w:shd w:val="clear" w:color="auto" w:fill="FFFFFF"/>
            <w:tcMar>
              <w:left w:w="67" w:type="dxa"/>
              <w:right w:w="67" w:type="dxa"/>
            </w:tcMar>
            <w:vAlign w:val="center"/>
          </w:tcPr>
          <w:p w14:paraId="24400A72"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left w:w="67" w:type="dxa"/>
              <w:right w:w="67" w:type="dxa"/>
            </w:tcMar>
            <w:vAlign w:val="center"/>
          </w:tcPr>
          <w:p w14:paraId="47DD6C5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4" w:space="0" w:color="auto"/>
              <w:right w:val="nil"/>
            </w:tcBorders>
            <w:shd w:val="clear" w:color="auto" w:fill="FFFFFF"/>
            <w:tcMar>
              <w:left w:w="67" w:type="dxa"/>
              <w:right w:w="67" w:type="dxa"/>
            </w:tcMar>
            <w:vAlign w:val="center"/>
          </w:tcPr>
          <w:p w14:paraId="14911C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-0.0506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1DEDA9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0.0518</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419865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0.9507</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0E8A4A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0.8465</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6A6651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1.0676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7249FB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w:t>
            </w:r>
          </w:p>
        </w:tc>
        <w:tc>
          <w:tcPr>
            <w:tcW w:w="567" w:type="dxa"/>
            <w:tcBorders>
              <w:top w:val="nil"/>
              <w:left w:val="nil"/>
              <w:bottom w:val="single" w:sz="4" w:space="0" w:color="auto"/>
              <w:right w:val="nil"/>
            </w:tcBorders>
            <w:shd w:val="clear" w:color="auto" w:fill="FFFFFF"/>
            <w:tcMar>
              <w:left w:w="67" w:type="dxa"/>
              <w:right w:w="67" w:type="dxa"/>
            </w:tcMar>
            <w:vAlign w:val="center"/>
          </w:tcPr>
          <w:p w14:paraId="1B4023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left w:w="67" w:type="dxa"/>
              <w:right w:w="67" w:type="dxa"/>
            </w:tcMar>
            <w:vAlign w:val="center"/>
          </w:tcPr>
          <w:p w14:paraId="06A46C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0.3283</w:t>
            </w:r>
          </w:p>
        </w:tc>
      </w:tr>
    </w:tbl>
    <w:p w14:paraId="4D60935C" w14:textId="77777777" w:rsidR="00B77EA3" w:rsidRPr="0082484A" w:rsidRDefault="00B77EA3" w:rsidP="00B77EA3">
      <w:pPr>
        <w:spacing w:before="0" w:after="160" w:line="259" w:lineRule="auto"/>
        <w:rPr>
          <w:sz w:val="22"/>
          <w:szCs w:val="22"/>
        </w:rPr>
      </w:pPr>
      <w:r w:rsidRPr="0082484A">
        <w:rPr>
          <w:sz w:val="22"/>
          <w:szCs w:val="22"/>
        </w:rPr>
        <w:t>The estimated number needed to treat for one patient aged 80 years or over with hypertension to achieve blood pressure below 150/90 mmHg is 95</w:t>
      </w:r>
    </w:p>
    <w:p w14:paraId="0D020B9D" w14:textId="77777777" w:rsidR="00B77EA3" w:rsidRPr="0082484A" w:rsidRDefault="00B77EA3" w:rsidP="00B77EA3">
      <w:pPr>
        <w:adjustRightInd w:val="0"/>
        <w:spacing w:before="0" w:line="240" w:lineRule="auto"/>
        <w:contextualSpacing/>
        <w:rPr>
          <w:sz w:val="22"/>
          <w:szCs w:val="22"/>
        </w:rPr>
      </w:pPr>
    </w:p>
    <w:p w14:paraId="22843BB0" w14:textId="77777777" w:rsidR="00B77EA3" w:rsidRPr="0082484A" w:rsidRDefault="00B77EA3" w:rsidP="00B77EA3">
      <w:pPr>
        <w:spacing w:before="0" w:after="160" w:line="259" w:lineRule="auto"/>
        <w:rPr>
          <w:sz w:val="22"/>
          <w:szCs w:val="22"/>
        </w:rPr>
      </w:pPr>
      <w:r w:rsidRPr="0082484A">
        <w:rPr>
          <w:sz w:val="22"/>
          <w:szCs w:val="22"/>
        </w:rPr>
        <w:br w:type="page"/>
      </w:r>
    </w:p>
    <w:p w14:paraId="45F28483" w14:textId="160182E8" w:rsidR="00B77EA3" w:rsidRPr="0082484A" w:rsidRDefault="00B77EA3" w:rsidP="00B77EA3">
      <w:pPr>
        <w:spacing w:before="0" w:line="240" w:lineRule="auto"/>
        <w:rPr>
          <w:bCs/>
          <w:sz w:val="22"/>
          <w:szCs w:val="22"/>
        </w:rPr>
      </w:pPr>
      <w:bookmarkStart w:id="151" w:name="_Ref502917869"/>
      <w:bookmarkStart w:id="152" w:name="_Toc8728114"/>
      <w:bookmarkStart w:id="153" w:name="_Toc19526769"/>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40</w:t>
      </w:r>
      <w:r w:rsidRPr="0082484A">
        <w:rPr>
          <w:bCs/>
          <w:noProof/>
          <w:sz w:val="22"/>
          <w:szCs w:val="22"/>
        </w:rPr>
        <w:fldChar w:fldCharType="end"/>
      </w:r>
      <w:bookmarkEnd w:id="151"/>
      <w:r w:rsidRPr="0082484A">
        <w:rPr>
          <w:bCs/>
          <w:sz w:val="22"/>
          <w:szCs w:val="22"/>
        </w:rPr>
        <w:t>: Secondary outcome for Trial 2: Blood pressure below 140/80 mmHg in patients aged under 80 years with diabetes, and below 130/80 mmHg if there are complications of diabetes (WP4A)</w:t>
      </w:r>
      <w:bookmarkEnd w:id="152"/>
      <w:bookmarkEnd w:id="153"/>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4879D29D"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3D26A90"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A4EC90A"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B835D5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A0FB9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DFDA9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D1C8D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13C9B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2E158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CFC775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C7A3CC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857B3E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491BFB5"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674411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14F214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-0.0185</w:t>
            </w:r>
          </w:p>
        </w:tc>
        <w:tc>
          <w:tcPr>
            <w:tcW w:w="1134" w:type="dxa"/>
            <w:tcBorders>
              <w:top w:val="nil"/>
              <w:left w:val="nil"/>
              <w:bottom w:val="nil"/>
              <w:right w:val="nil"/>
            </w:tcBorders>
            <w:shd w:val="clear" w:color="auto" w:fill="FFFFFF"/>
            <w:tcMar>
              <w:left w:w="67" w:type="dxa"/>
              <w:right w:w="67" w:type="dxa"/>
            </w:tcMar>
            <w:vAlign w:val="center"/>
          </w:tcPr>
          <w:p w14:paraId="2603AA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0.0862</w:t>
            </w:r>
          </w:p>
        </w:tc>
        <w:tc>
          <w:tcPr>
            <w:tcW w:w="1134" w:type="dxa"/>
            <w:tcBorders>
              <w:top w:val="nil"/>
              <w:left w:val="nil"/>
              <w:bottom w:val="nil"/>
              <w:right w:val="nil"/>
            </w:tcBorders>
            <w:shd w:val="clear" w:color="auto" w:fill="FFFFFF"/>
            <w:tcMar>
              <w:left w:w="67" w:type="dxa"/>
              <w:right w:w="67" w:type="dxa"/>
            </w:tcMar>
            <w:vAlign w:val="center"/>
          </w:tcPr>
          <w:p w14:paraId="75AAD0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0.9817</w:t>
            </w:r>
          </w:p>
        </w:tc>
        <w:tc>
          <w:tcPr>
            <w:tcW w:w="1134" w:type="dxa"/>
            <w:tcBorders>
              <w:top w:val="nil"/>
              <w:left w:val="nil"/>
              <w:bottom w:val="nil"/>
              <w:right w:val="nil"/>
            </w:tcBorders>
            <w:shd w:val="clear" w:color="auto" w:fill="FFFFFF"/>
            <w:tcMar>
              <w:left w:w="67" w:type="dxa"/>
              <w:right w:w="67" w:type="dxa"/>
            </w:tcMar>
            <w:vAlign w:val="center"/>
          </w:tcPr>
          <w:p w14:paraId="35004E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0.8092</w:t>
            </w:r>
          </w:p>
        </w:tc>
        <w:tc>
          <w:tcPr>
            <w:tcW w:w="1134" w:type="dxa"/>
            <w:tcBorders>
              <w:top w:val="nil"/>
              <w:left w:val="nil"/>
              <w:bottom w:val="nil"/>
              <w:right w:val="nil"/>
            </w:tcBorders>
            <w:shd w:val="clear" w:color="auto" w:fill="FFFFFF"/>
            <w:tcMar>
              <w:left w:w="67" w:type="dxa"/>
              <w:right w:w="67" w:type="dxa"/>
            </w:tcMar>
            <w:vAlign w:val="center"/>
          </w:tcPr>
          <w:p w14:paraId="67CB63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1.1909</w:t>
            </w:r>
          </w:p>
        </w:tc>
        <w:tc>
          <w:tcPr>
            <w:tcW w:w="1134" w:type="dxa"/>
            <w:tcBorders>
              <w:top w:val="nil"/>
              <w:left w:val="nil"/>
              <w:bottom w:val="nil"/>
              <w:right w:val="nil"/>
            </w:tcBorders>
            <w:shd w:val="clear" w:color="auto" w:fill="FFFFFF"/>
            <w:tcMar>
              <w:left w:w="67" w:type="dxa"/>
              <w:right w:w="67" w:type="dxa"/>
            </w:tcMar>
            <w:vAlign w:val="center"/>
          </w:tcPr>
          <w:p w14:paraId="00A41A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w:t>
            </w:r>
          </w:p>
        </w:tc>
        <w:tc>
          <w:tcPr>
            <w:tcW w:w="567" w:type="dxa"/>
            <w:tcBorders>
              <w:top w:val="nil"/>
              <w:left w:val="nil"/>
              <w:bottom w:val="nil"/>
              <w:right w:val="nil"/>
            </w:tcBorders>
            <w:shd w:val="clear" w:color="auto" w:fill="FFFFFF"/>
            <w:tcMar>
              <w:left w:w="67" w:type="dxa"/>
              <w:right w:w="67" w:type="dxa"/>
            </w:tcMar>
            <w:vAlign w:val="center"/>
          </w:tcPr>
          <w:p w14:paraId="3295C7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03D0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0.8300</w:t>
            </w:r>
          </w:p>
        </w:tc>
      </w:tr>
      <w:tr w:rsidR="00B77EA3" w:rsidRPr="0082484A" w14:paraId="208263F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79E301D"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AA8980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0DD60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0.1313</w:t>
            </w:r>
          </w:p>
        </w:tc>
        <w:tc>
          <w:tcPr>
            <w:tcW w:w="1134" w:type="dxa"/>
            <w:tcBorders>
              <w:top w:val="nil"/>
              <w:left w:val="nil"/>
              <w:bottom w:val="nil"/>
              <w:right w:val="nil"/>
            </w:tcBorders>
            <w:shd w:val="clear" w:color="auto" w:fill="FFFFFF"/>
            <w:tcMar>
              <w:left w:w="67" w:type="dxa"/>
              <w:right w:w="67" w:type="dxa"/>
            </w:tcMar>
            <w:vAlign w:val="center"/>
          </w:tcPr>
          <w:p w14:paraId="57C7D5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0.0287</w:t>
            </w:r>
          </w:p>
        </w:tc>
        <w:tc>
          <w:tcPr>
            <w:tcW w:w="1134" w:type="dxa"/>
            <w:tcBorders>
              <w:top w:val="nil"/>
              <w:left w:val="nil"/>
              <w:bottom w:val="nil"/>
              <w:right w:val="nil"/>
            </w:tcBorders>
            <w:shd w:val="clear" w:color="auto" w:fill="FFFFFF"/>
            <w:tcMar>
              <w:left w:w="67" w:type="dxa"/>
              <w:right w:w="67" w:type="dxa"/>
            </w:tcMar>
            <w:vAlign w:val="center"/>
          </w:tcPr>
          <w:p w14:paraId="28502B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1.1403</w:t>
            </w:r>
          </w:p>
        </w:tc>
        <w:tc>
          <w:tcPr>
            <w:tcW w:w="1134" w:type="dxa"/>
            <w:tcBorders>
              <w:top w:val="nil"/>
              <w:left w:val="nil"/>
              <w:bottom w:val="nil"/>
              <w:right w:val="nil"/>
            </w:tcBorders>
            <w:shd w:val="clear" w:color="auto" w:fill="FFFFFF"/>
            <w:tcMar>
              <w:left w:w="67" w:type="dxa"/>
              <w:right w:w="67" w:type="dxa"/>
            </w:tcMar>
            <w:vAlign w:val="center"/>
          </w:tcPr>
          <w:p w14:paraId="26A166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1.0691</w:t>
            </w:r>
          </w:p>
        </w:tc>
        <w:tc>
          <w:tcPr>
            <w:tcW w:w="1134" w:type="dxa"/>
            <w:tcBorders>
              <w:top w:val="nil"/>
              <w:left w:val="nil"/>
              <w:bottom w:val="nil"/>
              <w:right w:val="nil"/>
            </w:tcBorders>
            <w:shd w:val="clear" w:color="auto" w:fill="FFFFFF"/>
            <w:tcMar>
              <w:left w:w="67" w:type="dxa"/>
              <w:right w:w="67" w:type="dxa"/>
            </w:tcMar>
            <w:vAlign w:val="center"/>
          </w:tcPr>
          <w:p w14:paraId="18D8B6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1.2161</w:t>
            </w:r>
          </w:p>
        </w:tc>
        <w:tc>
          <w:tcPr>
            <w:tcW w:w="1134" w:type="dxa"/>
            <w:tcBorders>
              <w:top w:val="nil"/>
              <w:left w:val="nil"/>
              <w:bottom w:val="nil"/>
              <w:right w:val="nil"/>
            </w:tcBorders>
            <w:shd w:val="clear" w:color="auto" w:fill="FFFFFF"/>
            <w:tcMar>
              <w:left w:w="67" w:type="dxa"/>
              <w:right w:w="67" w:type="dxa"/>
            </w:tcMar>
            <w:vAlign w:val="center"/>
          </w:tcPr>
          <w:p w14:paraId="4CE94E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20.86</w:t>
            </w:r>
          </w:p>
        </w:tc>
        <w:tc>
          <w:tcPr>
            <w:tcW w:w="567" w:type="dxa"/>
            <w:tcBorders>
              <w:top w:val="nil"/>
              <w:left w:val="nil"/>
              <w:bottom w:val="nil"/>
              <w:right w:val="nil"/>
            </w:tcBorders>
            <w:shd w:val="clear" w:color="auto" w:fill="FFFFFF"/>
            <w:tcMar>
              <w:left w:w="67" w:type="dxa"/>
              <w:right w:w="67" w:type="dxa"/>
            </w:tcMar>
            <w:vAlign w:val="center"/>
          </w:tcPr>
          <w:p w14:paraId="2D6DE7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C6602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FD3AC5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541095D"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6B11157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97076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0.0144</w:t>
            </w:r>
          </w:p>
        </w:tc>
        <w:tc>
          <w:tcPr>
            <w:tcW w:w="1134" w:type="dxa"/>
            <w:tcBorders>
              <w:top w:val="nil"/>
              <w:left w:val="nil"/>
              <w:bottom w:val="nil"/>
              <w:right w:val="nil"/>
            </w:tcBorders>
            <w:shd w:val="clear" w:color="auto" w:fill="FFFFFF"/>
            <w:tcMar>
              <w:left w:w="67" w:type="dxa"/>
              <w:right w:w="67" w:type="dxa"/>
            </w:tcMar>
            <w:vAlign w:val="center"/>
          </w:tcPr>
          <w:p w14:paraId="3A6CCC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7AF2E7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1.0145</w:t>
            </w:r>
          </w:p>
        </w:tc>
        <w:tc>
          <w:tcPr>
            <w:tcW w:w="1134" w:type="dxa"/>
            <w:tcBorders>
              <w:top w:val="nil"/>
              <w:left w:val="nil"/>
              <w:bottom w:val="nil"/>
              <w:right w:val="nil"/>
            </w:tcBorders>
            <w:shd w:val="clear" w:color="auto" w:fill="FFFFFF"/>
            <w:tcMar>
              <w:left w:w="67" w:type="dxa"/>
              <w:right w:w="67" w:type="dxa"/>
            </w:tcMar>
            <w:vAlign w:val="center"/>
          </w:tcPr>
          <w:p w14:paraId="539697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1.0116</w:t>
            </w:r>
          </w:p>
        </w:tc>
        <w:tc>
          <w:tcPr>
            <w:tcW w:w="1134" w:type="dxa"/>
            <w:tcBorders>
              <w:top w:val="nil"/>
              <w:left w:val="nil"/>
              <w:bottom w:val="nil"/>
              <w:right w:val="nil"/>
            </w:tcBorders>
            <w:shd w:val="clear" w:color="auto" w:fill="FFFFFF"/>
            <w:tcMar>
              <w:left w:w="67" w:type="dxa"/>
              <w:right w:w="67" w:type="dxa"/>
            </w:tcMar>
            <w:vAlign w:val="center"/>
          </w:tcPr>
          <w:p w14:paraId="534A17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1.0174</w:t>
            </w:r>
          </w:p>
        </w:tc>
        <w:tc>
          <w:tcPr>
            <w:tcW w:w="1134" w:type="dxa"/>
            <w:tcBorders>
              <w:top w:val="nil"/>
              <w:left w:val="nil"/>
              <w:bottom w:val="nil"/>
              <w:right w:val="nil"/>
            </w:tcBorders>
            <w:shd w:val="clear" w:color="auto" w:fill="FFFFFF"/>
            <w:tcMar>
              <w:left w:w="67" w:type="dxa"/>
              <w:right w:w="67" w:type="dxa"/>
            </w:tcMar>
            <w:vAlign w:val="center"/>
          </w:tcPr>
          <w:p w14:paraId="5C837B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125.41</w:t>
            </w:r>
          </w:p>
        </w:tc>
        <w:tc>
          <w:tcPr>
            <w:tcW w:w="567" w:type="dxa"/>
            <w:tcBorders>
              <w:top w:val="nil"/>
              <w:left w:val="nil"/>
              <w:bottom w:val="nil"/>
              <w:right w:val="nil"/>
            </w:tcBorders>
            <w:shd w:val="clear" w:color="auto" w:fill="FFFFFF"/>
            <w:tcMar>
              <w:left w:w="67" w:type="dxa"/>
              <w:right w:w="67" w:type="dxa"/>
            </w:tcMar>
            <w:vAlign w:val="center"/>
          </w:tcPr>
          <w:p w14:paraId="3B18E5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22B7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D699DF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687F6B9"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91104FA"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CF8C8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4F35B2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5A02A6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0.9986</w:t>
            </w:r>
          </w:p>
        </w:tc>
        <w:tc>
          <w:tcPr>
            <w:tcW w:w="1134" w:type="dxa"/>
            <w:tcBorders>
              <w:top w:val="nil"/>
              <w:left w:val="nil"/>
              <w:bottom w:val="nil"/>
              <w:right w:val="nil"/>
            </w:tcBorders>
            <w:shd w:val="clear" w:color="auto" w:fill="FFFFFF"/>
            <w:tcMar>
              <w:left w:w="67" w:type="dxa"/>
              <w:right w:w="67" w:type="dxa"/>
            </w:tcMar>
            <w:vAlign w:val="center"/>
          </w:tcPr>
          <w:p w14:paraId="32C4B5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0.9960</w:t>
            </w:r>
          </w:p>
        </w:tc>
        <w:tc>
          <w:tcPr>
            <w:tcW w:w="1134" w:type="dxa"/>
            <w:tcBorders>
              <w:top w:val="nil"/>
              <w:left w:val="nil"/>
              <w:bottom w:val="nil"/>
              <w:right w:val="nil"/>
            </w:tcBorders>
            <w:shd w:val="clear" w:color="auto" w:fill="FFFFFF"/>
            <w:tcMar>
              <w:left w:w="67" w:type="dxa"/>
              <w:right w:w="67" w:type="dxa"/>
            </w:tcMar>
            <w:vAlign w:val="center"/>
          </w:tcPr>
          <w:p w14:paraId="3F7972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1.0011</w:t>
            </w:r>
          </w:p>
        </w:tc>
        <w:tc>
          <w:tcPr>
            <w:tcW w:w="1134" w:type="dxa"/>
            <w:tcBorders>
              <w:top w:val="nil"/>
              <w:left w:val="nil"/>
              <w:bottom w:val="nil"/>
              <w:right w:val="nil"/>
            </w:tcBorders>
            <w:shd w:val="clear" w:color="auto" w:fill="FFFFFF"/>
            <w:tcMar>
              <w:left w:w="67" w:type="dxa"/>
              <w:right w:w="67" w:type="dxa"/>
            </w:tcMar>
            <w:vAlign w:val="center"/>
          </w:tcPr>
          <w:p w14:paraId="311FFB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1.57</w:t>
            </w:r>
          </w:p>
        </w:tc>
        <w:tc>
          <w:tcPr>
            <w:tcW w:w="567" w:type="dxa"/>
            <w:tcBorders>
              <w:top w:val="nil"/>
              <w:left w:val="nil"/>
              <w:bottom w:val="nil"/>
              <w:right w:val="nil"/>
            </w:tcBorders>
            <w:shd w:val="clear" w:color="auto" w:fill="FFFFFF"/>
            <w:tcMar>
              <w:left w:w="67" w:type="dxa"/>
              <w:right w:w="67" w:type="dxa"/>
            </w:tcMar>
            <w:vAlign w:val="center"/>
          </w:tcPr>
          <w:p w14:paraId="330054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EC743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0.2102</w:t>
            </w:r>
          </w:p>
        </w:tc>
      </w:tr>
      <w:tr w:rsidR="00B77EA3" w:rsidRPr="0082484A" w14:paraId="0908467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7DF086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51CC7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71E50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-0.2477</w:t>
            </w:r>
          </w:p>
        </w:tc>
        <w:tc>
          <w:tcPr>
            <w:tcW w:w="1134" w:type="dxa"/>
            <w:tcBorders>
              <w:top w:val="nil"/>
              <w:left w:val="nil"/>
              <w:bottom w:val="nil"/>
              <w:right w:val="nil"/>
            </w:tcBorders>
            <w:shd w:val="clear" w:color="auto" w:fill="FFFFFF"/>
            <w:tcMar>
              <w:left w:w="67" w:type="dxa"/>
              <w:right w:w="67" w:type="dxa"/>
            </w:tcMar>
            <w:vAlign w:val="center"/>
          </w:tcPr>
          <w:p w14:paraId="51069C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0.2013</w:t>
            </w:r>
          </w:p>
        </w:tc>
        <w:tc>
          <w:tcPr>
            <w:tcW w:w="1134" w:type="dxa"/>
            <w:tcBorders>
              <w:top w:val="nil"/>
              <w:left w:val="nil"/>
              <w:bottom w:val="nil"/>
              <w:right w:val="nil"/>
            </w:tcBorders>
            <w:shd w:val="clear" w:color="auto" w:fill="FFFFFF"/>
            <w:tcMar>
              <w:left w:w="67" w:type="dxa"/>
              <w:right w:w="67" w:type="dxa"/>
            </w:tcMar>
            <w:vAlign w:val="center"/>
          </w:tcPr>
          <w:p w14:paraId="05B861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0.7806</w:t>
            </w:r>
          </w:p>
        </w:tc>
        <w:tc>
          <w:tcPr>
            <w:tcW w:w="1134" w:type="dxa"/>
            <w:tcBorders>
              <w:top w:val="nil"/>
              <w:left w:val="nil"/>
              <w:bottom w:val="nil"/>
              <w:right w:val="nil"/>
            </w:tcBorders>
            <w:shd w:val="clear" w:color="auto" w:fill="FFFFFF"/>
            <w:tcMar>
              <w:left w:w="67" w:type="dxa"/>
              <w:right w:w="67" w:type="dxa"/>
            </w:tcMar>
            <w:vAlign w:val="center"/>
          </w:tcPr>
          <w:p w14:paraId="0D748C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0.4971</w:t>
            </w:r>
          </w:p>
        </w:tc>
        <w:tc>
          <w:tcPr>
            <w:tcW w:w="1134" w:type="dxa"/>
            <w:tcBorders>
              <w:top w:val="nil"/>
              <w:left w:val="nil"/>
              <w:bottom w:val="nil"/>
              <w:right w:val="nil"/>
            </w:tcBorders>
            <w:shd w:val="clear" w:color="auto" w:fill="FFFFFF"/>
            <w:tcMar>
              <w:left w:w="67" w:type="dxa"/>
              <w:right w:w="67" w:type="dxa"/>
            </w:tcMar>
            <w:vAlign w:val="center"/>
          </w:tcPr>
          <w:p w14:paraId="4B3681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1.2258</w:t>
            </w:r>
          </w:p>
        </w:tc>
        <w:tc>
          <w:tcPr>
            <w:tcW w:w="1134" w:type="dxa"/>
            <w:tcBorders>
              <w:top w:val="nil"/>
              <w:left w:val="nil"/>
              <w:bottom w:val="nil"/>
              <w:right w:val="nil"/>
            </w:tcBorders>
            <w:shd w:val="clear" w:color="auto" w:fill="FFFFFF"/>
            <w:tcMar>
              <w:left w:w="67" w:type="dxa"/>
              <w:right w:w="67" w:type="dxa"/>
            </w:tcMar>
            <w:vAlign w:val="center"/>
          </w:tcPr>
          <w:p w14:paraId="0523E7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w:t>
            </w:r>
          </w:p>
        </w:tc>
        <w:tc>
          <w:tcPr>
            <w:tcW w:w="567" w:type="dxa"/>
            <w:tcBorders>
              <w:top w:val="nil"/>
              <w:left w:val="nil"/>
              <w:bottom w:val="nil"/>
              <w:right w:val="nil"/>
            </w:tcBorders>
            <w:shd w:val="clear" w:color="auto" w:fill="FFFFFF"/>
            <w:tcMar>
              <w:left w:w="67" w:type="dxa"/>
              <w:right w:w="67" w:type="dxa"/>
            </w:tcMar>
            <w:vAlign w:val="center"/>
          </w:tcPr>
          <w:p w14:paraId="4D8610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B2A18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0.3954</w:t>
            </w:r>
          </w:p>
        </w:tc>
      </w:tr>
      <w:tr w:rsidR="00B77EA3" w:rsidRPr="0082484A" w14:paraId="37D1A07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D8483A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FBB3C2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CFFEE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-0.1423</w:t>
            </w:r>
          </w:p>
        </w:tc>
        <w:tc>
          <w:tcPr>
            <w:tcW w:w="1134" w:type="dxa"/>
            <w:tcBorders>
              <w:top w:val="nil"/>
              <w:left w:val="nil"/>
              <w:bottom w:val="nil"/>
              <w:right w:val="nil"/>
            </w:tcBorders>
            <w:shd w:val="clear" w:color="auto" w:fill="FFFFFF"/>
            <w:tcMar>
              <w:left w:w="67" w:type="dxa"/>
              <w:right w:w="67" w:type="dxa"/>
            </w:tcMar>
            <w:vAlign w:val="center"/>
          </w:tcPr>
          <w:p w14:paraId="1166C2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0.1708</w:t>
            </w:r>
          </w:p>
        </w:tc>
        <w:tc>
          <w:tcPr>
            <w:tcW w:w="1134" w:type="dxa"/>
            <w:tcBorders>
              <w:top w:val="nil"/>
              <w:left w:val="nil"/>
              <w:bottom w:val="nil"/>
              <w:right w:val="nil"/>
            </w:tcBorders>
            <w:shd w:val="clear" w:color="auto" w:fill="FFFFFF"/>
            <w:tcMar>
              <w:left w:w="67" w:type="dxa"/>
              <w:right w:w="67" w:type="dxa"/>
            </w:tcMar>
            <w:vAlign w:val="center"/>
          </w:tcPr>
          <w:p w14:paraId="2E47C0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0.8673</w:t>
            </w:r>
          </w:p>
        </w:tc>
        <w:tc>
          <w:tcPr>
            <w:tcW w:w="1134" w:type="dxa"/>
            <w:tcBorders>
              <w:top w:val="nil"/>
              <w:left w:val="nil"/>
              <w:bottom w:val="nil"/>
              <w:right w:val="nil"/>
            </w:tcBorders>
            <w:shd w:val="clear" w:color="auto" w:fill="FFFFFF"/>
            <w:tcMar>
              <w:left w:w="67" w:type="dxa"/>
              <w:right w:w="67" w:type="dxa"/>
            </w:tcMar>
            <w:vAlign w:val="center"/>
          </w:tcPr>
          <w:p w14:paraId="11A8B5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0.5915</w:t>
            </w:r>
          </w:p>
        </w:tc>
        <w:tc>
          <w:tcPr>
            <w:tcW w:w="1134" w:type="dxa"/>
            <w:tcBorders>
              <w:top w:val="nil"/>
              <w:left w:val="nil"/>
              <w:bottom w:val="nil"/>
              <w:right w:val="nil"/>
            </w:tcBorders>
            <w:shd w:val="clear" w:color="auto" w:fill="FFFFFF"/>
            <w:tcMar>
              <w:left w:w="67" w:type="dxa"/>
              <w:right w:w="67" w:type="dxa"/>
            </w:tcMar>
            <w:vAlign w:val="center"/>
          </w:tcPr>
          <w:p w14:paraId="1042B2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1.2719</w:t>
            </w:r>
          </w:p>
        </w:tc>
        <w:tc>
          <w:tcPr>
            <w:tcW w:w="1134" w:type="dxa"/>
            <w:tcBorders>
              <w:top w:val="nil"/>
              <w:left w:val="nil"/>
              <w:bottom w:val="nil"/>
              <w:right w:val="nil"/>
            </w:tcBorders>
            <w:shd w:val="clear" w:color="auto" w:fill="FFFFFF"/>
            <w:tcMar>
              <w:left w:w="67" w:type="dxa"/>
              <w:right w:w="67" w:type="dxa"/>
            </w:tcMar>
            <w:vAlign w:val="center"/>
          </w:tcPr>
          <w:p w14:paraId="69D4885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97FA3C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BB2D9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9BAF74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00623E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69BA4D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C0EA8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0.3110</w:t>
            </w:r>
          </w:p>
        </w:tc>
        <w:tc>
          <w:tcPr>
            <w:tcW w:w="1134" w:type="dxa"/>
            <w:tcBorders>
              <w:top w:val="nil"/>
              <w:left w:val="nil"/>
              <w:bottom w:val="nil"/>
              <w:right w:val="nil"/>
            </w:tcBorders>
            <w:shd w:val="clear" w:color="auto" w:fill="FFFFFF"/>
            <w:tcMar>
              <w:left w:w="67" w:type="dxa"/>
              <w:right w:w="67" w:type="dxa"/>
            </w:tcMar>
            <w:vAlign w:val="center"/>
          </w:tcPr>
          <w:p w14:paraId="79590A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0.1938</w:t>
            </w:r>
          </w:p>
        </w:tc>
        <w:tc>
          <w:tcPr>
            <w:tcW w:w="1134" w:type="dxa"/>
            <w:tcBorders>
              <w:top w:val="nil"/>
              <w:left w:val="nil"/>
              <w:bottom w:val="nil"/>
              <w:right w:val="nil"/>
            </w:tcBorders>
            <w:shd w:val="clear" w:color="auto" w:fill="FFFFFF"/>
            <w:tcMar>
              <w:left w:w="67" w:type="dxa"/>
              <w:right w:w="67" w:type="dxa"/>
            </w:tcMar>
            <w:vAlign w:val="center"/>
          </w:tcPr>
          <w:p w14:paraId="67E6D0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1.3648</w:t>
            </w:r>
          </w:p>
        </w:tc>
        <w:tc>
          <w:tcPr>
            <w:tcW w:w="1134" w:type="dxa"/>
            <w:tcBorders>
              <w:top w:val="nil"/>
              <w:left w:val="nil"/>
              <w:bottom w:val="nil"/>
              <w:right w:val="nil"/>
            </w:tcBorders>
            <w:shd w:val="clear" w:color="auto" w:fill="FFFFFF"/>
            <w:tcMar>
              <w:left w:w="67" w:type="dxa"/>
              <w:right w:w="67" w:type="dxa"/>
            </w:tcMar>
            <w:vAlign w:val="center"/>
          </w:tcPr>
          <w:p w14:paraId="1CD9E5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0.8838</w:t>
            </w:r>
          </w:p>
        </w:tc>
        <w:tc>
          <w:tcPr>
            <w:tcW w:w="1134" w:type="dxa"/>
            <w:tcBorders>
              <w:top w:val="nil"/>
              <w:left w:val="nil"/>
              <w:bottom w:val="nil"/>
              <w:right w:val="nil"/>
            </w:tcBorders>
            <w:shd w:val="clear" w:color="auto" w:fill="FFFFFF"/>
            <w:tcMar>
              <w:left w:w="67" w:type="dxa"/>
              <w:right w:w="67" w:type="dxa"/>
            </w:tcMar>
            <w:vAlign w:val="center"/>
          </w:tcPr>
          <w:p w14:paraId="6E410E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2.1074</w:t>
            </w:r>
          </w:p>
        </w:tc>
        <w:tc>
          <w:tcPr>
            <w:tcW w:w="1134" w:type="dxa"/>
            <w:tcBorders>
              <w:top w:val="nil"/>
              <w:left w:val="nil"/>
              <w:bottom w:val="nil"/>
              <w:right w:val="nil"/>
            </w:tcBorders>
            <w:shd w:val="clear" w:color="auto" w:fill="FFFFFF"/>
            <w:tcMar>
              <w:left w:w="67" w:type="dxa"/>
              <w:right w:w="67" w:type="dxa"/>
            </w:tcMar>
            <w:vAlign w:val="center"/>
          </w:tcPr>
          <w:p w14:paraId="50CF9BC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7983DD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68865E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A116BC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4AC87B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9DFC1D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1D06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-0.0305</w:t>
            </w:r>
          </w:p>
        </w:tc>
        <w:tc>
          <w:tcPr>
            <w:tcW w:w="1134" w:type="dxa"/>
            <w:tcBorders>
              <w:top w:val="nil"/>
              <w:left w:val="nil"/>
              <w:bottom w:val="nil"/>
              <w:right w:val="nil"/>
            </w:tcBorders>
            <w:shd w:val="clear" w:color="auto" w:fill="FFFFFF"/>
            <w:tcMar>
              <w:left w:w="67" w:type="dxa"/>
              <w:right w:w="67" w:type="dxa"/>
            </w:tcMar>
            <w:vAlign w:val="center"/>
          </w:tcPr>
          <w:p w14:paraId="1C8438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0.1811</w:t>
            </w:r>
          </w:p>
        </w:tc>
        <w:tc>
          <w:tcPr>
            <w:tcW w:w="1134" w:type="dxa"/>
            <w:tcBorders>
              <w:top w:val="nil"/>
              <w:left w:val="nil"/>
              <w:bottom w:val="nil"/>
              <w:right w:val="nil"/>
            </w:tcBorders>
            <w:shd w:val="clear" w:color="auto" w:fill="FFFFFF"/>
            <w:tcMar>
              <w:left w:w="67" w:type="dxa"/>
              <w:right w:w="67" w:type="dxa"/>
            </w:tcMar>
            <w:vAlign w:val="center"/>
          </w:tcPr>
          <w:p w14:paraId="176672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0.9700</w:t>
            </w:r>
          </w:p>
        </w:tc>
        <w:tc>
          <w:tcPr>
            <w:tcW w:w="1134" w:type="dxa"/>
            <w:tcBorders>
              <w:top w:val="nil"/>
              <w:left w:val="nil"/>
              <w:bottom w:val="nil"/>
              <w:right w:val="nil"/>
            </w:tcBorders>
            <w:shd w:val="clear" w:color="auto" w:fill="FFFFFF"/>
            <w:tcMar>
              <w:left w:w="67" w:type="dxa"/>
              <w:right w:w="67" w:type="dxa"/>
            </w:tcMar>
            <w:vAlign w:val="center"/>
          </w:tcPr>
          <w:p w14:paraId="504D4C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0.6463</w:t>
            </w:r>
          </w:p>
        </w:tc>
        <w:tc>
          <w:tcPr>
            <w:tcW w:w="1134" w:type="dxa"/>
            <w:tcBorders>
              <w:top w:val="nil"/>
              <w:left w:val="nil"/>
              <w:bottom w:val="nil"/>
              <w:right w:val="nil"/>
            </w:tcBorders>
            <w:shd w:val="clear" w:color="auto" w:fill="FFFFFF"/>
            <w:tcMar>
              <w:left w:w="67" w:type="dxa"/>
              <w:right w:w="67" w:type="dxa"/>
            </w:tcMar>
            <w:vAlign w:val="center"/>
          </w:tcPr>
          <w:p w14:paraId="408B03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1.4557</w:t>
            </w:r>
          </w:p>
        </w:tc>
        <w:tc>
          <w:tcPr>
            <w:tcW w:w="1134" w:type="dxa"/>
            <w:tcBorders>
              <w:top w:val="nil"/>
              <w:left w:val="nil"/>
              <w:bottom w:val="nil"/>
              <w:right w:val="nil"/>
            </w:tcBorders>
            <w:shd w:val="clear" w:color="auto" w:fill="FFFFFF"/>
            <w:tcMar>
              <w:left w:w="67" w:type="dxa"/>
              <w:right w:w="67" w:type="dxa"/>
            </w:tcMar>
            <w:vAlign w:val="center"/>
          </w:tcPr>
          <w:p w14:paraId="300E014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452B9A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A85D5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B171E3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960B2B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DB424B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2F24A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-0.0631</w:t>
            </w:r>
          </w:p>
        </w:tc>
        <w:tc>
          <w:tcPr>
            <w:tcW w:w="1134" w:type="dxa"/>
            <w:tcBorders>
              <w:top w:val="nil"/>
              <w:left w:val="nil"/>
              <w:bottom w:val="nil"/>
              <w:right w:val="nil"/>
            </w:tcBorders>
            <w:shd w:val="clear" w:color="auto" w:fill="FFFFFF"/>
            <w:tcMar>
              <w:left w:w="67" w:type="dxa"/>
              <w:right w:w="67" w:type="dxa"/>
            </w:tcMar>
            <w:vAlign w:val="center"/>
          </w:tcPr>
          <w:p w14:paraId="242DEE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0.2153</w:t>
            </w:r>
          </w:p>
        </w:tc>
        <w:tc>
          <w:tcPr>
            <w:tcW w:w="1134" w:type="dxa"/>
            <w:tcBorders>
              <w:top w:val="nil"/>
              <w:left w:val="nil"/>
              <w:bottom w:val="nil"/>
              <w:right w:val="nil"/>
            </w:tcBorders>
            <w:shd w:val="clear" w:color="auto" w:fill="FFFFFF"/>
            <w:tcMar>
              <w:left w:w="67" w:type="dxa"/>
              <w:right w:w="67" w:type="dxa"/>
            </w:tcMar>
            <w:vAlign w:val="center"/>
          </w:tcPr>
          <w:p w14:paraId="111FA6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0.9388</w:t>
            </w:r>
          </w:p>
        </w:tc>
        <w:tc>
          <w:tcPr>
            <w:tcW w:w="1134" w:type="dxa"/>
            <w:tcBorders>
              <w:top w:val="nil"/>
              <w:left w:val="nil"/>
              <w:bottom w:val="nil"/>
              <w:right w:val="nil"/>
            </w:tcBorders>
            <w:shd w:val="clear" w:color="auto" w:fill="FFFFFF"/>
            <w:tcMar>
              <w:left w:w="67" w:type="dxa"/>
              <w:right w:w="67" w:type="dxa"/>
            </w:tcMar>
            <w:vAlign w:val="center"/>
          </w:tcPr>
          <w:p w14:paraId="06363A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0.5795</w:t>
            </w:r>
          </w:p>
        </w:tc>
        <w:tc>
          <w:tcPr>
            <w:tcW w:w="1134" w:type="dxa"/>
            <w:tcBorders>
              <w:top w:val="nil"/>
              <w:left w:val="nil"/>
              <w:bottom w:val="nil"/>
              <w:right w:val="nil"/>
            </w:tcBorders>
            <w:shd w:val="clear" w:color="auto" w:fill="FFFFFF"/>
            <w:tcMar>
              <w:left w:w="67" w:type="dxa"/>
              <w:right w:w="67" w:type="dxa"/>
            </w:tcMar>
            <w:vAlign w:val="center"/>
          </w:tcPr>
          <w:p w14:paraId="698158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1.5211</w:t>
            </w:r>
          </w:p>
        </w:tc>
        <w:tc>
          <w:tcPr>
            <w:tcW w:w="1134" w:type="dxa"/>
            <w:tcBorders>
              <w:top w:val="nil"/>
              <w:left w:val="nil"/>
              <w:bottom w:val="nil"/>
              <w:right w:val="nil"/>
            </w:tcBorders>
            <w:shd w:val="clear" w:color="auto" w:fill="FFFFFF"/>
            <w:tcMar>
              <w:left w:w="67" w:type="dxa"/>
              <w:right w:w="67" w:type="dxa"/>
            </w:tcMar>
            <w:vAlign w:val="center"/>
          </w:tcPr>
          <w:p w14:paraId="2231906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7D5B3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E2135B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B7D1B4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0EF621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A9245E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89152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7A1570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0.1681</w:t>
            </w:r>
          </w:p>
        </w:tc>
        <w:tc>
          <w:tcPr>
            <w:tcW w:w="1134" w:type="dxa"/>
            <w:tcBorders>
              <w:top w:val="nil"/>
              <w:left w:val="nil"/>
              <w:bottom w:val="nil"/>
              <w:right w:val="nil"/>
            </w:tcBorders>
            <w:shd w:val="clear" w:color="auto" w:fill="FFFFFF"/>
            <w:tcMar>
              <w:left w:w="67" w:type="dxa"/>
              <w:right w:w="67" w:type="dxa"/>
            </w:tcMar>
            <w:vAlign w:val="center"/>
          </w:tcPr>
          <w:p w14:paraId="2376A9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0.9987</w:t>
            </w:r>
          </w:p>
        </w:tc>
        <w:tc>
          <w:tcPr>
            <w:tcW w:w="1134" w:type="dxa"/>
            <w:tcBorders>
              <w:top w:val="nil"/>
              <w:left w:val="nil"/>
              <w:bottom w:val="nil"/>
              <w:right w:val="nil"/>
            </w:tcBorders>
            <w:shd w:val="clear" w:color="auto" w:fill="FFFFFF"/>
            <w:tcMar>
              <w:left w:w="67" w:type="dxa"/>
              <w:right w:w="67" w:type="dxa"/>
            </w:tcMar>
            <w:vAlign w:val="center"/>
          </w:tcPr>
          <w:p w14:paraId="1A3E99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0.6852</w:t>
            </w:r>
          </w:p>
        </w:tc>
        <w:tc>
          <w:tcPr>
            <w:tcW w:w="1134" w:type="dxa"/>
            <w:tcBorders>
              <w:top w:val="nil"/>
              <w:left w:val="nil"/>
              <w:bottom w:val="nil"/>
              <w:right w:val="nil"/>
            </w:tcBorders>
            <w:shd w:val="clear" w:color="auto" w:fill="FFFFFF"/>
            <w:tcMar>
              <w:left w:w="67" w:type="dxa"/>
              <w:right w:w="67" w:type="dxa"/>
            </w:tcMar>
            <w:vAlign w:val="center"/>
          </w:tcPr>
          <w:p w14:paraId="6E8274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1.4558</w:t>
            </w:r>
          </w:p>
        </w:tc>
        <w:tc>
          <w:tcPr>
            <w:tcW w:w="1134" w:type="dxa"/>
            <w:tcBorders>
              <w:top w:val="nil"/>
              <w:left w:val="nil"/>
              <w:bottom w:val="nil"/>
              <w:right w:val="nil"/>
            </w:tcBorders>
            <w:shd w:val="clear" w:color="auto" w:fill="FFFFFF"/>
            <w:tcMar>
              <w:left w:w="67" w:type="dxa"/>
              <w:right w:w="67" w:type="dxa"/>
            </w:tcMar>
            <w:vAlign w:val="center"/>
          </w:tcPr>
          <w:p w14:paraId="1DABA30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C9AA20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345E55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5CD4B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98CE56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49CCD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343B9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-0.0692</w:t>
            </w:r>
          </w:p>
        </w:tc>
        <w:tc>
          <w:tcPr>
            <w:tcW w:w="1134" w:type="dxa"/>
            <w:tcBorders>
              <w:top w:val="nil"/>
              <w:left w:val="nil"/>
              <w:bottom w:val="nil"/>
              <w:right w:val="nil"/>
            </w:tcBorders>
            <w:shd w:val="clear" w:color="auto" w:fill="FFFFFF"/>
            <w:tcMar>
              <w:left w:w="67" w:type="dxa"/>
              <w:right w:w="67" w:type="dxa"/>
            </w:tcMar>
            <w:vAlign w:val="center"/>
          </w:tcPr>
          <w:p w14:paraId="482218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0.1674</w:t>
            </w:r>
          </w:p>
        </w:tc>
        <w:tc>
          <w:tcPr>
            <w:tcW w:w="1134" w:type="dxa"/>
            <w:tcBorders>
              <w:top w:val="nil"/>
              <w:left w:val="nil"/>
              <w:bottom w:val="nil"/>
              <w:right w:val="nil"/>
            </w:tcBorders>
            <w:shd w:val="clear" w:color="auto" w:fill="FFFFFF"/>
            <w:tcMar>
              <w:left w:w="67" w:type="dxa"/>
              <w:right w:w="67" w:type="dxa"/>
            </w:tcMar>
            <w:vAlign w:val="center"/>
          </w:tcPr>
          <w:p w14:paraId="5F076E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0.9331</w:t>
            </w:r>
          </w:p>
        </w:tc>
        <w:tc>
          <w:tcPr>
            <w:tcW w:w="1134" w:type="dxa"/>
            <w:tcBorders>
              <w:top w:val="nil"/>
              <w:left w:val="nil"/>
              <w:bottom w:val="nil"/>
              <w:right w:val="nil"/>
            </w:tcBorders>
            <w:shd w:val="clear" w:color="auto" w:fill="FFFFFF"/>
            <w:tcMar>
              <w:left w:w="67" w:type="dxa"/>
              <w:right w:w="67" w:type="dxa"/>
            </w:tcMar>
            <w:vAlign w:val="center"/>
          </w:tcPr>
          <w:p w14:paraId="3B20C5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0.6411</w:t>
            </w:r>
          </w:p>
        </w:tc>
        <w:tc>
          <w:tcPr>
            <w:tcW w:w="1134" w:type="dxa"/>
            <w:tcBorders>
              <w:top w:val="nil"/>
              <w:left w:val="nil"/>
              <w:bottom w:val="nil"/>
              <w:right w:val="nil"/>
            </w:tcBorders>
            <w:shd w:val="clear" w:color="auto" w:fill="FFFFFF"/>
            <w:tcMar>
              <w:left w:w="67" w:type="dxa"/>
              <w:right w:w="67" w:type="dxa"/>
            </w:tcMar>
            <w:vAlign w:val="center"/>
          </w:tcPr>
          <w:p w14:paraId="733A9F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1.3581</w:t>
            </w:r>
          </w:p>
        </w:tc>
        <w:tc>
          <w:tcPr>
            <w:tcW w:w="1134" w:type="dxa"/>
            <w:tcBorders>
              <w:top w:val="nil"/>
              <w:left w:val="nil"/>
              <w:bottom w:val="nil"/>
              <w:right w:val="nil"/>
            </w:tcBorders>
            <w:shd w:val="clear" w:color="auto" w:fill="FFFFFF"/>
            <w:tcMar>
              <w:left w:w="67" w:type="dxa"/>
              <w:right w:w="67" w:type="dxa"/>
            </w:tcMar>
            <w:vAlign w:val="center"/>
          </w:tcPr>
          <w:p w14:paraId="2AF2C2E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2BF42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426D0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A0549C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6588AE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DD4A7E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399A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-0.0161</w:t>
            </w:r>
          </w:p>
        </w:tc>
        <w:tc>
          <w:tcPr>
            <w:tcW w:w="1134" w:type="dxa"/>
            <w:tcBorders>
              <w:top w:val="nil"/>
              <w:left w:val="nil"/>
              <w:bottom w:val="nil"/>
              <w:right w:val="nil"/>
            </w:tcBorders>
            <w:shd w:val="clear" w:color="auto" w:fill="FFFFFF"/>
            <w:tcMar>
              <w:left w:w="67" w:type="dxa"/>
              <w:right w:w="67" w:type="dxa"/>
            </w:tcMar>
            <w:vAlign w:val="center"/>
          </w:tcPr>
          <w:p w14:paraId="06ED49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0.1713</w:t>
            </w:r>
          </w:p>
        </w:tc>
        <w:tc>
          <w:tcPr>
            <w:tcW w:w="1134" w:type="dxa"/>
            <w:tcBorders>
              <w:top w:val="nil"/>
              <w:left w:val="nil"/>
              <w:bottom w:val="nil"/>
              <w:right w:val="nil"/>
            </w:tcBorders>
            <w:shd w:val="clear" w:color="auto" w:fill="FFFFFF"/>
            <w:tcMar>
              <w:left w:w="67" w:type="dxa"/>
              <w:right w:w="67" w:type="dxa"/>
            </w:tcMar>
            <w:vAlign w:val="center"/>
          </w:tcPr>
          <w:p w14:paraId="581B7D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0.9840</w:t>
            </w:r>
          </w:p>
        </w:tc>
        <w:tc>
          <w:tcPr>
            <w:tcW w:w="1134" w:type="dxa"/>
            <w:tcBorders>
              <w:top w:val="nil"/>
              <w:left w:val="nil"/>
              <w:bottom w:val="nil"/>
              <w:right w:val="nil"/>
            </w:tcBorders>
            <w:shd w:val="clear" w:color="auto" w:fill="FFFFFF"/>
            <w:tcMar>
              <w:left w:w="67" w:type="dxa"/>
              <w:right w:w="67" w:type="dxa"/>
            </w:tcMar>
            <w:vAlign w:val="center"/>
          </w:tcPr>
          <w:p w14:paraId="31B838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0.6702</w:t>
            </w:r>
          </w:p>
        </w:tc>
        <w:tc>
          <w:tcPr>
            <w:tcW w:w="1134" w:type="dxa"/>
            <w:tcBorders>
              <w:top w:val="nil"/>
              <w:left w:val="nil"/>
              <w:bottom w:val="nil"/>
              <w:right w:val="nil"/>
            </w:tcBorders>
            <w:shd w:val="clear" w:color="auto" w:fill="FFFFFF"/>
            <w:tcMar>
              <w:left w:w="67" w:type="dxa"/>
              <w:right w:w="67" w:type="dxa"/>
            </w:tcMar>
            <w:vAlign w:val="center"/>
          </w:tcPr>
          <w:p w14:paraId="036E1F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1.4448</w:t>
            </w:r>
          </w:p>
        </w:tc>
        <w:tc>
          <w:tcPr>
            <w:tcW w:w="1134" w:type="dxa"/>
            <w:tcBorders>
              <w:top w:val="nil"/>
              <w:left w:val="nil"/>
              <w:bottom w:val="nil"/>
              <w:right w:val="nil"/>
            </w:tcBorders>
            <w:shd w:val="clear" w:color="auto" w:fill="FFFFFF"/>
            <w:tcMar>
              <w:left w:w="67" w:type="dxa"/>
              <w:right w:w="67" w:type="dxa"/>
            </w:tcMar>
            <w:vAlign w:val="center"/>
          </w:tcPr>
          <w:p w14:paraId="32BFB99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40348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2C8C0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373D1E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7EC3FF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5D5EDD6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6120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-0.0084</w:t>
            </w:r>
          </w:p>
        </w:tc>
        <w:tc>
          <w:tcPr>
            <w:tcW w:w="1134" w:type="dxa"/>
            <w:tcBorders>
              <w:top w:val="nil"/>
              <w:left w:val="nil"/>
              <w:bottom w:val="nil"/>
              <w:right w:val="nil"/>
            </w:tcBorders>
            <w:shd w:val="clear" w:color="auto" w:fill="FFFFFF"/>
            <w:tcMar>
              <w:left w:w="67" w:type="dxa"/>
              <w:right w:w="67" w:type="dxa"/>
            </w:tcMar>
            <w:vAlign w:val="center"/>
          </w:tcPr>
          <w:p w14:paraId="7838C9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0.0052</w:t>
            </w:r>
          </w:p>
        </w:tc>
        <w:tc>
          <w:tcPr>
            <w:tcW w:w="1134" w:type="dxa"/>
            <w:tcBorders>
              <w:top w:val="nil"/>
              <w:left w:val="nil"/>
              <w:bottom w:val="nil"/>
              <w:right w:val="nil"/>
            </w:tcBorders>
            <w:shd w:val="clear" w:color="auto" w:fill="FFFFFF"/>
            <w:tcMar>
              <w:left w:w="67" w:type="dxa"/>
              <w:right w:w="67" w:type="dxa"/>
            </w:tcMar>
            <w:vAlign w:val="center"/>
          </w:tcPr>
          <w:p w14:paraId="3593AC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0.9916</w:t>
            </w:r>
          </w:p>
        </w:tc>
        <w:tc>
          <w:tcPr>
            <w:tcW w:w="1134" w:type="dxa"/>
            <w:tcBorders>
              <w:top w:val="nil"/>
              <w:left w:val="nil"/>
              <w:bottom w:val="nil"/>
              <w:right w:val="nil"/>
            </w:tcBorders>
            <w:shd w:val="clear" w:color="auto" w:fill="FFFFFF"/>
            <w:tcMar>
              <w:left w:w="67" w:type="dxa"/>
              <w:right w:w="67" w:type="dxa"/>
            </w:tcMar>
            <w:vAlign w:val="center"/>
          </w:tcPr>
          <w:p w14:paraId="7D4E29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0.9802</w:t>
            </w:r>
          </w:p>
        </w:tc>
        <w:tc>
          <w:tcPr>
            <w:tcW w:w="1134" w:type="dxa"/>
            <w:tcBorders>
              <w:top w:val="nil"/>
              <w:left w:val="nil"/>
              <w:bottom w:val="nil"/>
              <w:right w:val="nil"/>
            </w:tcBorders>
            <w:shd w:val="clear" w:color="auto" w:fill="FFFFFF"/>
            <w:tcMar>
              <w:left w:w="67" w:type="dxa"/>
              <w:right w:w="67" w:type="dxa"/>
            </w:tcMar>
            <w:vAlign w:val="center"/>
          </w:tcPr>
          <w:p w14:paraId="3A88F3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1.0032</w:t>
            </w:r>
          </w:p>
        </w:tc>
        <w:tc>
          <w:tcPr>
            <w:tcW w:w="1134" w:type="dxa"/>
            <w:tcBorders>
              <w:top w:val="nil"/>
              <w:left w:val="nil"/>
              <w:bottom w:val="nil"/>
              <w:right w:val="nil"/>
            </w:tcBorders>
            <w:shd w:val="clear" w:color="auto" w:fill="FFFFFF"/>
            <w:tcMar>
              <w:left w:w="67" w:type="dxa"/>
              <w:right w:w="67" w:type="dxa"/>
            </w:tcMar>
            <w:vAlign w:val="center"/>
          </w:tcPr>
          <w:p w14:paraId="32DFDB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2.63</w:t>
            </w:r>
          </w:p>
        </w:tc>
        <w:tc>
          <w:tcPr>
            <w:tcW w:w="567" w:type="dxa"/>
            <w:tcBorders>
              <w:top w:val="nil"/>
              <w:left w:val="nil"/>
              <w:bottom w:val="nil"/>
              <w:right w:val="nil"/>
            </w:tcBorders>
            <w:shd w:val="clear" w:color="auto" w:fill="FFFFFF"/>
            <w:tcMar>
              <w:left w:w="67" w:type="dxa"/>
              <w:right w:w="67" w:type="dxa"/>
            </w:tcMar>
            <w:vAlign w:val="center"/>
          </w:tcPr>
          <w:p w14:paraId="510266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4357F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0.1050</w:t>
            </w:r>
          </w:p>
        </w:tc>
      </w:tr>
      <w:tr w:rsidR="00B77EA3" w:rsidRPr="0082484A" w14:paraId="1F0D3CC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D48783D"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2039969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C534E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0.0266</w:t>
            </w:r>
          </w:p>
        </w:tc>
        <w:tc>
          <w:tcPr>
            <w:tcW w:w="1134" w:type="dxa"/>
            <w:tcBorders>
              <w:top w:val="nil"/>
              <w:left w:val="nil"/>
              <w:bottom w:val="nil"/>
              <w:right w:val="nil"/>
            </w:tcBorders>
            <w:shd w:val="clear" w:color="auto" w:fill="FFFFFF"/>
            <w:tcMar>
              <w:left w:w="67" w:type="dxa"/>
              <w:right w:w="67" w:type="dxa"/>
            </w:tcMar>
            <w:vAlign w:val="center"/>
          </w:tcPr>
          <w:p w14:paraId="02FCA2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0.0073</w:t>
            </w:r>
          </w:p>
        </w:tc>
        <w:tc>
          <w:tcPr>
            <w:tcW w:w="1134" w:type="dxa"/>
            <w:tcBorders>
              <w:top w:val="nil"/>
              <w:left w:val="nil"/>
              <w:bottom w:val="nil"/>
              <w:right w:val="nil"/>
            </w:tcBorders>
            <w:shd w:val="clear" w:color="auto" w:fill="FFFFFF"/>
            <w:tcMar>
              <w:left w:w="67" w:type="dxa"/>
              <w:right w:w="67" w:type="dxa"/>
            </w:tcMar>
            <w:vAlign w:val="center"/>
          </w:tcPr>
          <w:p w14:paraId="30DFAB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1.0270</w:t>
            </w:r>
          </w:p>
        </w:tc>
        <w:tc>
          <w:tcPr>
            <w:tcW w:w="1134" w:type="dxa"/>
            <w:tcBorders>
              <w:top w:val="nil"/>
              <w:left w:val="nil"/>
              <w:bottom w:val="nil"/>
              <w:right w:val="nil"/>
            </w:tcBorders>
            <w:shd w:val="clear" w:color="auto" w:fill="FFFFFF"/>
            <w:tcMar>
              <w:left w:w="67" w:type="dxa"/>
              <w:right w:w="67" w:type="dxa"/>
            </w:tcMar>
            <w:vAlign w:val="center"/>
          </w:tcPr>
          <w:p w14:paraId="0FB87F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1.0103</w:t>
            </w:r>
          </w:p>
        </w:tc>
        <w:tc>
          <w:tcPr>
            <w:tcW w:w="1134" w:type="dxa"/>
            <w:tcBorders>
              <w:top w:val="nil"/>
              <w:left w:val="nil"/>
              <w:bottom w:val="nil"/>
              <w:right w:val="nil"/>
            </w:tcBorders>
            <w:shd w:val="clear" w:color="auto" w:fill="FFFFFF"/>
            <w:tcMar>
              <w:left w:w="67" w:type="dxa"/>
              <w:right w:w="67" w:type="dxa"/>
            </w:tcMar>
            <w:vAlign w:val="center"/>
          </w:tcPr>
          <w:p w14:paraId="340601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1.0440</w:t>
            </w:r>
          </w:p>
        </w:tc>
        <w:tc>
          <w:tcPr>
            <w:tcW w:w="1134" w:type="dxa"/>
            <w:tcBorders>
              <w:top w:val="nil"/>
              <w:left w:val="nil"/>
              <w:bottom w:val="nil"/>
              <w:right w:val="nil"/>
            </w:tcBorders>
            <w:shd w:val="clear" w:color="auto" w:fill="FFFFFF"/>
            <w:tcMar>
              <w:left w:w="67" w:type="dxa"/>
              <w:right w:w="67" w:type="dxa"/>
            </w:tcMar>
            <w:vAlign w:val="center"/>
          </w:tcPr>
          <w:p w14:paraId="656B27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13.28</w:t>
            </w:r>
          </w:p>
        </w:tc>
        <w:tc>
          <w:tcPr>
            <w:tcW w:w="567" w:type="dxa"/>
            <w:tcBorders>
              <w:top w:val="nil"/>
              <w:left w:val="nil"/>
              <w:bottom w:val="nil"/>
              <w:right w:val="nil"/>
            </w:tcBorders>
            <w:shd w:val="clear" w:color="auto" w:fill="FFFFFF"/>
            <w:tcMar>
              <w:left w:w="67" w:type="dxa"/>
              <w:right w:w="67" w:type="dxa"/>
            </w:tcMar>
            <w:vAlign w:val="center"/>
          </w:tcPr>
          <w:p w14:paraId="5AE1DF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3D77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r>
      <w:tr w:rsidR="00B77EA3" w:rsidRPr="0082484A" w14:paraId="425B0C5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9E0D529"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215E7B4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0AD51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5417BB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2D7744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0.9996</w:t>
            </w:r>
          </w:p>
        </w:tc>
        <w:tc>
          <w:tcPr>
            <w:tcW w:w="1134" w:type="dxa"/>
            <w:tcBorders>
              <w:top w:val="nil"/>
              <w:left w:val="nil"/>
              <w:bottom w:val="nil"/>
              <w:right w:val="nil"/>
            </w:tcBorders>
            <w:shd w:val="clear" w:color="auto" w:fill="FFFFFF"/>
            <w:tcMar>
              <w:left w:w="67" w:type="dxa"/>
              <w:right w:w="67" w:type="dxa"/>
            </w:tcMar>
            <w:vAlign w:val="center"/>
          </w:tcPr>
          <w:p w14:paraId="539AB2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0.9951</w:t>
            </w:r>
          </w:p>
        </w:tc>
        <w:tc>
          <w:tcPr>
            <w:tcW w:w="1134" w:type="dxa"/>
            <w:tcBorders>
              <w:top w:val="nil"/>
              <w:left w:val="nil"/>
              <w:bottom w:val="nil"/>
              <w:right w:val="nil"/>
            </w:tcBorders>
            <w:shd w:val="clear" w:color="auto" w:fill="FFFFFF"/>
            <w:tcMar>
              <w:left w:w="67" w:type="dxa"/>
              <w:right w:w="67" w:type="dxa"/>
            </w:tcMar>
            <w:vAlign w:val="center"/>
          </w:tcPr>
          <w:p w14:paraId="70D0D3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1.0041</w:t>
            </w:r>
          </w:p>
        </w:tc>
        <w:tc>
          <w:tcPr>
            <w:tcW w:w="1134" w:type="dxa"/>
            <w:tcBorders>
              <w:top w:val="nil"/>
              <w:left w:val="nil"/>
              <w:bottom w:val="nil"/>
              <w:right w:val="nil"/>
            </w:tcBorders>
            <w:shd w:val="clear" w:color="auto" w:fill="FFFFFF"/>
            <w:tcMar>
              <w:left w:w="67" w:type="dxa"/>
              <w:right w:w="67" w:type="dxa"/>
            </w:tcMar>
            <w:vAlign w:val="center"/>
          </w:tcPr>
          <w:p w14:paraId="16535A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16C19F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14CF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0.8359</w:t>
            </w:r>
          </w:p>
        </w:tc>
      </w:tr>
      <w:tr w:rsidR="00B77EA3" w:rsidRPr="0082484A" w14:paraId="1AD0511A"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9F44569"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B1799A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36E3A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6BD14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EBC9A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1.0467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47D46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51016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54D7B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88267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DD3A0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0.3218</w:t>
            </w:r>
          </w:p>
        </w:tc>
      </w:tr>
    </w:tbl>
    <w:p w14:paraId="44C4191A" w14:textId="77777777" w:rsidR="00B77EA3" w:rsidRPr="0082484A" w:rsidRDefault="00B77EA3" w:rsidP="00B77EA3">
      <w:pPr>
        <w:spacing w:before="0" w:after="160" w:line="259" w:lineRule="auto"/>
        <w:rPr>
          <w:sz w:val="22"/>
          <w:szCs w:val="22"/>
        </w:rPr>
      </w:pPr>
      <w:r w:rsidRPr="0082484A">
        <w:rPr>
          <w:sz w:val="22"/>
          <w:szCs w:val="22"/>
        </w:rPr>
        <w:t>The estimated number needed to treat for one patient aged under 80 years with diabetes to achieve blood pressure below 140/80 mmHg, and below 130/80 mmHg if there are complications of diabetes is -219</w:t>
      </w:r>
    </w:p>
    <w:p w14:paraId="3203DF4D" w14:textId="77777777" w:rsidR="00B77EA3" w:rsidRPr="0082484A" w:rsidRDefault="00B77EA3" w:rsidP="00B77EA3">
      <w:pPr>
        <w:adjustRightInd w:val="0"/>
        <w:spacing w:before="0" w:line="240" w:lineRule="auto"/>
        <w:contextualSpacing/>
        <w:rPr>
          <w:sz w:val="22"/>
          <w:szCs w:val="22"/>
        </w:rPr>
      </w:pPr>
    </w:p>
    <w:p w14:paraId="599A532E" w14:textId="77777777" w:rsidR="00B77EA3" w:rsidRPr="0082484A" w:rsidRDefault="00B77EA3" w:rsidP="00B77EA3">
      <w:pPr>
        <w:spacing w:before="0" w:after="160" w:line="259" w:lineRule="auto"/>
        <w:rPr>
          <w:sz w:val="22"/>
          <w:szCs w:val="22"/>
        </w:rPr>
      </w:pPr>
      <w:r w:rsidRPr="0082484A">
        <w:rPr>
          <w:sz w:val="22"/>
          <w:szCs w:val="22"/>
        </w:rPr>
        <w:br w:type="page"/>
      </w:r>
    </w:p>
    <w:p w14:paraId="1075ED1F" w14:textId="065D02FA" w:rsidR="00B77EA3" w:rsidRPr="0082484A" w:rsidRDefault="00B77EA3" w:rsidP="00B77EA3">
      <w:pPr>
        <w:spacing w:before="0" w:line="240" w:lineRule="auto"/>
        <w:rPr>
          <w:bCs/>
          <w:sz w:val="22"/>
          <w:szCs w:val="22"/>
        </w:rPr>
      </w:pPr>
      <w:bookmarkStart w:id="154" w:name="_Ref502917871"/>
      <w:bookmarkStart w:id="155" w:name="_Toc8728115"/>
      <w:bookmarkStart w:id="156" w:name="_Toc19526770"/>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41</w:t>
      </w:r>
      <w:r w:rsidRPr="0082484A">
        <w:rPr>
          <w:bCs/>
          <w:noProof/>
          <w:sz w:val="22"/>
          <w:szCs w:val="22"/>
        </w:rPr>
        <w:fldChar w:fldCharType="end"/>
      </w:r>
      <w:bookmarkEnd w:id="154"/>
      <w:r w:rsidRPr="0082484A">
        <w:rPr>
          <w:bCs/>
          <w:sz w:val="22"/>
          <w:szCs w:val="22"/>
        </w:rPr>
        <w:t>: Secondary outcome for Trial 2: Blood pressure below 130/80 mmHg in patients aged under 80 years with chronic kidney disease and proteinuria (WP4A)</w:t>
      </w:r>
      <w:bookmarkEnd w:id="155"/>
      <w:bookmarkEnd w:id="156"/>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2FA9FCC6" w14:textId="77777777" w:rsidTr="00B77EA3">
        <w:trPr>
          <w:cantSplit/>
          <w:tblHeader/>
          <w:jc w:val="center"/>
        </w:trPr>
        <w:tc>
          <w:tcPr>
            <w:tcW w:w="3118" w:type="dxa"/>
            <w:tcBorders>
              <w:top w:val="single" w:sz="4" w:space="0" w:color="auto"/>
              <w:left w:val="single" w:sz="4" w:space="0" w:color="auto"/>
              <w:bottom w:val="single" w:sz="4" w:space="0" w:color="000000"/>
              <w:right w:val="nil"/>
            </w:tcBorders>
            <w:shd w:val="clear" w:color="auto" w:fill="FFFFFF"/>
            <w:tcMar>
              <w:left w:w="67" w:type="dxa"/>
              <w:right w:w="67" w:type="dxa"/>
            </w:tcMar>
            <w:vAlign w:val="bottom"/>
          </w:tcPr>
          <w:p w14:paraId="171676D6"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left w:w="67" w:type="dxa"/>
              <w:right w:w="67" w:type="dxa"/>
            </w:tcMar>
            <w:vAlign w:val="bottom"/>
          </w:tcPr>
          <w:p w14:paraId="53D9A889"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602383D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4D856A1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12436A1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F49D29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0E21BE3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4" w:space="0" w:color="auto"/>
              <w:left w:val="nil"/>
              <w:bottom w:val="single" w:sz="4" w:space="0" w:color="000000"/>
              <w:right w:val="nil"/>
            </w:tcBorders>
            <w:shd w:val="clear" w:color="auto" w:fill="FFFFFF"/>
            <w:tcMar>
              <w:left w:w="67" w:type="dxa"/>
              <w:right w:w="67" w:type="dxa"/>
            </w:tcMar>
            <w:vAlign w:val="bottom"/>
          </w:tcPr>
          <w:p w14:paraId="3F8AC3A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left w:w="67" w:type="dxa"/>
              <w:right w:w="67" w:type="dxa"/>
            </w:tcMar>
            <w:vAlign w:val="bottom"/>
          </w:tcPr>
          <w:p w14:paraId="4981CE8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left w:w="67" w:type="dxa"/>
              <w:right w:w="67" w:type="dxa"/>
            </w:tcMar>
            <w:vAlign w:val="bottom"/>
          </w:tcPr>
          <w:p w14:paraId="13DD664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52A0CEA"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2753143E"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93C5FF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5C3A97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0.0333</w:t>
            </w:r>
          </w:p>
        </w:tc>
        <w:tc>
          <w:tcPr>
            <w:tcW w:w="1134" w:type="dxa"/>
            <w:tcBorders>
              <w:top w:val="nil"/>
              <w:left w:val="nil"/>
              <w:bottom w:val="nil"/>
              <w:right w:val="nil"/>
            </w:tcBorders>
            <w:shd w:val="clear" w:color="auto" w:fill="FFFFFF"/>
            <w:tcMar>
              <w:left w:w="67" w:type="dxa"/>
              <w:right w:w="67" w:type="dxa"/>
            </w:tcMar>
            <w:vAlign w:val="center"/>
          </w:tcPr>
          <w:p w14:paraId="4EE3D3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0.1125</w:t>
            </w:r>
          </w:p>
        </w:tc>
        <w:tc>
          <w:tcPr>
            <w:tcW w:w="1134" w:type="dxa"/>
            <w:tcBorders>
              <w:top w:val="nil"/>
              <w:left w:val="nil"/>
              <w:bottom w:val="nil"/>
              <w:right w:val="nil"/>
            </w:tcBorders>
            <w:shd w:val="clear" w:color="auto" w:fill="FFFFFF"/>
            <w:tcMar>
              <w:left w:w="67" w:type="dxa"/>
              <w:right w:w="67" w:type="dxa"/>
            </w:tcMar>
            <w:vAlign w:val="center"/>
          </w:tcPr>
          <w:p w14:paraId="1527D6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1.0339</w:t>
            </w:r>
          </w:p>
        </w:tc>
        <w:tc>
          <w:tcPr>
            <w:tcW w:w="1134" w:type="dxa"/>
            <w:tcBorders>
              <w:top w:val="nil"/>
              <w:left w:val="nil"/>
              <w:bottom w:val="nil"/>
              <w:right w:val="nil"/>
            </w:tcBorders>
            <w:shd w:val="clear" w:color="auto" w:fill="FFFFFF"/>
            <w:tcMar>
              <w:left w:w="67" w:type="dxa"/>
              <w:right w:w="67" w:type="dxa"/>
            </w:tcMar>
            <w:vAlign w:val="center"/>
          </w:tcPr>
          <w:p w14:paraId="3464B4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0.8033</w:t>
            </w:r>
          </w:p>
        </w:tc>
        <w:tc>
          <w:tcPr>
            <w:tcW w:w="1134" w:type="dxa"/>
            <w:tcBorders>
              <w:top w:val="nil"/>
              <w:left w:val="nil"/>
              <w:bottom w:val="nil"/>
              <w:right w:val="nil"/>
            </w:tcBorders>
            <w:shd w:val="clear" w:color="auto" w:fill="FFFFFF"/>
            <w:tcMar>
              <w:left w:w="67" w:type="dxa"/>
              <w:right w:w="67" w:type="dxa"/>
            </w:tcMar>
            <w:vAlign w:val="center"/>
          </w:tcPr>
          <w:p w14:paraId="166599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1.3307</w:t>
            </w:r>
          </w:p>
        </w:tc>
        <w:tc>
          <w:tcPr>
            <w:tcW w:w="1134" w:type="dxa"/>
            <w:tcBorders>
              <w:top w:val="nil"/>
              <w:left w:val="nil"/>
              <w:bottom w:val="nil"/>
              <w:right w:val="nil"/>
            </w:tcBorders>
            <w:shd w:val="clear" w:color="auto" w:fill="FFFFFF"/>
            <w:tcMar>
              <w:left w:w="67" w:type="dxa"/>
              <w:right w:w="67" w:type="dxa"/>
            </w:tcMar>
            <w:vAlign w:val="center"/>
          </w:tcPr>
          <w:p w14:paraId="52C1B8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w:t>
            </w:r>
          </w:p>
        </w:tc>
        <w:tc>
          <w:tcPr>
            <w:tcW w:w="567" w:type="dxa"/>
            <w:tcBorders>
              <w:top w:val="nil"/>
              <w:left w:val="nil"/>
              <w:bottom w:val="nil"/>
              <w:right w:val="nil"/>
            </w:tcBorders>
            <w:shd w:val="clear" w:color="auto" w:fill="FFFFFF"/>
            <w:tcMar>
              <w:left w:w="67" w:type="dxa"/>
              <w:right w:w="67" w:type="dxa"/>
            </w:tcMar>
            <w:vAlign w:val="center"/>
          </w:tcPr>
          <w:p w14:paraId="6CBDC8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47C755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0.7672</w:t>
            </w:r>
          </w:p>
        </w:tc>
      </w:tr>
      <w:tr w:rsidR="00B77EA3" w:rsidRPr="0082484A" w14:paraId="30B63D5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93E4F29"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66FD62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6B774C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-0.0584</w:t>
            </w:r>
          </w:p>
        </w:tc>
        <w:tc>
          <w:tcPr>
            <w:tcW w:w="1134" w:type="dxa"/>
            <w:tcBorders>
              <w:top w:val="nil"/>
              <w:left w:val="nil"/>
              <w:bottom w:val="nil"/>
              <w:right w:val="nil"/>
            </w:tcBorders>
            <w:shd w:val="clear" w:color="auto" w:fill="FFFFFF"/>
            <w:tcMar>
              <w:left w:w="67" w:type="dxa"/>
              <w:right w:w="67" w:type="dxa"/>
            </w:tcMar>
            <w:vAlign w:val="center"/>
          </w:tcPr>
          <w:p w14:paraId="5AB2CC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0.0984</w:t>
            </w:r>
          </w:p>
        </w:tc>
        <w:tc>
          <w:tcPr>
            <w:tcW w:w="1134" w:type="dxa"/>
            <w:tcBorders>
              <w:top w:val="nil"/>
              <w:left w:val="nil"/>
              <w:bottom w:val="nil"/>
              <w:right w:val="nil"/>
            </w:tcBorders>
            <w:shd w:val="clear" w:color="auto" w:fill="FFFFFF"/>
            <w:tcMar>
              <w:left w:w="67" w:type="dxa"/>
              <w:right w:w="67" w:type="dxa"/>
            </w:tcMar>
            <w:vAlign w:val="center"/>
          </w:tcPr>
          <w:p w14:paraId="185140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0.9433</w:t>
            </w:r>
          </w:p>
        </w:tc>
        <w:tc>
          <w:tcPr>
            <w:tcW w:w="1134" w:type="dxa"/>
            <w:tcBorders>
              <w:top w:val="nil"/>
              <w:left w:val="nil"/>
              <w:bottom w:val="nil"/>
              <w:right w:val="nil"/>
            </w:tcBorders>
            <w:shd w:val="clear" w:color="auto" w:fill="FFFFFF"/>
            <w:tcMar>
              <w:left w:w="67" w:type="dxa"/>
              <w:right w:w="67" w:type="dxa"/>
            </w:tcMar>
            <w:vAlign w:val="center"/>
          </w:tcPr>
          <w:p w14:paraId="002C3A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0.7565</w:t>
            </w:r>
          </w:p>
        </w:tc>
        <w:tc>
          <w:tcPr>
            <w:tcW w:w="1134" w:type="dxa"/>
            <w:tcBorders>
              <w:top w:val="nil"/>
              <w:left w:val="nil"/>
              <w:bottom w:val="nil"/>
              <w:right w:val="nil"/>
            </w:tcBorders>
            <w:shd w:val="clear" w:color="auto" w:fill="FFFFFF"/>
            <w:tcMar>
              <w:left w:w="67" w:type="dxa"/>
              <w:right w:w="67" w:type="dxa"/>
            </w:tcMar>
            <w:vAlign w:val="center"/>
          </w:tcPr>
          <w:p w14:paraId="3BD56B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1.1762</w:t>
            </w:r>
          </w:p>
        </w:tc>
        <w:tc>
          <w:tcPr>
            <w:tcW w:w="1134" w:type="dxa"/>
            <w:tcBorders>
              <w:top w:val="nil"/>
              <w:left w:val="nil"/>
              <w:bottom w:val="nil"/>
              <w:right w:val="nil"/>
            </w:tcBorders>
            <w:shd w:val="clear" w:color="auto" w:fill="FFFFFF"/>
            <w:tcMar>
              <w:left w:w="67" w:type="dxa"/>
              <w:right w:w="67" w:type="dxa"/>
            </w:tcMar>
            <w:vAlign w:val="center"/>
          </w:tcPr>
          <w:p w14:paraId="059B31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w:t>
            </w:r>
          </w:p>
        </w:tc>
        <w:tc>
          <w:tcPr>
            <w:tcW w:w="567" w:type="dxa"/>
            <w:tcBorders>
              <w:top w:val="nil"/>
              <w:left w:val="nil"/>
              <w:bottom w:val="nil"/>
              <w:right w:val="nil"/>
            </w:tcBorders>
            <w:shd w:val="clear" w:color="auto" w:fill="FFFFFF"/>
            <w:tcMar>
              <w:left w:w="67" w:type="dxa"/>
              <w:right w:w="67" w:type="dxa"/>
            </w:tcMar>
            <w:vAlign w:val="center"/>
          </w:tcPr>
          <w:p w14:paraId="2DC9DD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343001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0.5528</w:t>
            </w:r>
          </w:p>
        </w:tc>
      </w:tr>
      <w:tr w:rsidR="00B77EA3" w:rsidRPr="0082484A" w14:paraId="3260DDB0"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A5B9156"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5E3779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26EE2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72E1CC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0.0045</w:t>
            </w:r>
          </w:p>
        </w:tc>
        <w:tc>
          <w:tcPr>
            <w:tcW w:w="1134" w:type="dxa"/>
            <w:tcBorders>
              <w:top w:val="nil"/>
              <w:left w:val="nil"/>
              <w:bottom w:val="nil"/>
              <w:right w:val="nil"/>
            </w:tcBorders>
            <w:shd w:val="clear" w:color="auto" w:fill="FFFFFF"/>
            <w:tcMar>
              <w:left w:w="67" w:type="dxa"/>
              <w:right w:w="67" w:type="dxa"/>
            </w:tcMar>
            <w:vAlign w:val="center"/>
          </w:tcPr>
          <w:p w14:paraId="5B761A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1.0029</w:t>
            </w:r>
          </w:p>
        </w:tc>
        <w:tc>
          <w:tcPr>
            <w:tcW w:w="1134" w:type="dxa"/>
            <w:tcBorders>
              <w:top w:val="nil"/>
              <w:left w:val="nil"/>
              <w:bottom w:val="nil"/>
              <w:right w:val="nil"/>
            </w:tcBorders>
            <w:shd w:val="clear" w:color="auto" w:fill="FFFFFF"/>
            <w:tcMar>
              <w:left w:w="67" w:type="dxa"/>
              <w:right w:w="67" w:type="dxa"/>
            </w:tcMar>
            <w:vAlign w:val="center"/>
          </w:tcPr>
          <w:p w14:paraId="5CE3E2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0.9929</w:t>
            </w:r>
          </w:p>
        </w:tc>
        <w:tc>
          <w:tcPr>
            <w:tcW w:w="1134" w:type="dxa"/>
            <w:tcBorders>
              <w:top w:val="nil"/>
              <w:left w:val="nil"/>
              <w:bottom w:val="nil"/>
              <w:right w:val="nil"/>
            </w:tcBorders>
            <w:shd w:val="clear" w:color="auto" w:fill="FFFFFF"/>
            <w:tcMar>
              <w:left w:w="67" w:type="dxa"/>
              <w:right w:w="67" w:type="dxa"/>
            </w:tcMar>
            <w:vAlign w:val="center"/>
          </w:tcPr>
          <w:p w14:paraId="2D6EF9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1.0130</w:t>
            </w:r>
          </w:p>
        </w:tc>
        <w:tc>
          <w:tcPr>
            <w:tcW w:w="1134" w:type="dxa"/>
            <w:tcBorders>
              <w:top w:val="nil"/>
              <w:left w:val="nil"/>
              <w:bottom w:val="nil"/>
              <w:right w:val="nil"/>
            </w:tcBorders>
            <w:shd w:val="clear" w:color="auto" w:fill="FFFFFF"/>
            <w:tcMar>
              <w:left w:w="67" w:type="dxa"/>
              <w:right w:w="67" w:type="dxa"/>
            </w:tcMar>
            <w:vAlign w:val="center"/>
          </w:tcPr>
          <w:p w14:paraId="1570F6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w:t>
            </w:r>
          </w:p>
        </w:tc>
        <w:tc>
          <w:tcPr>
            <w:tcW w:w="567" w:type="dxa"/>
            <w:tcBorders>
              <w:top w:val="nil"/>
              <w:left w:val="nil"/>
              <w:bottom w:val="nil"/>
              <w:right w:val="nil"/>
            </w:tcBorders>
            <w:shd w:val="clear" w:color="auto" w:fill="FFFFFF"/>
            <w:tcMar>
              <w:left w:w="67" w:type="dxa"/>
              <w:right w:w="67" w:type="dxa"/>
            </w:tcMar>
            <w:vAlign w:val="center"/>
          </w:tcPr>
          <w:p w14:paraId="29AA70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AB3E4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0.5222</w:t>
            </w:r>
          </w:p>
        </w:tc>
      </w:tr>
      <w:tr w:rsidR="00B77EA3" w:rsidRPr="0082484A" w14:paraId="7710ADA1"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9258121"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ED7A0C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1410C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678A5D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421FA2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1.0021</w:t>
            </w:r>
          </w:p>
        </w:tc>
        <w:tc>
          <w:tcPr>
            <w:tcW w:w="1134" w:type="dxa"/>
            <w:tcBorders>
              <w:top w:val="nil"/>
              <w:left w:val="nil"/>
              <w:bottom w:val="nil"/>
              <w:right w:val="nil"/>
            </w:tcBorders>
            <w:shd w:val="clear" w:color="auto" w:fill="FFFFFF"/>
            <w:tcMar>
              <w:left w:w="67" w:type="dxa"/>
              <w:right w:w="67" w:type="dxa"/>
            </w:tcMar>
            <w:vAlign w:val="center"/>
          </w:tcPr>
          <w:p w14:paraId="529E2B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0.9986</w:t>
            </w:r>
          </w:p>
        </w:tc>
        <w:tc>
          <w:tcPr>
            <w:tcW w:w="1134" w:type="dxa"/>
            <w:tcBorders>
              <w:top w:val="nil"/>
              <w:left w:val="nil"/>
              <w:bottom w:val="nil"/>
              <w:right w:val="nil"/>
            </w:tcBorders>
            <w:shd w:val="clear" w:color="auto" w:fill="FFFFFF"/>
            <w:tcMar>
              <w:left w:w="67" w:type="dxa"/>
              <w:right w:w="67" w:type="dxa"/>
            </w:tcMar>
            <w:vAlign w:val="center"/>
          </w:tcPr>
          <w:p w14:paraId="18E5CE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1.0057</w:t>
            </w:r>
          </w:p>
        </w:tc>
        <w:tc>
          <w:tcPr>
            <w:tcW w:w="1134" w:type="dxa"/>
            <w:tcBorders>
              <w:top w:val="nil"/>
              <w:left w:val="nil"/>
              <w:bottom w:val="nil"/>
              <w:right w:val="nil"/>
            </w:tcBorders>
            <w:shd w:val="clear" w:color="auto" w:fill="FFFFFF"/>
            <w:tcMar>
              <w:left w:w="67" w:type="dxa"/>
              <w:right w:w="67" w:type="dxa"/>
            </w:tcMar>
            <w:vAlign w:val="center"/>
          </w:tcPr>
          <w:p w14:paraId="431F14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1.83</w:t>
            </w:r>
          </w:p>
        </w:tc>
        <w:tc>
          <w:tcPr>
            <w:tcW w:w="567" w:type="dxa"/>
            <w:tcBorders>
              <w:top w:val="nil"/>
              <w:left w:val="nil"/>
              <w:bottom w:val="nil"/>
              <w:right w:val="nil"/>
            </w:tcBorders>
            <w:shd w:val="clear" w:color="auto" w:fill="FFFFFF"/>
            <w:tcMar>
              <w:left w:w="67" w:type="dxa"/>
              <w:right w:w="67" w:type="dxa"/>
            </w:tcMar>
            <w:vAlign w:val="center"/>
          </w:tcPr>
          <w:p w14:paraId="1A6EDA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29CB4B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0.1764</w:t>
            </w:r>
          </w:p>
        </w:tc>
      </w:tr>
      <w:tr w:rsidR="00B77EA3" w:rsidRPr="0082484A" w14:paraId="46FF813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5E1EBF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726C4A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5293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-0.3646</w:t>
            </w:r>
          </w:p>
        </w:tc>
        <w:tc>
          <w:tcPr>
            <w:tcW w:w="1134" w:type="dxa"/>
            <w:tcBorders>
              <w:top w:val="nil"/>
              <w:left w:val="nil"/>
              <w:bottom w:val="nil"/>
              <w:right w:val="nil"/>
            </w:tcBorders>
            <w:shd w:val="clear" w:color="auto" w:fill="FFFFFF"/>
            <w:tcMar>
              <w:left w:w="67" w:type="dxa"/>
              <w:right w:w="67" w:type="dxa"/>
            </w:tcMar>
            <w:vAlign w:val="center"/>
          </w:tcPr>
          <w:p w14:paraId="4BFF0E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0.2391</w:t>
            </w:r>
          </w:p>
        </w:tc>
        <w:tc>
          <w:tcPr>
            <w:tcW w:w="1134" w:type="dxa"/>
            <w:tcBorders>
              <w:top w:val="nil"/>
              <w:left w:val="nil"/>
              <w:bottom w:val="nil"/>
              <w:right w:val="nil"/>
            </w:tcBorders>
            <w:shd w:val="clear" w:color="auto" w:fill="FFFFFF"/>
            <w:tcMar>
              <w:left w:w="67" w:type="dxa"/>
              <w:right w:w="67" w:type="dxa"/>
            </w:tcMar>
            <w:vAlign w:val="center"/>
          </w:tcPr>
          <w:p w14:paraId="12ED6A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0.6945</w:t>
            </w:r>
          </w:p>
        </w:tc>
        <w:tc>
          <w:tcPr>
            <w:tcW w:w="1134" w:type="dxa"/>
            <w:tcBorders>
              <w:top w:val="nil"/>
              <w:left w:val="nil"/>
              <w:bottom w:val="nil"/>
              <w:right w:val="nil"/>
            </w:tcBorders>
            <w:shd w:val="clear" w:color="auto" w:fill="FFFFFF"/>
            <w:tcMar>
              <w:left w:w="67" w:type="dxa"/>
              <w:right w:w="67" w:type="dxa"/>
            </w:tcMar>
            <w:vAlign w:val="center"/>
          </w:tcPr>
          <w:p w14:paraId="392245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0.4062</w:t>
            </w:r>
          </w:p>
        </w:tc>
        <w:tc>
          <w:tcPr>
            <w:tcW w:w="1134" w:type="dxa"/>
            <w:tcBorders>
              <w:top w:val="nil"/>
              <w:left w:val="nil"/>
              <w:bottom w:val="nil"/>
              <w:right w:val="nil"/>
            </w:tcBorders>
            <w:shd w:val="clear" w:color="auto" w:fill="FFFFFF"/>
            <w:tcMar>
              <w:left w:w="67" w:type="dxa"/>
              <w:right w:w="67" w:type="dxa"/>
            </w:tcMar>
            <w:vAlign w:val="center"/>
          </w:tcPr>
          <w:p w14:paraId="72E3DE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1.1874</w:t>
            </w:r>
          </w:p>
        </w:tc>
        <w:tc>
          <w:tcPr>
            <w:tcW w:w="1134" w:type="dxa"/>
            <w:tcBorders>
              <w:top w:val="nil"/>
              <w:left w:val="nil"/>
              <w:bottom w:val="nil"/>
              <w:right w:val="nil"/>
            </w:tcBorders>
            <w:shd w:val="clear" w:color="auto" w:fill="FFFFFF"/>
            <w:tcMar>
              <w:left w:w="67" w:type="dxa"/>
              <w:right w:w="67" w:type="dxa"/>
            </w:tcMar>
            <w:vAlign w:val="center"/>
          </w:tcPr>
          <w:p w14:paraId="2AD2AB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w:t>
            </w:r>
          </w:p>
        </w:tc>
        <w:tc>
          <w:tcPr>
            <w:tcW w:w="567" w:type="dxa"/>
            <w:tcBorders>
              <w:top w:val="nil"/>
              <w:left w:val="nil"/>
              <w:bottom w:val="nil"/>
              <w:right w:val="nil"/>
            </w:tcBorders>
            <w:shd w:val="clear" w:color="auto" w:fill="FFFFFF"/>
            <w:tcMar>
              <w:left w:w="67" w:type="dxa"/>
              <w:right w:w="67" w:type="dxa"/>
            </w:tcMar>
            <w:vAlign w:val="center"/>
          </w:tcPr>
          <w:p w14:paraId="6EF6DF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0FF50C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0.6458</w:t>
            </w:r>
          </w:p>
        </w:tc>
      </w:tr>
      <w:tr w:rsidR="00B77EA3" w:rsidRPr="0082484A" w14:paraId="3EF986D6"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530C6C1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E9AF9F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74ED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-0.0743</w:t>
            </w:r>
          </w:p>
        </w:tc>
        <w:tc>
          <w:tcPr>
            <w:tcW w:w="1134" w:type="dxa"/>
            <w:tcBorders>
              <w:top w:val="nil"/>
              <w:left w:val="nil"/>
              <w:bottom w:val="nil"/>
              <w:right w:val="nil"/>
            </w:tcBorders>
            <w:shd w:val="clear" w:color="auto" w:fill="FFFFFF"/>
            <w:tcMar>
              <w:left w:w="67" w:type="dxa"/>
              <w:right w:w="67" w:type="dxa"/>
            </w:tcMar>
            <w:vAlign w:val="center"/>
          </w:tcPr>
          <w:p w14:paraId="32C051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0.2186</w:t>
            </w:r>
          </w:p>
        </w:tc>
        <w:tc>
          <w:tcPr>
            <w:tcW w:w="1134" w:type="dxa"/>
            <w:tcBorders>
              <w:top w:val="nil"/>
              <w:left w:val="nil"/>
              <w:bottom w:val="nil"/>
              <w:right w:val="nil"/>
            </w:tcBorders>
            <w:shd w:val="clear" w:color="auto" w:fill="FFFFFF"/>
            <w:tcMar>
              <w:left w:w="67" w:type="dxa"/>
              <w:right w:w="67" w:type="dxa"/>
            </w:tcMar>
            <w:vAlign w:val="center"/>
          </w:tcPr>
          <w:p w14:paraId="170953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0.9284</w:t>
            </w:r>
          </w:p>
        </w:tc>
        <w:tc>
          <w:tcPr>
            <w:tcW w:w="1134" w:type="dxa"/>
            <w:tcBorders>
              <w:top w:val="nil"/>
              <w:left w:val="nil"/>
              <w:bottom w:val="nil"/>
              <w:right w:val="nil"/>
            </w:tcBorders>
            <w:shd w:val="clear" w:color="auto" w:fill="FFFFFF"/>
            <w:tcMar>
              <w:left w:w="67" w:type="dxa"/>
              <w:right w:w="67" w:type="dxa"/>
            </w:tcMar>
            <w:vAlign w:val="center"/>
          </w:tcPr>
          <w:p w14:paraId="5BDDDB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0.5685</w:t>
            </w:r>
          </w:p>
        </w:tc>
        <w:tc>
          <w:tcPr>
            <w:tcW w:w="1134" w:type="dxa"/>
            <w:tcBorders>
              <w:top w:val="nil"/>
              <w:left w:val="nil"/>
              <w:bottom w:val="nil"/>
              <w:right w:val="nil"/>
            </w:tcBorders>
            <w:shd w:val="clear" w:color="auto" w:fill="FFFFFF"/>
            <w:tcMar>
              <w:left w:w="67" w:type="dxa"/>
              <w:right w:w="67" w:type="dxa"/>
            </w:tcMar>
            <w:vAlign w:val="center"/>
          </w:tcPr>
          <w:p w14:paraId="692DB6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1.5160</w:t>
            </w:r>
          </w:p>
        </w:tc>
        <w:tc>
          <w:tcPr>
            <w:tcW w:w="1134" w:type="dxa"/>
            <w:tcBorders>
              <w:top w:val="nil"/>
              <w:left w:val="nil"/>
              <w:bottom w:val="nil"/>
              <w:right w:val="nil"/>
            </w:tcBorders>
            <w:shd w:val="clear" w:color="auto" w:fill="FFFFFF"/>
            <w:tcMar>
              <w:left w:w="67" w:type="dxa"/>
              <w:right w:w="67" w:type="dxa"/>
            </w:tcMar>
            <w:vAlign w:val="center"/>
          </w:tcPr>
          <w:p w14:paraId="19CD4FF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481B77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2F67DF9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475F4E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5B6979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8E11E4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F53F8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0.0942</w:t>
            </w:r>
          </w:p>
        </w:tc>
        <w:tc>
          <w:tcPr>
            <w:tcW w:w="1134" w:type="dxa"/>
            <w:tcBorders>
              <w:top w:val="nil"/>
              <w:left w:val="nil"/>
              <w:bottom w:val="nil"/>
              <w:right w:val="nil"/>
            </w:tcBorders>
            <w:shd w:val="clear" w:color="auto" w:fill="FFFFFF"/>
            <w:tcMar>
              <w:left w:w="67" w:type="dxa"/>
              <w:right w:w="67" w:type="dxa"/>
            </w:tcMar>
            <w:vAlign w:val="center"/>
          </w:tcPr>
          <w:p w14:paraId="537D2E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0.2165</w:t>
            </w:r>
          </w:p>
        </w:tc>
        <w:tc>
          <w:tcPr>
            <w:tcW w:w="1134" w:type="dxa"/>
            <w:tcBorders>
              <w:top w:val="nil"/>
              <w:left w:val="nil"/>
              <w:bottom w:val="nil"/>
              <w:right w:val="nil"/>
            </w:tcBorders>
            <w:shd w:val="clear" w:color="auto" w:fill="FFFFFF"/>
            <w:tcMar>
              <w:left w:w="67" w:type="dxa"/>
              <w:right w:w="67" w:type="dxa"/>
            </w:tcMar>
            <w:vAlign w:val="center"/>
          </w:tcPr>
          <w:p w14:paraId="045BED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1.0988</w:t>
            </w:r>
          </w:p>
        </w:tc>
        <w:tc>
          <w:tcPr>
            <w:tcW w:w="1134" w:type="dxa"/>
            <w:tcBorders>
              <w:top w:val="nil"/>
              <w:left w:val="nil"/>
              <w:bottom w:val="nil"/>
              <w:right w:val="nil"/>
            </w:tcBorders>
            <w:shd w:val="clear" w:color="auto" w:fill="FFFFFF"/>
            <w:tcMar>
              <w:left w:w="67" w:type="dxa"/>
              <w:right w:w="67" w:type="dxa"/>
            </w:tcMar>
            <w:vAlign w:val="center"/>
          </w:tcPr>
          <w:p w14:paraId="55B161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0.6760</w:t>
            </w:r>
          </w:p>
        </w:tc>
        <w:tc>
          <w:tcPr>
            <w:tcW w:w="1134" w:type="dxa"/>
            <w:tcBorders>
              <w:top w:val="nil"/>
              <w:left w:val="nil"/>
              <w:bottom w:val="nil"/>
              <w:right w:val="nil"/>
            </w:tcBorders>
            <w:shd w:val="clear" w:color="auto" w:fill="FFFFFF"/>
            <w:tcMar>
              <w:left w:w="67" w:type="dxa"/>
              <w:right w:w="67" w:type="dxa"/>
            </w:tcMar>
            <w:vAlign w:val="center"/>
          </w:tcPr>
          <w:p w14:paraId="10F03D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1.7859</w:t>
            </w:r>
          </w:p>
        </w:tc>
        <w:tc>
          <w:tcPr>
            <w:tcW w:w="1134" w:type="dxa"/>
            <w:tcBorders>
              <w:top w:val="nil"/>
              <w:left w:val="nil"/>
              <w:bottom w:val="nil"/>
              <w:right w:val="nil"/>
            </w:tcBorders>
            <w:shd w:val="clear" w:color="auto" w:fill="FFFFFF"/>
            <w:tcMar>
              <w:left w:w="67" w:type="dxa"/>
              <w:right w:w="67" w:type="dxa"/>
            </w:tcMar>
            <w:vAlign w:val="center"/>
          </w:tcPr>
          <w:p w14:paraId="6B74D4E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C18ADF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59D67C9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2940F74"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0C40680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E2C96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05542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-0.0592</w:t>
            </w:r>
          </w:p>
        </w:tc>
        <w:tc>
          <w:tcPr>
            <w:tcW w:w="1134" w:type="dxa"/>
            <w:tcBorders>
              <w:top w:val="nil"/>
              <w:left w:val="nil"/>
              <w:bottom w:val="nil"/>
              <w:right w:val="nil"/>
            </w:tcBorders>
            <w:shd w:val="clear" w:color="auto" w:fill="FFFFFF"/>
            <w:tcMar>
              <w:left w:w="67" w:type="dxa"/>
              <w:right w:w="67" w:type="dxa"/>
            </w:tcMar>
            <w:vAlign w:val="center"/>
          </w:tcPr>
          <w:p w14:paraId="01E4BF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0.2449</w:t>
            </w:r>
          </w:p>
        </w:tc>
        <w:tc>
          <w:tcPr>
            <w:tcW w:w="1134" w:type="dxa"/>
            <w:tcBorders>
              <w:top w:val="nil"/>
              <w:left w:val="nil"/>
              <w:bottom w:val="nil"/>
              <w:right w:val="nil"/>
            </w:tcBorders>
            <w:shd w:val="clear" w:color="auto" w:fill="FFFFFF"/>
            <w:tcMar>
              <w:left w:w="67" w:type="dxa"/>
              <w:right w:w="67" w:type="dxa"/>
            </w:tcMar>
            <w:vAlign w:val="center"/>
          </w:tcPr>
          <w:p w14:paraId="3FA4C7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0.9425</w:t>
            </w:r>
          </w:p>
        </w:tc>
        <w:tc>
          <w:tcPr>
            <w:tcW w:w="1134" w:type="dxa"/>
            <w:tcBorders>
              <w:top w:val="nil"/>
              <w:left w:val="nil"/>
              <w:bottom w:val="nil"/>
              <w:right w:val="nil"/>
            </w:tcBorders>
            <w:shd w:val="clear" w:color="auto" w:fill="FFFFFF"/>
            <w:tcMar>
              <w:left w:w="67" w:type="dxa"/>
              <w:right w:w="67" w:type="dxa"/>
            </w:tcMar>
            <w:vAlign w:val="center"/>
          </w:tcPr>
          <w:p w14:paraId="2F9423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0.5441</w:t>
            </w:r>
          </w:p>
        </w:tc>
        <w:tc>
          <w:tcPr>
            <w:tcW w:w="1134" w:type="dxa"/>
            <w:tcBorders>
              <w:top w:val="nil"/>
              <w:left w:val="nil"/>
              <w:bottom w:val="nil"/>
              <w:right w:val="nil"/>
            </w:tcBorders>
            <w:shd w:val="clear" w:color="auto" w:fill="FFFFFF"/>
            <w:tcMar>
              <w:left w:w="67" w:type="dxa"/>
              <w:right w:w="67" w:type="dxa"/>
            </w:tcMar>
            <w:vAlign w:val="center"/>
          </w:tcPr>
          <w:p w14:paraId="6111C2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1.6326</w:t>
            </w:r>
          </w:p>
        </w:tc>
        <w:tc>
          <w:tcPr>
            <w:tcW w:w="1134" w:type="dxa"/>
            <w:tcBorders>
              <w:top w:val="nil"/>
              <w:left w:val="nil"/>
              <w:bottom w:val="nil"/>
              <w:right w:val="nil"/>
            </w:tcBorders>
            <w:shd w:val="clear" w:color="auto" w:fill="FFFFFF"/>
            <w:tcMar>
              <w:left w:w="67" w:type="dxa"/>
              <w:right w:w="67" w:type="dxa"/>
            </w:tcMar>
            <w:vAlign w:val="center"/>
          </w:tcPr>
          <w:p w14:paraId="0165501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BE70E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72FD182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84A3D7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3521CCC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CBAB17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136BF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-0.1026</w:t>
            </w:r>
          </w:p>
        </w:tc>
        <w:tc>
          <w:tcPr>
            <w:tcW w:w="1134" w:type="dxa"/>
            <w:tcBorders>
              <w:top w:val="nil"/>
              <w:left w:val="nil"/>
              <w:bottom w:val="nil"/>
              <w:right w:val="nil"/>
            </w:tcBorders>
            <w:shd w:val="clear" w:color="auto" w:fill="FFFFFF"/>
            <w:tcMar>
              <w:left w:w="67" w:type="dxa"/>
              <w:right w:w="67" w:type="dxa"/>
            </w:tcMar>
            <w:vAlign w:val="center"/>
          </w:tcPr>
          <w:p w14:paraId="3C55D9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0.2449</w:t>
            </w:r>
          </w:p>
        </w:tc>
        <w:tc>
          <w:tcPr>
            <w:tcW w:w="1134" w:type="dxa"/>
            <w:tcBorders>
              <w:top w:val="nil"/>
              <w:left w:val="nil"/>
              <w:bottom w:val="nil"/>
              <w:right w:val="nil"/>
            </w:tcBorders>
            <w:shd w:val="clear" w:color="auto" w:fill="FFFFFF"/>
            <w:tcMar>
              <w:left w:w="67" w:type="dxa"/>
              <w:right w:w="67" w:type="dxa"/>
            </w:tcMar>
            <w:vAlign w:val="center"/>
          </w:tcPr>
          <w:p w14:paraId="44764B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0.9024</w:t>
            </w:r>
          </w:p>
        </w:tc>
        <w:tc>
          <w:tcPr>
            <w:tcW w:w="1134" w:type="dxa"/>
            <w:tcBorders>
              <w:top w:val="nil"/>
              <w:left w:val="nil"/>
              <w:bottom w:val="nil"/>
              <w:right w:val="nil"/>
            </w:tcBorders>
            <w:shd w:val="clear" w:color="auto" w:fill="FFFFFF"/>
            <w:tcMar>
              <w:left w:w="67" w:type="dxa"/>
              <w:right w:w="67" w:type="dxa"/>
            </w:tcMar>
            <w:vAlign w:val="center"/>
          </w:tcPr>
          <w:p w14:paraId="094223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0.5211</w:t>
            </w:r>
          </w:p>
        </w:tc>
        <w:tc>
          <w:tcPr>
            <w:tcW w:w="1134" w:type="dxa"/>
            <w:tcBorders>
              <w:top w:val="nil"/>
              <w:left w:val="nil"/>
              <w:bottom w:val="nil"/>
              <w:right w:val="nil"/>
            </w:tcBorders>
            <w:shd w:val="clear" w:color="auto" w:fill="FFFFFF"/>
            <w:tcMar>
              <w:left w:w="67" w:type="dxa"/>
              <w:right w:w="67" w:type="dxa"/>
            </w:tcMar>
            <w:vAlign w:val="center"/>
          </w:tcPr>
          <w:p w14:paraId="49590F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1.5630</w:t>
            </w:r>
          </w:p>
        </w:tc>
        <w:tc>
          <w:tcPr>
            <w:tcW w:w="1134" w:type="dxa"/>
            <w:tcBorders>
              <w:top w:val="nil"/>
              <w:left w:val="nil"/>
              <w:bottom w:val="nil"/>
              <w:right w:val="nil"/>
            </w:tcBorders>
            <w:shd w:val="clear" w:color="auto" w:fill="FFFFFF"/>
            <w:tcMar>
              <w:left w:w="67" w:type="dxa"/>
              <w:right w:w="67" w:type="dxa"/>
            </w:tcMar>
            <w:vAlign w:val="center"/>
          </w:tcPr>
          <w:p w14:paraId="78A6948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99D88B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1B93986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2608FC2"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232427B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D136CA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D3BCA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-0.1422</w:t>
            </w:r>
          </w:p>
        </w:tc>
        <w:tc>
          <w:tcPr>
            <w:tcW w:w="1134" w:type="dxa"/>
            <w:tcBorders>
              <w:top w:val="nil"/>
              <w:left w:val="nil"/>
              <w:bottom w:val="nil"/>
              <w:right w:val="nil"/>
            </w:tcBorders>
            <w:shd w:val="clear" w:color="auto" w:fill="FFFFFF"/>
            <w:tcMar>
              <w:left w:w="67" w:type="dxa"/>
              <w:right w:w="67" w:type="dxa"/>
            </w:tcMar>
            <w:vAlign w:val="center"/>
          </w:tcPr>
          <w:p w14:paraId="69D006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0.2117</w:t>
            </w:r>
          </w:p>
        </w:tc>
        <w:tc>
          <w:tcPr>
            <w:tcW w:w="1134" w:type="dxa"/>
            <w:tcBorders>
              <w:top w:val="nil"/>
              <w:left w:val="nil"/>
              <w:bottom w:val="nil"/>
              <w:right w:val="nil"/>
            </w:tcBorders>
            <w:shd w:val="clear" w:color="auto" w:fill="FFFFFF"/>
            <w:tcMar>
              <w:left w:w="67" w:type="dxa"/>
              <w:right w:w="67" w:type="dxa"/>
            </w:tcMar>
            <w:vAlign w:val="center"/>
          </w:tcPr>
          <w:p w14:paraId="6C9B90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0.8675</w:t>
            </w:r>
          </w:p>
        </w:tc>
        <w:tc>
          <w:tcPr>
            <w:tcW w:w="1134" w:type="dxa"/>
            <w:tcBorders>
              <w:top w:val="nil"/>
              <w:left w:val="nil"/>
              <w:bottom w:val="nil"/>
              <w:right w:val="nil"/>
            </w:tcBorders>
            <w:shd w:val="clear" w:color="auto" w:fill="FFFFFF"/>
            <w:tcMar>
              <w:left w:w="67" w:type="dxa"/>
              <w:right w:w="67" w:type="dxa"/>
            </w:tcMar>
            <w:vAlign w:val="center"/>
          </w:tcPr>
          <w:p w14:paraId="270DFB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0.5396</w:t>
            </w:r>
          </w:p>
        </w:tc>
        <w:tc>
          <w:tcPr>
            <w:tcW w:w="1134" w:type="dxa"/>
            <w:tcBorders>
              <w:top w:val="nil"/>
              <w:left w:val="nil"/>
              <w:bottom w:val="nil"/>
              <w:right w:val="nil"/>
            </w:tcBorders>
            <w:shd w:val="clear" w:color="auto" w:fill="FFFFFF"/>
            <w:tcMar>
              <w:left w:w="67" w:type="dxa"/>
              <w:right w:w="67" w:type="dxa"/>
            </w:tcMar>
            <w:vAlign w:val="center"/>
          </w:tcPr>
          <w:p w14:paraId="5E85D6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1.3946</w:t>
            </w:r>
          </w:p>
        </w:tc>
        <w:tc>
          <w:tcPr>
            <w:tcW w:w="1134" w:type="dxa"/>
            <w:tcBorders>
              <w:top w:val="nil"/>
              <w:left w:val="nil"/>
              <w:bottom w:val="nil"/>
              <w:right w:val="nil"/>
            </w:tcBorders>
            <w:shd w:val="clear" w:color="auto" w:fill="FFFFFF"/>
            <w:tcMar>
              <w:left w:w="67" w:type="dxa"/>
              <w:right w:w="67" w:type="dxa"/>
            </w:tcMar>
            <w:vAlign w:val="center"/>
          </w:tcPr>
          <w:p w14:paraId="4F7F5FE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48EC7A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548E4E5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AA94083"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D78071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B5539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75414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-0.1139</w:t>
            </w:r>
          </w:p>
        </w:tc>
        <w:tc>
          <w:tcPr>
            <w:tcW w:w="1134" w:type="dxa"/>
            <w:tcBorders>
              <w:top w:val="nil"/>
              <w:left w:val="nil"/>
              <w:bottom w:val="nil"/>
              <w:right w:val="nil"/>
            </w:tcBorders>
            <w:shd w:val="clear" w:color="auto" w:fill="FFFFFF"/>
            <w:tcMar>
              <w:left w:w="67" w:type="dxa"/>
              <w:right w:w="67" w:type="dxa"/>
            </w:tcMar>
            <w:vAlign w:val="center"/>
          </w:tcPr>
          <w:p w14:paraId="7F98EF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0.2098</w:t>
            </w:r>
          </w:p>
        </w:tc>
        <w:tc>
          <w:tcPr>
            <w:tcW w:w="1134" w:type="dxa"/>
            <w:tcBorders>
              <w:top w:val="nil"/>
              <w:left w:val="nil"/>
              <w:bottom w:val="nil"/>
              <w:right w:val="nil"/>
            </w:tcBorders>
            <w:shd w:val="clear" w:color="auto" w:fill="FFFFFF"/>
            <w:tcMar>
              <w:left w:w="67" w:type="dxa"/>
              <w:right w:w="67" w:type="dxa"/>
            </w:tcMar>
            <w:vAlign w:val="center"/>
          </w:tcPr>
          <w:p w14:paraId="292905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0.8923</w:t>
            </w:r>
          </w:p>
        </w:tc>
        <w:tc>
          <w:tcPr>
            <w:tcW w:w="1134" w:type="dxa"/>
            <w:tcBorders>
              <w:top w:val="nil"/>
              <w:left w:val="nil"/>
              <w:bottom w:val="nil"/>
              <w:right w:val="nil"/>
            </w:tcBorders>
            <w:shd w:val="clear" w:color="auto" w:fill="FFFFFF"/>
            <w:tcMar>
              <w:left w:w="67" w:type="dxa"/>
              <w:right w:w="67" w:type="dxa"/>
            </w:tcMar>
            <w:vAlign w:val="center"/>
          </w:tcPr>
          <w:p w14:paraId="25C5C1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0.5573</w:t>
            </w:r>
          </w:p>
        </w:tc>
        <w:tc>
          <w:tcPr>
            <w:tcW w:w="1134" w:type="dxa"/>
            <w:tcBorders>
              <w:top w:val="nil"/>
              <w:left w:val="nil"/>
              <w:bottom w:val="nil"/>
              <w:right w:val="nil"/>
            </w:tcBorders>
            <w:shd w:val="clear" w:color="auto" w:fill="FFFFFF"/>
            <w:tcMar>
              <w:left w:w="67" w:type="dxa"/>
              <w:right w:w="67" w:type="dxa"/>
            </w:tcMar>
            <w:vAlign w:val="center"/>
          </w:tcPr>
          <w:p w14:paraId="2EA19F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1.4287</w:t>
            </w:r>
          </w:p>
        </w:tc>
        <w:tc>
          <w:tcPr>
            <w:tcW w:w="1134" w:type="dxa"/>
            <w:tcBorders>
              <w:top w:val="nil"/>
              <w:left w:val="nil"/>
              <w:bottom w:val="nil"/>
              <w:right w:val="nil"/>
            </w:tcBorders>
            <w:shd w:val="clear" w:color="auto" w:fill="FFFFFF"/>
            <w:tcMar>
              <w:left w:w="67" w:type="dxa"/>
              <w:right w:w="67" w:type="dxa"/>
            </w:tcMar>
            <w:vAlign w:val="center"/>
          </w:tcPr>
          <w:p w14:paraId="096BB23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3A1A6E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B8BBB9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9BC6147"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A1CD0B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E7F97E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FF365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0.1397</w:t>
            </w:r>
          </w:p>
        </w:tc>
        <w:tc>
          <w:tcPr>
            <w:tcW w:w="1134" w:type="dxa"/>
            <w:tcBorders>
              <w:top w:val="nil"/>
              <w:left w:val="nil"/>
              <w:bottom w:val="nil"/>
              <w:right w:val="nil"/>
            </w:tcBorders>
            <w:shd w:val="clear" w:color="auto" w:fill="FFFFFF"/>
            <w:tcMar>
              <w:left w:w="67" w:type="dxa"/>
              <w:right w:w="67" w:type="dxa"/>
            </w:tcMar>
            <w:vAlign w:val="center"/>
          </w:tcPr>
          <w:p w14:paraId="77838E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0.1924</w:t>
            </w:r>
          </w:p>
        </w:tc>
        <w:tc>
          <w:tcPr>
            <w:tcW w:w="1134" w:type="dxa"/>
            <w:tcBorders>
              <w:top w:val="nil"/>
              <w:left w:val="nil"/>
              <w:bottom w:val="nil"/>
              <w:right w:val="nil"/>
            </w:tcBorders>
            <w:shd w:val="clear" w:color="auto" w:fill="FFFFFF"/>
            <w:tcMar>
              <w:left w:w="67" w:type="dxa"/>
              <w:right w:w="67" w:type="dxa"/>
            </w:tcMar>
            <w:vAlign w:val="center"/>
          </w:tcPr>
          <w:p w14:paraId="0CEE56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1.1499</w:t>
            </w:r>
          </w:p>
        </w:tc>
        <w:tc>
          <w:tcPr>
            <w:tcW w:w="1134" w:type="dxa"/>
            <w:tcBorders>
              <w:top w:val="nil"/>
              <w:left w:val="nil"/>
              <w:bottom w:val="nil"/>
              <w:right w:val="nil"/>
            </w:tcBorders>
            <w:shd w:val="clear" w:color="auto" w:fill="FFFFFF"/>
            <w:tcMar>
              <w:left w:w="67" w:type="dxa"/>
              <w:right w:w="67" w:type="dxa"/>
            </w:tcMar>
            <w:vAlign w:val="center"/>
          </w:tcPr>
          <w:p w14:paraId="2E691B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0.7469</w:t>
            </w:r>
          </w:p>
        </w:tc>
        <w:tc>
          <w:tcPr>
            <w:tcW w:w="1134" w:type="dxa"/>
            <w:tcBorders>
              <w:top w:val="nil"/>
              <w:left w:val="nil"/>
              <w:bottom w:val="nil"/>
              <w:right w:val="nil"/>
            </w:tcBorders>
            <w:shd w:val="clear" w:color="auto" w:fill="FFFFFF"/>
            <w:tcMar>
              <w:left w:w="67" w:type="dxa"/>
              <w:right w:w="67" w:type="dxa"/>
            </w:tcMar>
            <w:vAlign w:val="center"/>
          </w:tcPr>
          <w:p w14:paraId="115A70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1.7705</w:t>
            </w:r>
          </w:p>
        </w:tc>
        <w:tc>
          <w:tcPr>
            <w:tcW w:w="1134" w:type="dxa"/>
            <w:tcBorders>
              <w:top w:val="nil"/>
              <w:left w:val="nil"/>
              <w:bottom w:val="nil"/>
              <w:right w:val="nil"/>
            </w:tcBorders>
            <w:shd w:val="clear" w:color="auto" w:fill="FFFFFF"/>
            <w:tcMar>
              <w:left w:w="67" w:type="dxa"/>
              <w:right w:w="67" w:type="dxa"/>
            </w:tcMar>
            <w:vAlign w:val="center"/>
          </w:tcPr>
          <w:p w14:paraId="5599454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40433B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left w:w="67" w:type="dxa"/>
              <w:right w:w="67" w:type="dxa"/>
            </w:tcMar>
            <w:vAlign w:val="center"/>
          </w:tcPr>
          <w:p w14:paraId="6040319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9331E99"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6AECA354"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1342B2B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0D00C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-0.0028</w:t>
            </w:r>
          </w:p>
        </w:tc>
        <w:tc>
          <w:tcPr>
            <w:tcW w:w="1134" w:type="dxa"/>
            <w:tcBorders>
              <w:top w:val="nil"/>
              <w:left w:val="nil"/>
              <w:bottom w:val="nil"/>
              <w:right w:val="nil"/>
            </w:tcBorders>
            <w:shd w:val="clear" w:color="auto" w:fill="FFFFFF"/>
            <w:tcMar>
              <w:left w:w="67" w:type="dxa"/>
              <w:right w:w="67" w:type="dxa"/>
            </w:tcMar>
            <w:vAlign w:val="center"/>
          </w:tcPr>
          <w:p w14:paraId="486EE1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0.0073</w:t>
            </w:r>
          </w:p>
        </w:tc>
        <w:tc>
          <w:tcPr>
            <w:tcW w:w="1134" w:type="dxa"/>
            <w:tcBorders>
              <w:top w:val="nil"/>
              <w:left w:val="nil"/>
              <w:bottom w:val="nil"/>
              <w:right w:val="nil"/>
            </w:tcBorders>
            <w:shd w:val="clear" w:color="auto" w:fill="FFFFFF"/>
            <w:tcMar>
              <w:left w:w="67" w:type="dxa"/>
              <w:right w:w="67" w:type="dxa"/>
            </w:tcMar>
            <w:vAlign w:val="center"/>
          </w:tcPr>
          <w:p w14:paraId="60D0A1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0.9972</w:t>
            </w:r>
          </w:p>
        </w:tc>
        <w:tc>
          <w:tcPr>
            <w:tcW w:w="1134" w:type="dxa"/>
            <w:tcBorders>
              <w:top w:val="nil"/>
              <w:left w:val="nil"/>
              <w:bottom w:val="nil"/>
              <w:right w:val="nil"/>
            </w:tcBorders>
            <w:shd w:val="clear" w:color="auto" w:fill="FFFFFF"/>
            <w:tcMar>
              <w:left w:w="67" w:type="dxa"/>
              <w:right w:w="67" w:type="dxa"/>
            </w:tcMar>
            <w:vAlign w:val="center"/>
          </w:tcPr>
          <w:p w14:paraId="3EC0C8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0.9811</w:t>
            </w:r>
          </w:p>
        </w:tc>
        <w:tc>
          <w:tcPr>
            <w:tcW w:w="1134" w:type="dxa"/>
            <w:tcBorders>
              <w:top w:val="nil"/>
              <w:left w:val="nil"/>
              <w:bottom w:val="nil"/>
              <w:right w:val="nil"/>
            </w:tcBorders>
            <w:shd w:val="clear" w:color="auto" w:fill="FFFFFF"/>
            <w:tcMar>
              <w:left w:w="67" w:type="dxa"/>
              <w:right w:w="67" w:type="dxa"/>
            </w:tcMar>
            <w:vAlign w:val="center"/>
          </w:tcPr>
          <w:p w14:paraId="04E215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1.0137</w:t>
            </w:r>
          </w:p>
        </w:tc>
        <w:tc>
          <w:tcPr>
            <w:tcW w:w="1134" w:type="dxa"/>
            <w:tcBorders>
              <w:top w:val="nil"/>
              <w:left w:val="nil"/>
              <w:bottom w:val="nil"/>
              <w:right w:val="nil"/>
            </w:tcBorders>
            <w:shd w:val="clear" w:color="auto" w:fill="FFFFFF"/>
            <w:tcMar>
              <w:left w:w="67" w:type="dxa"/>
              <w:right w:w="67" w:type="dxa"/>
            </w:tcMar>
            <w:vAlign w:val="center"/>
          </w:tcPr>
          <w:p w14:paraId="7063F3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w:t>
            </w:r>
          </w:p>
        </w:tc>
        <w:tc>
          <w:tcPr>
            <w:tcW w:w="567" w:type="dxa"/>
            <w:tcBorders>
              <w:top w:val="nil"/>
              <w:left w:val="nil"/>
              <w:bottom w:val="nil"/>
              <w:right w:val="nil"/>
            </w:tcBorders>
            <w:shd w:val="clear" w:color="auto" w:fill="FFFFFF"/>
            <w:tcMar>
              <w:left w:w="67" w:type="dxa"/>
              <w:right w:w="67" w:type="dxa"/>
            </w:tcMar>
            <w:vAlign w:val="center"/>
          </w:tcPr>
          <w:p w14:paraId="458C58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3426A2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0.7044</w:t>
            </w:r>
          </w:p>
        </w:tc>
      </w:tr>
      <w:tr w:rsidR="00B77EA3" w:rsidRPr="0082484A" w14:paraId="2F2D391E"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4929A0FC"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5D11AF5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A81C8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0.0092</w:t>
            </w:r>
          </w:p>
        </w:tc>
        <w:tc>
          <w:tcPr>
            <w:tcW w:w="1134" w:type="dxa"/>
            <w:tcBorders>
              <w:top w:val="nil"/>
              <w:left w:val="nil"/>
              <w:bottom w:val="nil"/>
              <w:right w:val="nil"/>
            </w:tcBorders>
            <w:shd w:val="clear" w:color="auto" w:fill="FFFFFF"/>
            <w:tcMar>
              <w:left w:w="67" w:type="dxa"/>
              <w:right w:w="67" w:type="dxa"/>
            </w:tcMar>
            <w:vAlign w:val="center"/>
          </w:tcPr>
          <w:p w14:paraId="3001FD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0.0096</w:t>
            </w:r>
          </w:p>
        </w:tc>
        <w:tc>
          <w:tcPr>
            <w:tcW w:w="1134" w:type="dxa"/>
            <w:tcBorders>
              <w:top w:val="nil"/>
              <w:left w:val="nil"/>
              <w:bottom w:val="nil"/>
              <w:right w:val="nil"/>
            </w:tcBorders>
            <w:shd w:val="clear" w:color="auto" w:fill="FFFFFF"/>
            <w:tcMar>
              <w:left w:w="67" w:type="dxa"/>
              <w:right w:w="67" w:type="dxa"/>
            </w:tcMar>
            <w:vAlign w:val="center"/>
          </w:tcPr>
          <w:p w14:paraId="5755B0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1.0093</w:t>
            </w:r>
          </w:p>
        </w:tc>
        <w:tc>
          <w:tcPr>
            <w:tcW w:w="1134" w:type="dxa"/>
            <w:tcBorders>
              <w:top w:val="nil"/>
              <w:left w:val="nil"/>
              <w:bottom w:val="nil"/>
              <w:right w:val="nil"/>
            </w:tcBorders>
            <w:shd w:val="clear" w:color="auto" w:fill="FFFFFF"/>
            <w:tcMar>
              <w:left w:w="67" w:type="dxa"/>
              <w:right w:w="67" w:type="dxa"/>
            </w:tcMar>
            <w:vAlign w:val="center"/>
          </w:tcPr>
          <w:p w14:paraId="0D656F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0.9877</w:t>
            </w:r>
          </w:p>
        </w:tc>
        <w:tc>
          <w:tcPr>
            <w:tcW w:w="1134" w:type="dxa"/>
            <w:tcBorders>
              <w:top w:val="nil"/>
              <w:left w:val="nil"/>
              <w:bottom w:val="nil"/>
              <w:right w:val="nil"/>
            </w:tcBorders>
            <w:shd w:val="clear" w:color="auto" w:fill="FFFFFF"/>
            <w:tcMar>
              <w:left w:w="67" w:type="dxa"/>
              <w:right w:w="67" w:type="dxa"/>
            </w:tcMar>
            <w:vAlign w:val="center"/>
          </w:tcPr>
          <w:p w14:paraId="07741E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1.0313</w:t>
            </w:r>
          </w:p>
        </w:tc>
        <w:tc>
          <w:tcPr>
            <w:tcW w:w="1134" w:type="dxa"/>
            <w:tcBorders>
              <w:top w:val="nil"/>
              <w:left w:val="nil"/>
              <w:bottom w:val="nil"/>
              <w:right w:val="nil"/>
            </w:tcBorders>
            <w:shd w:val="clear" w:color="auto" w:fill="FFFFFF"/>
            <w:tcMar>
              <w:left w:w="67" w:type="dxa"/>
              <w:right w:w="67" w:type="dxa"/>
            </w:tcMar>
            <w:vAlign w:val="center"/>
          </w:tcPr>
          <w:p w14:paraId="0CB59A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w:t>
            </w:r>
          </w:p>
        </w:tc>
        <w:tc>
          <w:tcPr>
            <w:tcW w:w="567" w:type="dxa"/>
            <w:tcBorders>
              <w:top w:val="nil"/>
              <w:left w:val="nil"/>
              <w:bottom w:val="nil"/>
              <w:right w:val="nil"/>
            </w:tcBorders>
            <w:shd w:val="clear" w:color="auto" w:fill="FFFFFF"/>
            <w:tcMar>
              <w:left w:w="67" w:type="dxa"/>
              <w:right w:w="67" w:type="dxa"/>
            </w:tcMar>
            <w:vAlign w:val="center"/>
          </w:tcPr>
          <w:p w14:paraId="2DE2F2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768D8B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0.3381</w:t>
            </w:r>
          </w:p>
        </w:tc>
      </w:tr>
      <w:tr w:rsidR="00B77EA3" w:rsidRPr="0082484A" w14:paraId="04A05A61" w14:textId="77777777" w:rsidTr="00B77EA3">
        <w:trPr>
          <w:cantSplit/>
          <w:jc w:val="center"/>
        </w:trPr>
        <w:tc>
          <w:tcPr>
            <w:tcW w:w="3118" w:type="dxa"/>
            <w:tcBorders>
              <w:top w:val="nil"/>
              <w:left w:val="single" w:sz="4" w:space="0" w:color="auto"/>
              <w:bottom w:val="nil"/>
              <w:right w:val="nil"/>
            </w:tcBorders>
            <w:shd w:val="clear" w:color="auto" w:fill="FFFFFF"/>
            <w:tcMar>
              <w:left w:w="67" w:type="dxa"/>
              <w:right w:w="67" w:type="dxa"/>
            </w:tcMar>
            <w:vAlign w:val="center"/>
          </w:tcPr>
          <w:p w14:paraId="74F4ED5E"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7343153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F912E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2FB790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302FD5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1.0006</w:t>
            </w:r>
          </w:p>
        </w:tc>
        <w:tc>
          <w:tcPr>
            <w:tcW w:w="1134" w:type="dxa"/>
            <w:tcBorders>
              <w:top w:val="nil"/>
              <w:left w:val="nil"/>
              <w:bottom w:val="nil"/>
              <w:right w:val="nil"/>
            </w:tcBorders>
            <w:shd w:val="clear" w:color="auto" w:fill="FFFFFF"/>
            <w:tcMar>
              <w:left w:w="67" w:type="dxa"/>
              <w:right w:w="67" w:type="dxa"/>
            </w:tcMar>
            <w:vAlign w:val="center"/>
          </w:tcPr>
          <w:p w14:paraId="36177B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0.9940</w:t>
            </w:r>
          </w:p>
        </w:tc>
        <w:tc>
          <w:tcPr>
            <w:tcW w:w="1134" w:type="dxa"/>
            <w:tcBorders>
              <w:top w:val="nil"/>
              <w:left w:val="nil"/>
              <w:bottom w:val="nil"/>
              <w:right w:val="nil"/>
            </w:tcBorders>
            <w:shd w:val="clear" w:color="auto" w:fill="FFFFFF"/>
            <w:tcMar>
              <w:left w:w="67" w:type="dxa"/>
              <w:right w:w="67" w:type="dxa"/>
            </w:tcMar>
            <w:vAlign w:val="center"/>
          </w:tcPr>
          <w:p w14:paraId="3DEC15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1.0073</w:t>
            </w:r>
          </w:p>
        </w:tc>
        <w:tc>
          <w:tcPr>
            <w:tcW w:w="1134" w:type="dxa"/>
            <w:tcBorders>
              <w:top w:val="nil"/>
              <w:left w:val="nil"/>
              <w:bottom w:val="nil"/>
              <w:right w:val="nil"/>
            </w:tcBorders>
            <w:shd w:val="clear" w:color="auto" w:fill="FFFFFF"/>
            <w:tcMar>
              <w:left w:w="67" w:type="dxa"/>
              <w:right w:w="67" w:type="dxa"/>
            </w:tcMar>
            <w:vAlign w:val="center"/>
          </w:tcPr>
          <w:p w14:paraId="250D7F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w:t>
            </w:r>
          </w:p>
        </w:tc>
        <w:tc>
          <w:tcPr>
            <w:tcW w:w="567" w:type="dxa"/>
            <w:tcBorders>
              <w:top w:val="nil"/>
              <w:left w:val="nil"/>
              <w:bottom w:val="nil"/>
              <w:right w:val="nil"/>
            </w:tcBorders>
            <w:shd w:val="clear" w:color="auto" w:fill="FFFFFF"/>
            <w:tcMar>
              <w:left w:w="67" w:type="dxa"/>
              <w:right w:w="67" w:type="dxa"/>
            </w:tcMar>
            <w:vAlign w:val="center"/>
          </w:tcPr>
          <w:p w14:paraId="11E1B2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left w:w="67" w:type="dxa"/>
              <w:right w:w="67" w:type="dxa"/>
            </w:tcMar>
            <w:vAlign w:val="center"/>
          </w:tcPr>
          <w:p w14:paraId="1A7E91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0.8281</w:t>
            </w:r>
          </w:p>
        </w:tc>
      </w:tr>
      <w:tr w:rsidR="00B77EA3" w:rsidRPr="0082484A" w14:paraId="58E53899" w14:textId="77777777" w:rsidTr="00B77EA3">
        <w:trPr>
          <w:cantSplit/>
          <w:jc w:val="center"/>
        </w:trPr>
        <w:tc>
          <w:tcPr>
            <w:tcW w:w="3118" w:type="dxa"/>
            <w:tcBorders>
              <w:top w:val="nil"/>
              <w:left w:val="single" w:sz="4" w:space="0" w:color="auto"/>
              <w:bottom w:val="single" w:sz="4" w:space="0" w:color="auto"/>
              <w:right w:val="nil"/>
            </w:tcBorders>
            <w:shd w:val="clear" w:color="auto" w:fill="FFFFFF"/>
            <w:tcMar>
              <w:left w:w="67" w:type="dxa"/>
              <w:right w:w="67" w:type="dxa"/>
            </w:tcMar>
            <w:vAlign w:val="center"/>
          </w:tcPr>
          <w:p w14:paraId="16B7F948"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left w:w="67" w:type="dxa"/>
              <w:right w:w="67" w:type="dxa"/>
            </w:tcMar>
            <w:vAlign w:val="center"/>
          </w:tcPr>
          <w:p w14:paraId="2AE301E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4" w:space="0" w:color="auto"/>
              <w:right w:val="nil"/>
            </w:tcBorders>
            <w:shd w:val="clear" w:color="auto" w:fill="FFFFFF"/>
            <w:tcMar>
              <w:left w:w="67" w:type="dxa"/>
              <w:right w:w="67" w:type="dxa"/>
            </w:tcMar>
            <w:vAlign w:val="center"/>
          </w:tcPr>
          <w:p w14:paraId="61CD68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202109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0.0776</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2E8072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0.8829</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10A732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0.7418</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793EDD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1.0507</w:t>
            </w:r>
          </w:p>
        </w:tc>
        <w:tc>
          <w:tcPr>
            <w:tcW w:w="1134" w:type="dxa"/>
            <w:tcBorders>
              <w:top w:val="nil"/>
              <w:left w:val="nil"/>
              <w:bottom w:val="single" w:sz="4" w:space="0" w:color="auto"/>
              <w:right w:val="nil"/>
            </w:tcBorders>
            <w:shd w:val="clear" w:color="auto" w:fill="FFFFFF"/>
            <w:tcMar>
              <w:left w:w="67" w:type="dxa"/>
              <w:right w:w="67" w:type="dxa"/>
            </w:tcMar>
            <w:vAlign w:val="center"/>
          </w:tcPr>
          <w:p w14:paraId="7BD379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2.58</w:t>
            </w:r>
          </w:p>
        </w:tc>
        <w:tc>
          <w:tcPr>
            <w:tcW w:w="567" w:type="dxa"/>
            <w:tcBorders>
              <w:top w:val="nil"/>
              <w:left w:val="nil"/>
              <w:bottom w:val="single" w:sz="4" w:space="0" w:color="auto"/>
              <w:right w:val="nil"/>
            </w:tcBorders>
            <w:shd w:val="clear" w:color="auto" w:fill="FFFFFF"/>
            <w:tcMar>
              <w:left w:w="67" w:type="dxa"/>
              <w:right w:w="67" w:type="dxa"/>
            </w:tcMar>
            <w:vAlign w:val="center"/>
          </w:tcPr>
          <w:p w14:paraId="7AEBDF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left w:w="67" w:type="dxa"/>
              <w:right w:w="67" w:type="dxa"/>
            </w:tcMar>
            <w:vAlign w:val="center"/>
          </w:tcPr>
          <w:p w14:paraId="45DA0B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0.1085</w:t>
            </w:r>
          </w:p>
        </w:tc>
      </w:tr>
    </w:tbl>
    <w:p w14:paraId="6CB91C7F" w14:textId="77777777" w:rsidR="00B77EA3" w:rsidRPr="0082484A" w:rsidRDefault="00B77EA3" w:rsidP="00B77EA3">
      <w:pPr>
        <w:spacing w:before="0" w:after="160" w:line="259" w:lineRule="auto"/>
        <w:rPr>
          <w:sz w:val="22"/>
          <w:szCs w:val="22"/>
        </w:rPr>
      </w:pPr>
      <w:r w:rsidRPr="0082484A">
        <w:rPr>
          <w:sz w:val="22"/>
          <w:szCs w:val="22"/>
        </w:rPr>
        <w:t>The estimated number needed to treat for one patient aged under 80 years with chronic kidney disease and proteinuria to achieve blood pressure below 130/80 mmHg is 152</w:t>
      </w:r>
    </w:p>
    <w:p w14:paraId="148728F4" w14:textId="77777777" w:rsidR="00B77EA3" w:rsidRPr="0082484A" w:rsidRDefault="00B77EA3" w:rsidP="00B77EA3">
      <w:pPr>
        <w:spacing w:before="0" w:after="160" w:line="259" w:lineRule="auto"/>
        <w:rPr>
          <w:sz w:val="22"/>
          <w:szCs w:val="22"/>
        </w:rPr>
      </w:pPr>
      <w:r w:rsidRPr="0082484A">
        <w:rPr>
          <w:sz w:val="22"/>
          <w:szCs w:val="22"/>
        </w:rPr>
        <w:br w:type="page"/>
      </w:r>
    </w:p>
    <w:p w14:paraId="203AD303" w14:textId="2EB3FE73" w:rsidR="00B77EA3" w:rsidRPr="0082484A" w:rsidRDefault="00B77EA3" w:rsidP="00B77EA3">
      <w:pPr>
        <w:spacing w:before="0" w:line="240" w:lineRule="auto"/>
        <w:rPr>
          <w:bCs/>
          <w:sz w:val="22"/>
          <w:szCs w:val="22"/>
        </w:rPr>
      </w:pPr>
      <w:bookmarkStart w:id="157" w:name="_Ref502917873"/>
      <w:bookmarkStart w:id="158" w:name="_Toc8728116"/>
      <w:bookmarkStart w:id="159" w:name="_Toc19526771"/>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42</w:t>
      </w:r>
      <w:r w:rsidRPr="0082484A">
        <w:rPr>
          <w:bCs/>
          <w:noProof/>
          <w:sz w:val="22"/>
          <w:szCs w:val="22"/>
        </w:rPr>
        <w:fldChar w:fldCharType="end"/>
      </w:r>
      <w:bookmarkEnd w:id="157"/>
      <w:r w:rsidRPr="0082484A">
        <w:rPr>
          <w:bCs/>
          <w:sz w:val="22"/>
          <w:szCs w:val="22"/>
        </w:rPr>
        <w:t>: Secondary outcome for Trial 2: Blood pressure below 140/90 mmHg in patients aged under 80 years with coronary heart disease (WP4A)</w:t>
      </w:r>
      <w:bookmarkEnd w:id="158"/>
      <w:bookmarkEnd w:id="159"/>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072150C5"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BBDE0AD"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E61045F"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AF17AD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D026B2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D5002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674656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A6252C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90F08B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CD4B2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EC8599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06956A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4244C6A"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1F9456D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18D4A2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0.0681</w:t>
            </w:r>
          </w:p>
        </w:tc>
        <w:tc>
          <w:tcPr>
            <w:tcW w:w="1134" w:type="dxa"/>
            <w:tcBorders>
              <w:top w:val="nil"/>
              <w:left w:val="nil"/>
              <w:bottom w:val="nil"/>
              <w:right w:val="nil"/>
            </w:tcBorders>
            <w:shd w:val="clear" w:color="auto" w:fill="FFFFFF"/>
            <w:tcMar>
              <w:left w:w="67" w:type="dxa"/>
              <w:right w:w="67" w:type="dxa"/>
            </w:tcMar>
            <w:vAlign w:val="center"/>
          </w:tcPr>
          <w:p w14:paraId="306E59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0.0661</w:t>
            </w:r>
          </w:p>
        </w:tc>
        <w:tc>
          <w:tcPr>
            <w:tcW w:w="1134" w:type="dxa"/>
            <w:tcBorders>
              <w:top w:val="nil"/>
              <w:left w:val="nil"/>
              <w:bottom w:val="nil"/>
              <w:right w:val="nil"/>
            </w:tcBorders>
            <w:shd w:val="clear" w:color="auto" w:fill="FFFFFF"/>
            <w:tcMar>
              <w:left w:w="67" w:type="dxa"/>
              <w:right w:w="67" w:type="dxa"/>
            </w:tcMar>
            <w:vAlign w:val="center"/>
          </w:tcPr>
          <w:p w14:paraId="147D39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1.0704</w:t>
            </w:r>
          </w:p>
        </w:tc>
        <w:tc>
          <w:tcPr>
            <w:tcW w:w="1134" w:type="dxa"/>
            <w:tcBorders>
              <w:top w:val="nil"/>
              <w:left w:val="nil"/>
              <w:bottom w:val="nil"/>
              <w:right w:val="nil"/>
            </w:tcBorders>
            <w:shd w:val="clear" w:color="auto" w:fill="FFFFFF"/>
            <w:tcMar>
              <w:left w:w="67" w:type="dxa"/>
              <w:right w:w="67" w:type="dxa"/>
            </w:tcMar>
            <w:vAlign w:val="center"/>
          </w:tcPr>
          <w:p w14:paraId="230B6A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0.9229</w:t>
            </w:r>
          </w:p>
        </w:tc>
        <w:tc>
          <w:tcPr>
            <w:tcW w:w="1134" w:type="dxa"/>
            <w:tcBorders>
              <w:top w:val="nil"/>
              <w:left w:val="nil"/>
              <w:bottom w:val="nil"/>
              <w:right w:val="nil"/>
            </w:tcBorders>
            <w:shd w:val="clear" w:color="auto" w:fill="FFFFFF"/>
            <w:tcMar>
              <w:left w:w="67" w:type="dxa"/>
              <w:right w:w="67" w:type="dxa"/>
            </w:tcMar>
            <w:vAlign w:val="center"/>
          </w:tcPr>
          <w:p w14:paraId="0813E1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1.2415</w:t>
            </w:r>
          </w:p>
        </w:tc>
        <w:tc>
          <w:tcPr>
            <w:tcW w:w="1134" w:type="dxa"/>
            <w:tcBorders>
              <w:top w:val="nil"/>
              <w:left w:val="nil"/>
              <w:bottom w:val="nil"/>
              <w:right w:val="nil"/>
            </w:tcBorders>
            <w:shd w:val="clear" w:color="auto" w:fill="FFFFFF"/>
            <w:tcMar>
              <w:left w:w="67" w:type="dxa"/>
              <w:right w:w="67" w:type="dxa"/>
            </w:tcMar>
            <w:vAlign w:val="center"/>
          </w:tcPr>
          <w:p w14:paraId="7DB5F5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w:t>
            </w:r>
          </w:p>
        </w:tc>
        <w:tc>
          <w:tcPr>
            <w:tcW w:w="567" w:type="dxa"/>
            <w:tcBorders>
              <w:top w:val="nil"/>
              <w:left w:val="nil"/>
              <w:bottom w:val="nil"/>
              <w:right w:val="nil"/>
            </w:tcBorders>
            <w:shd w:val="clear" w:color="auto" w:fill="FFFFFF"/>
            <w:tcMar>
              <w:left w:w="67" w:type="dxa"/>
              <w:right w:w="67" w:type="dxa"/>
            </w:tcMar>
            <w:vAlign w:val="center"/>
          </w:tcPr>
          <w:p w14:paraId="48A561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B9078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0.3035</w:t>
            </w:r>
          </w:p>
        </w:tc>
      </w:tr>
      <w:tr w:rsidR="00B77EA3" w:rsidRPr="0082484A" w14:paraId="58F3385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42D0E38"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6F8748D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340354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-0.1087</w:t>
            </w:r>
          </w:p>
        </w:tc>
        <w:tc>
          <w:tcPr>
            <w:tcW w:w="1134" w:type="dxa"/>
            <w:tcBorders>
              <w:top w:val="nil"/>
              <w:left w:val="nil"/>
              <w:bottom w:val="nil"/>
              <w:right w:val="nil"/>
            </w:tcBorders>
            <w:shd w:val="clear" w:color="auto" w:fill="FFFFFF"/>
            <w:tcMar>
              <w:left w:w="67" w:type="dxa"/>
              <w:right w:w="67" w:type="dxa"/>
            </w:tcMar>
            <w:vAlign w:val="center"/>
          </w:tcPr>
          <w:p w14:paraId="7EC4E3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0.0425</w:t>
            </w:r>
          </w:p>
        </w:tc>
        <w:tc>
          <w:tcPr>
            <w:tcW w:w="1134" w:type="dxa"/>
            <w:tcBorders>
              <w:top w:val="nil"/>
              <w:left w:val="nil"/>
              <w:bottom w:val="nil"/>
              <w:right w:val="nil"/>
            </w:tcBorders>
            <w:shd w:val="clear" w:color="auto" w:fill="FFFFFF"/>
            <w:tcMar>
              <w:left w:w="67" w:type="dxa"/>
              <w:right w:w="67" w:type="dxa"/>
            </w:tcMar>
            <w:vAlign w:val="center"/>
          </w:tcPr>
          <w:p w14:paraId="625329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0.8970</w:t>
            </w:r>
          </w:p>
        </w:tc>
        <w:tc>
          <w:tcPr>
            <w:tcW w:w="1134" w:type="dxa"/>
            <w:tcBorders>
              <w:top w:val="nil"/>
              <w:left w:val="nil"/>
              <w:bottom w:val="nil"/>
              <w:right w:val="nil"/>
            </w:tcBorders>
            <w:shd w:val="clear" w:color="auto" w:fill="FFFFFF"/>
            <w:tcMar>
              <w:left w:w="67" w:type="dxa"/>
              <w:right w:w="67" w:type="dxa"/>
            </w:tcMar>
            <w:vAlign w:val="center"/>
          </w:tcPr>
          <w:p w14:paraId="2B7653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0.8155</w:t>
            </w:r>
          </w:p>
        </w:tc>
        <w:tc>
          <w:tcPr>
            <w:tcW w:w="1134" w:type="dxa"/>
            <w:tcBorders>
              <w:top w:val="nil"/>
              <w:left w:val="nil"/>
              <w:bottom w:val="nil"/>
              <w:right w:val="nil"/>
            </w:tcBorders>
            <w:shd w:val="clear" w:color="auto" w:fill="FFFFFF"/>
            <w:tcMar>
              <w:left w:w="67" w:type="dxa"/>
              <w:right w:w="67" w:type="dxa"/>
            </w:tcMar>
            <w:vAlign w:val="center"/>
          </w:tcPr>
          <w:p w14:paraId="756A01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0.9865</w:t>
            </w:r>
          </w:p>
        </w:tc>
        <w:tc>
          <w:tcPr>
            <w:tcW w:w="1134" w:type="dxa"/>
            <w:tcBorders>
              <w:top w:val="nil"/>
              <w:left w:val="nil"/>
              <w:bottom w:val="nil"/>
              <w:right w:val="nil"/>
            </w:tcBorders>
            <w:shd w:val="clear" w:color="auto" w:fill="FFFFFF"/>
            <w:tcMar>
              <w:left w:w="67" w:type="dxa"/>
              <w:right w:w="67" w:type="dxa"/>
            </w:tcMar>
            <w:vAlign w:val="center"/>
          </w:tcPr>
          <w:p w14:paraId="7ECBC4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6.56</w:t>
            </w:r>
          </w:p>
        </w:tc>
        <w:tc>
          <w:tcPr>
            <w:tcW w:w="567" w:type="dxa"/>
            <w:tcBorders>
              <w:top w:val="nil"/>
              <w:left w:val="nil"/>
              <w:bottom w:val="nil"/>
              <w:right w:val="nil"/>
            </w:tcBorders>
            <w:shd w:val="clear" w:color="auto" w:fill="FFFFFF"/>
            <w:tcMar>
              <w:left w:w="67" w:type="dxa"/>
              <w:right w:w="67" w:type="dxa"/>
            </w:tcMar>
            <w:vAlign w:val="center"/>
          </w:tcPr>
          <w:p w14:paraId="6A447A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1321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0.0105</w:t>
            </w:r>
          </w:p>
        </w:tc>
      </w:tr>
      <w:tr w:rsidR="00B77EA3" w:rsidRPr="0082484A" w14:paraId="7CC51FE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5C50F64"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73EC222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4E62B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4D263D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w:t>
            </w:r>
          </w:p>
        </w:tc>
        <w:tc>
          <w:tcPr>
            <w:tcW w:w="1134" w:type="dxa"/>
            <w:tcBorders>
              <w:top w:val="nil"/>
              <w:left w:val="nil"/>
              <w:bottom w:val="nil"/>
              <w:right w:val="nil"/>
            </w:tcBorders>
            <w:shd w:val="clear" w:color="auto" w:fill="FFFFFF"/>
            <w:tcMar>
              <w:left w:w="67" w:type="dxa"/>
              <w:right w:w="67" w:type="dxa"/>
            </w:tcMar>
            <w:vAlign w:val="center"/>
          </w:tcPr>
          <w:p w14:paraId="4F18E7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0.9963</w:t>
            </w:r>
          </w:p>
        </w:tc>
        <w:tc>
          <w:tcPr>
            <w:tcW w:w="1134" w:type="dxa"/>
            <w:tcBorders>
              <w:top w:val="nil"/>
              <w:left w:val="nil"/>
              <w:bottom w:val="nil"/>
              <w:right w:val="nil"/>
            </w:tcBorders>
            <w:shd w:val="clear" w:color="auto" w:fill="FFFFFF"/>
            <w:tcMar>
              <w:left w:w="67" w:type="dxa"/>
              <w:right w:w="67" w:type="dxa"/>
            </w:tcMar>
            <w:vAlign w:val="center"/>
          </w:tcPr>
          <w:p w14:paraId="097C72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0.9913</w:t>
            </w:r>
          </w:p>
        </w:tc>
        <w:tc>
          <w:tcPr>
            <w:tcW w:w="1134" w:type="dxa"/>
            <w:tcBorders>
              <w:top w:val="nil"/>
              <w:left w:val="nil"/>
              <w:bottom w:val="nil"/>
              <w:right w:val="nil"/>
            </w:tcBorders>
            <w:shd w:val="clear" w:color="auto" w:fill="FFFFFF"/>
            <w:tcMar>
              <w:left w:w="67" w:type="dxa"/>
              <w:right w:w="67" w:type="dxa"/>
            </w:tcMar>
            <w:vAlign w:val="center"/>
          </w:tcPr>
          <w:p w14:paraId="063F6B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1.0013</w:t>
            </w:r>
          </w:p>
        </w:tc>
        <w:tc>
          <w:tcPr>
            <w:tcW w:w="1134" w:type="dxa"/>
            <w:tcBorders>
              <w:top w:val="nil"/>
              <w:left w:val="nil"/>
              <w:bottom w:val="nil"/>
              <w:right w:val="nil"/>
            </w:tcBorders>
            <w:shd w:val="clear" w:color="auto" w:fill="FFFFFF"/>
            <w:tcMar>
              <w:left w:w="67" w:type="dxa"/>
              <w:right w:w="67" w:type="dxa"/>
            </w:tcMar>
            <w:vAlign w:val="center"/>
          </w:tcPr>
          <w:p w14:paraId="4A15E4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2.79</w:t>
            </w:r>
          </w:p>
        </w:tc>
        <w:tc>
          <w:tcPr>
            <w:tcW w:w="567" w:type="dxa"/>
            <w:tcBorders>
              <w:top w:val="nil"/>
              <w:left w:val="nil"/>
              <w:bottom w:val="nil"/>
              <w:right w:val="nil"/>
            </w:tcBorders>
            <w:shd w:val="clear" w:color="auto" w:fill="FFFFFF"/>
            <w:tcMar>
              <w:left w:w="67" w:type="dxa"/>
              <w:right w:w="67" w:type="dxa"/>
            </w:tcMar>
            <w:vAlign w:val="center"/>
          </w:tcPr>
          <w:p w14:paraId="44E5C8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5923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0.0947</w:t>
            </w:r>
          </w:p>
        </w:tc>
      </w:tr>
      <w:tr w:rsidR="00B77EA3" w:rsidRPr="0082484A" w14:paraId="14D865F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165E01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C51F5D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F5046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25B1E0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33F51B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0.9987</w:t>
            </w:r>
          </w:p>
        </w:tc>
        <w:tc>
          <w:tcPr>
            <w:tcW w:w="1134" w:type="dxa"/>
            <w:tcBorders>
              <w:top w:val="nil"/>
              <w:left w:val="nil"/>
              <w:bottom w:val="nil"/>
              <w:right w:val="nil"/>
            </w:tcBorders>
            <w:shd w:val="clear" w:color="auto" w:fill="FFFFFF"/>
            <w:tcMar>
              <w:left w:w="67" w:type="dxa"/>
              <w:right w:w="67" w:type="dxa"/>
            </w:tcMar>
            <w:vAlign w:val="center"/>
          </w:tcPr>
          <w:p w14:paraId="5D1B51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0.9967</w:t>
            </w:r>
          </w:p>
        </w:tc>
        <w:tc>
          <w:tcPr>
            <w:tcW w:w="1134" w:type="dxa"/>
            <w:tcBorders>
              <w:top w:val="nil"/>
              <w:left w:val="nil"/>
              <w:bottom w:val="nil"/>
              <w:right w:val="nil"/>
            </w:tcBorders>
            <w:shd w:val="clear" w:color="auto" w:fill="FFFFFF"/>
            <w:tcMar>
              <w:left w:w="67" w:type="dxa"/>
              <w:right w:w="67" w:type="dxa"/>
            </w:tcMar>
            <w:vAlign w:val="center"/>
          </w:tcPr>
          <w:p w14:paraId="7C0DF5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1.0007</w:t>
            </w:r>
          </w:p>
        </w:tc>
        <w:tc>
          <w:tcPr>
            <w:tcW w:w="1134" w:type="dxa"/>
            <w:tcBorders>
              <w:top w:val="nil"/>
              <w:left w:val="nil"/>
              <w:bottom w:val="nil"/>
              <w:right w:val="nil"/>
            </w:tcBorders>
            <w:shd w:val="clear" w:color="auto" w:fill="FFFFFF"/>
            <w:tcMar>
              <w:left w:w="67" w:type="dxa"/>
              <w:right w:w="67" w:type="dxa"/>
            </w:tcMar>
            <w:vAlign w:val="center"/>
          </w:tcPr>
          <w:p w14:paraId="3E7D81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1.98</w:t>
            </w:r>
          </w:p>
        </w:tc>
        <w:tc>
          <w:tcPr>
            <w:tcW w:w="567" w:type="dxa"/>
            <w:tcBorders>
              <w:top w:val="nil"/>
              <w:left w:val="nil"/>
              <w:bottom w:val="nil"/>
              <w:right w:val="nil"/>
            </w:tcBorders>
            <w:shd w:val="clear" w:color="auto" w:fill="FFFFFF"/>
            <w:tcMar>
              <w:left w:w="67" w:type="dxa"/>
              <w:right w:w="67" w:type="dxa"/>
            </w:tcMar>
            <w:vAlign w:val="center"/>
          </w:tcPr>
          <w:p w14:paraId="6FD19C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773F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0.1595</w:t>
            </w:r>
          </w:p>
        </w:tc>
      </w:tr>
      <w:tr w:rsidR="00B77EA3" w:rsidRPr="0082484A" w14:paraId="269FBEB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CCD305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6C4517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47751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0.0208</w:t>
            </w:r>
          </w:p>
        </w:tc>
        <w:tc>
          <w:tcPr>
            <w:tcW w:w="1134" w:type="dxa"/>
            <w:tcBorders>
              <w:top w:val="nil"/>
              <w:left w:val="nil"/>
              <w:bottom w:val="nil"/>
              <w:right w:val="nil"/>
            </w:tcBorders>
            <w:shd w:val="clear" w:color="auto" w:fill="FFFFFF"/>
            <w:tcMar>
              <w:left w:w="67" w:type="dxa"/>
              <w:right w:w="67" w:type="dxa"/>
            </w:tcMar>
            <w:vAlign w:val="center"/>
          </w:tcPr>
          <w:p w14:paraId="507C7A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0.1406</w:t>
            </w:r>
          </w:p>
        </w:tc>
        <w:tc>
          <w:tcPr>
            <w:tcW w:w="1134" w:type="dxa"/>
            <w:tcBorders>
              <w:top w:val="nil"/>
              <w:left w:val="nil"/>
              <w:bottom w:val="nil"/>
              <w:right w:val="nil"/>
            </w:tcBorders>
            <w:shd w:val="clear" w:color="auto" w:fill="FFFFFF"/>
            <w:tcMar>
              <w:left w:w="67" w:type="dxa"/>
              <w:right w:w="67" w:type="dxa"/>
            </w:tcMar>
            <w:vAlign w:val="center"/>
          </w:tcPr>
          <w:p w14:paraId="5269C7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1.0211</w:t>
            </w:r>
          </w:p>
        </w:tc>
        <w:tc>
          <w:tcPr>
            <w:tcW w:w="1134" w:type="dxa"/>
            <w:tcBorders>
              <w:top w:val="nil"/>
              <w:left w:val="nil"/>
              <w:bottom w:val="nil"/>
              <w:right w:val="nil"/>
            </w:tcBorders>
            <w:shd w:val="clear" w:color="auto" w:fill="FFFFFF"/>
            <w:tcMar>
              <w:left w:w="67" w:type="dxa"/>
              <w:right w:w="67" w:type="dxa"/>
            </w:tcMar>
            <w:vAlign w:val="center"/>
          </w:tcPr>
          <w:p w14:paraId="3F196D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0.7451</w:t>
            </w:r>
          </w:p>
        </w:tc>
        <w:tc>
          <w:tcPr>
            <w:tcW w:w="1134" w:type="dxa"/>
            <w:tcBorders>
              <w:top w:val="nil"/>
              <w:left w:val="nil"/>
              <w:bottom w:val="nil"/>
              <w:right w:val="nil"/>
            </w:tcBorders>
            <w:shd w:val="clear" w:color="auto" w:fill="FFFFFF"/>
            <w:tcMar>
              <w:left w:w="67" w:type="dxa"/>
              <w:right w:w="67" w:type="dxa"/>
            </w:tcMar>
            <w:vAlign w:val="center"/>
          </w:tcPr>
          <w:p w14:paraId="4D7E21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1.3993</w:t>
            </w:r>
          </w:p>
        </w:tc>
        <w:tc>
          <w:tcPr>
            <w:tcW w:w="1134" w:type="dxa"/>
            <w:tcBorders>
              <w:top w:val="nil"/>
              <w:left w:val="nil"/>
              <w:bottom w:val="nil"/>
              <w:right w:val="nil"/>
            </w:tcBorders>
            <w:shd w:val="clear" w:color="auto" w:fill="FFFFFF"/>
            <w:tcMar>
              <w:left w:w="67" w:type="dxa"/>
              <w:right w:w="67" w:type="dxa"/>
            </w:tcMar>
            <w:vAlign w:val="center"/>
          </w:tcPr>
          <w:p w14:paraId="7AEA4A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1.76</w:t>
            </w:r>
          </w:p>
        </w:tc>
        <w:tc>
          <w:tcPr>
            <w:tcW w:w="567" w:type="dxa"/>
            <w:tcBorders>
              <w:top w:val="nil"/>
              <w:left w:val="nil"/>
              <w:bottom w:val="nil"/>
              <w:right w:val="nil"/>
            </w:tcBorders>
            <w:shd w:val="clear" w:color="auto" w:fill="FFFFFF"/>
            <w:tcMar>
              <w:left w:w="67" w:type="dxa"/>
              <w:right w:w="67" w:type="dxa"/>
            </w:tcMar>
            <w:vAlign w:val="center"/>
          </w:tcPr>
          <w:p w14:paraId="0933A3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1E18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0.0793</w:t>
            </w:r>
          </w:p>
        </w:tc>
      </w:tr>
      <w:tr w:rsidR="00B77EA3" w:rsidRPr="0082484A" w14:paraId="38663AE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964843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3116F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4B95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-0.0507</w:t>
            </w:r>
          </w:p>
        </w:tc>
        <w:tc>
          <w:tcPr>
            <w:tcW w:w="1134" w:type="dxa"/>
            <w:tcBorders>
              <w:top w:val="nil"/>
              <w:left w:val="nil"/>
              <w:bottom w:val="nil"/>
              <w:right w:val="nil"/>
            </w:tcBorders>
            <w:shd w:val="clear" w:color="auto" w:fill="FFFFFF"/>
            <w:tcMar>
              <w:left w:w="67" w:type="dxa"/>
              <w:right w:w="67" w:type="dxa"/>
            </w:tcMar>
            <w:vAlign w:val="center"/>
          </w:tcPr>
          <w:p w14:paraId="4CBA80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0.1365</w:t>
            </w:r>
          </w:p>
        </w:tc>
        <w:tc>
          <w:tcPr>
            <w:tcW w:w="1134" w:type="dxa"/>
            <w:tcBorders>
              <w:top w:val="nil"/>
              <w:left w:val="nil"/>
              <w:bottom w:val="nil"/>
              <w:right w:val="nil"/>
            </w:tcBorders>
            <w:shd w:val="clear" w:color="auto" w:fill="FFFFFF"/>
            <w:tcMar>
              <w:left w:w="67" w:type="dxa"/>
              <w:right w:w="67" w:type="dxa"/>
            </w:tcMar>
            <w:vAlign w:val="center"/>
          </w:tcPr>
          <w:p w14:paraId="29DF43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0.9506</w:t>
            </w:r>
          </w:p>
        </w:tc>
        <w:tc>
          <w:tcPr>
            <w:tcW w:w="1134" w:type="dxa"/>
            <w:tcBorders>
              <w:top w:val="nil"/>
              <w:left w:val="nil"/>
              <w:bottom w:val="nil"/>
              <w:right w:val="nil"/>
            </w:tcBorders>
            <w:shd w:val="clear" w:color="auto" w:fill="FFFFFF"/>
            <w:tcMar>
              <w:left w:w="67" w:type="dxa"/>
              <w:right w:w="67" w:type="dxa"/>
            </w:tcMar>
            <w:vAlign w:val="center"/>
          </w:tcPr>
          <w:p w14:paraId="7525B4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0.7000</w:t>
            </w:r>
          </w:p>
        </w:tc>
        <w:tc>
          <w:tcPr>
            <w:tcW w:w="1134" w:type="dxa"/>
            <w:tcBorders>
              <w:top w:val="nil"/>
              <w:left w:val="nil"/>
              <w:bottom w:val="nil"/>
              <w:right w:val="nil"/>
            </w:tcBorders>
            <w:shd w:val="clear" w:color="auto" w:fill="FFFFFF"/>
            <w:tcMar>
              <w:left w:w="67" w:type="dxa"/>
              <w:right w:w="67" w:type="dxa"/>
            </w:tcMar>
            <w:vAlign w:val="center"/>
          </w:tcPr>
          <w:p w14:paraId="42827A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1.2908</w:t>
            </w:r>
          </w:p>
        </w:tc>
        <w:tc>
          <w:tcPr>
            <w:tcW w:w="1134" w:type="dxa"/>
            <w:tcBorders>
              <w:top w:val="nil"/>
              <w:left w:val="nil"/>
              <w:bottom w:val="nil"/>
              <w:right w:val="nil"/>
            </w:tcBorders>
            <w:shd w:val="clear" w:color="auto" w:fill="FFFFFF"/>
            <w:tcMar>
              <w:left w:w="67" w:type="dxa"/>
              <w:right w:w="67" w:type="dxa"/>
            </w:tcMar>
            <w:vAlign w:val="center"/>
          </w:tcPr>
          <w:p w14:paraId="22A1CDC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45FFFE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1E8BB4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5C5273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4EED07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C12F1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3768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0.2445</w:t>
            </w:r>
          </w:p>
        </w:tc>
        <w:tc>
          <w:tcPr>
            <w:tcW w:w="1134" w:type="dxa"/>
            <w:tcBorders>
              <w:top w:val="nil"/>
              <w:left w:val="nil"/>
              <w:bottom w:val="nil"/>
              <w:right w:val="nil"/>
            </w:tcBorders>
            <w:shd w:val="clear" w:color="auto" w:fill="FFFFFF"/>
            <w:tcMar>
              <w:left w:w="67" w:type="dxa"/>
              <w:right w:w="67" w:type="dxa"/>
            </w:tcMar>
            <w:vAlign w:val="center"/>
          </w:tcPr>
          <w:p w14:paraId="56C33B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0.1404</w:t>
            </w:r>
          </w:p>
        </w:tc>
        <w:tc>
          <w:tcPr>
            <w:tcW w:w="1134" w:type="dxa"/>
            <w:tcBorders>
              <w:top w:val="nil"/>
              <w:left w:val="nil"/>
              <w:bottom w:val="nil"/>
              <w:right w:val="nil"/>
            </w:tcBorders>
            <w:shd w:val="clear" w:color="auto" w:fill="FFFFFF"/>
            <w:tcMar>
              <w:left w:w="67" w:type="dxa"/>
              <w:right w:w="67" w:type="dxa"/>
            </w:tcMar>
            <w:vAlign w:val="center"/>
          </w:tcPr>
          <w:p w14:paraId="1ADA00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1.2770</w:t>
            </w:r>
          </w:p>
        </w:tc>
        <w:tc>
          <w:tcPr>
            <w:tcW w:w="1134" w:type="dxa"/>
            <w:tcBorders>
              <w:top w:val="nil"/>
              <w:left w:val="nil"/>
              <w:bottom w:val="nil"/>
              <w:right w:val="nil"/>
            </w:tcBorders>
            <w:shd w:val="clear" w:color="auto" w:fill="FFFFFF"/>
            <w:tcMar>
              <w:left w:w="67" w:type="dxa"/>
              <w:right w:w="67" w:type="dxa"/>
            </w:tcMar>
            <w:vAlign w:val="center"/>
          </w:tcPr>
          <w:p w14:paraId="384EAD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0.9321</w:t>
            </w:r>
          </w:p>
        </w:tc>
        <w:tc>
          <w:tcPr>
            <w:tcW w:w="1134" w:type="dxa"/>
            <w:tcBorders>
              <w:top w:val="nil"/>
              <w:left w:val="nil"/>
              <w:bottom w:val="nil"/>
              <w:right w:val="nil"/>
            </w:tcBorders>
            <w:shd w:val="clear" w:color="auto" w:fill="FFFFFF"/>
            <w:tcMar>
              <w:left w:w="67" w:type="dxa"/>
              <w:right w:w="67" w:type="dxa"/>
            </w:tcMar>
            <w:vAlign w:val="center"/>
          </w:tcPr>
          <w:p w14:paraId="3D5AAE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1.7495</w:t>
            </w:r>
          </w:p>
        </w:tc>
        <w:tc>
          <w:tcPr>
            <w:tcW w:w="1134" w:type="dxa"/>
            <w:tcBorders>
              <w:top w:val="nil"/>
              <w:left w:val="nil"/>
              <w:bottom w:val="nil"/>
              <w:right w:val="nil"/>
            </w:tcBorders>
            <w:shd w:val="clear" w:color="auto" w:fill="FFFFFF"/>
            <w:tcMar>
              <w:left w:w="67" w:type="dxa"/>
              <w:right w:w="67" w:type="dxa"/>
            </w:tcMar>
            <w:vAlign w:val="center"/>
          </w:tcPr>
          <w:p w14:paraId="5AD1FFB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54C789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BAC93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05CB5B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77DDDE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2B6522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77AE3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0.1629</w:t>
            </w:r>
          </w:p>
        </w:tc>
        <w:tc>
          <w:tcPr>
            <w:tcW w:w="1134" w:type="dxa"/>
            <w:tcBorders>
              <w:top w:val="nil"/>
              <w:left w:val="nil"/>
              <w:bottom w:val="nil"/>
              <w:right w:val="nil"/>
            </w:tcBorders>
            <w:shd w:val="clear" w:color="auto" w:fill="FFFFFF"/>
            <w:tcMar>
              <w:left w:w="67" w:type="dxa"/>
              <w:right w:w="67" w:type="dxa"/>
            </w:tcMar>
            <w:vAlign w:val="center"/>
          </w:tcPr>
          <w:p w14:paraId="706498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0.1373</w:t>
            </w:r>
          </w:p>
        </w:tc>
        <w:tc>
          <w:tcPr>
            <w:tcW w:w="1134" w:type="dxa"/>
            <w:tcBorders>
              <w:top w:val="nil"/>
              <w:left w:val="nil"/>
              <w:bottom w:val="nil"/>
              <w:right w:val="nil"/>
            </w:tcBorders>
            <w:shd w:val="clear" w:color="auto" w:fill="FFFFFF"/>
            <w:tcMar>
              <w:left w:w="67" w:type="dxa"/>
              <w:right w:w="67" w:type="dxa"/>
            </w:tcMar>
            <w:vAlign w:val="center"/>
          </w:tcPr>
          <w:p w14:paraId="5E3E24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1.1769</w:t>
            </w:r>
          </w:p>
        </w:tc>
        <w:tc>
          <w:tcPr>
            <w:tcW w:w="1134" w:type="dxa"/>
            <w:tcBorders>
              <w:top w:val="nil"/>
              <w:left w:val="nil"/>
              <w:bottom w:val="nil"/>
              <w:right w:val="nil"/>
            </w:tcBorders>
            <w:shd w:val="clear" w:color="auto" w:fill="FFFFFF"/>
            <w:tcMar>
              <w:left w:w="67" w:type="dxa"/>
              <w:right w:w="67" w:type="dxa"/>
            </w:tcMar>
            <w:vAlign w:val="center"/>
          </w:tcPr>
          <w:p w14:paraId="10FBFE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0.8651</w:t>
            </w:r>
          </w:p>
        </w:tc>
        <w:tc>
          <w:tcPr>
            <w:tcW w:w="1134" w:type="dxa"/>
            <w:tcBorders>
              <w:top w:val="nil"/>
              <w:left w:val="nil"/>
              <w:bottom w:val="nil"/>
              <w:right w:val="nil"/>
            </w:tcBorders>
            <w:shd w:val="clear" w:color="auto" w:fill="FFFFFF"/>
            <w:tcMar>
              <w:left w:w="67" w:type="dxa"/>
              <w:right w:w="67" w:type="dxa"/>
            </w:tcMar>
            <w:vAlign w:val="center"/>
          </w:tcPr>
          <w:p w14:paraId="2E5D1E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1.6011</w:t>
            </w:r>
          </w:p>
        </w:tc>
        <w:tc>
          <w:tcPr>
            <w:tcW w:w="1134" w:type="dxa"/>
            <w:tcBorders>
              <w:top w:val="nil"/>
              <w:left w:val="nil"/>
              <w:bottom w:val="nil"/>
              <w:right w:val="nil"/>
            </w:tcBorders>
            <w:shd w:val="clear" w:color="auto" w:fill="FFFFFF"/>
            <w:tcMar>
              <w:left w:w="67" w:type="dxa"/>
              <w:right w:w="67" w:type="dxa"/>
            </w:tcMar>
            <w:vAlign w:val="center"/>
          </w:tcPr>
          <w:p w14:paraId="456F973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08D8D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72C0D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FBA439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FB3535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D911D1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31648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0.2012</w:t>
            </w:r>
          </w:p>
        </w:tc>
        <w:tc>
          <w:tcPr>
            <w:tcW w:w="1134" w:type="dxa"/>
            <w:tcBorders>
              <w:top w:val="nil"/>
              <w:left w:val="nil"/>
              <w:bottom w:val="nil"/>
              <w:right w:val="nil"/>
            </w:tcBorders>
            <w:shd w:val="clear" w:color="auto" w:fill="FFFFFF"/>
            <w:tcMar>
              <w:left w:w="67" w:type="dxa"/>
              <w:right w:w="67" w:type="dxa"/>
            </w:tcMar>
            <w:vAlign w:val="center"/>
          </w:tcPr>
          <w:p w14:paraId="78F6E9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0.1540</w:t>
            </w:r>
          </w:p>
        </w:tc>
        <w:tc>
          <w:tcPr>
            <w:tcW w:w="1134" w:type="dxa"/>
            <w:tcBorders>
              <w:top w:val="nil"/>
              <w:left w:val="nil"/>
              <w:bottom w:val="nil"/>
              <w:right w:val="nil"/>
            </w:tcBorders>
            <w:shd w:val="clear" w:color="auto" w:fill="FFFFFF"/>
            <w:tcMar>
              <w:left w:w="67" w:type="dxa"/>
              <w:right w:w="67" w:type="dxa"/>
            </w:tcMar>
            <w:vAlign w:val="center"/>
          </w:tcPr>
          <w:p w14:paraId="335B82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1.2229</w:t>
            </w:r>
          </w:p>
        </w:tc>
        <w:tc>
          <w:tcPr>
            <w:tcW w:w="1134" w:type="dxa"/>
            <w:tcBorders>
              <w:top w:val="nil"/>
              <w:left w:val="nil"/>
              <w:bottom w:val="nil"/>
              <w:right w:val="nil"/>
            </w:tcBorders>
            <w:shd w:val="clear" w:color="auto" w:fill="FFFFFF"/>
            <w:tcMar>
              <w:left w:w="67" w:type="dxa"/>
              <w:right w:w="67" w:type="dxa"/>
            </w:tcMar>
            <w:vAlign w:val="center"/>
          </w:tcPr>
          <w:p w14:paraId="58A32E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0.8659</w:t>
            </w:r>
          </w:p>
        </w:tc>
        <w:tc>
          <w:tcPr>
            <w:tcW w:w="1134" w:type="dxa"/>
            <w:tcBorders>
              <w:top w:val="nil"/>
              <w:left w:val="nil"/>
              <w:bottom w:val="nil"/>
              <w:right w:val="nil"/>
            </w:tcBorders>
            <w:shd w:val="clear" w:color="auto" w:fill="FFFFFF"/>
            <w:tcMar>
              <w:left w:w="67" w:type="dxa"/>
              <w:right w:w="67" w:type="dxa"/>
            </w:tcMar>
            <w:vAlign w:val="center"/>
          </w:tcPr>
          <w:p w14:paraId="07444C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1.7270</w:t>
            </w:r>
          </w:p>
        </w:tc>
        <w:tc>
          <w:tcPr>
            <w:tcW w:w="1134" w:type="dxa"/>
            <w:tcBorders>
              <w:top w:val="nil"/>
              <w:left w:val="nil"/>
              <w:bottom w:val="nil"/>
              <w:right w:val="nil"/>
            </w:tcBorders>
            <w:shd w:val="clear" w:color="auto" w:fill="FFFFFF"/>
            <w:tcMar>
              <w:left w:w="67" w:type="dxa"/>
              <w:right w:w="67" w:type="dxa"/>
            </w:tcMar>
            <w:vAlign w:val="center"/>
          </w:tcPr>
          <w:p w14:paraId="6228FDB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99AB8D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B0E12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6FE3A1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7C11C4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66B0C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C9791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-0.0787</w:t>
            </w:r>
          </w:p>
        </w:tc>
        <w:tc>
          <w:tcPr>
            <w:tcW w:w="1134" w:type="dxa"/>
            <w:tcBorders>
              <w:top w:val="nil"/>
              <w:left w:val="nil"/>
              <w:bottom w:val="nil"/>
              <w:right w:val="nil"/>
            </w:tcBorders>
            <w:shd w:val="clear" w:color="auto" w:fill="FFFFFF"/>
            <w:tcMar>
              <w:left w:w="67" w:type="dxa"/>
              <w:right w:w="67" w:type="dxa"/>
            </w:tcMar>
            <w:vAlign w:val="center"/>
          </w:tcPr>
          <w:p w14:paraId="5DABA2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0.1250</w:t>
            </w:r>
          </w:p>
        </w:tc>
        <w:tc>
          <w:tcPr>
            <w:tcW w:w="1134" w:type="dxa"/>
            <w:tcBorders>
              <w:top w:val="nil"/>
              <w:left w:val="nil"/>
              <w:bottom w:val="nil"/>
              <w:right w:val="nil"/>
            </w:tcBorders>
            <w:shd w:val="clear" w:color="auto" w:fill="FFFFFF"/>
            <w:tcMar>
              <w:left w:w="67" w:type="dxa"/>
              <w:right w:w="67" w:type="dxa"/>
            </w:tcMar>
            <w:vAlign w:val="center"/>
          </w:tcPr>
          <w:p w14:paraId="1C8CDF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0.9243</w:t>
            </w:r>
          </w:p>
        </w:tc>
        <w:tc>
          <w:tcPr>
            <w:tcW w:w="1134" w:type="dxa"/>
            <w:tcBorders>
              <w:top w:val="nil"/>
              <w:left w:val="nil"/>
              <w:bottom w:val="nil"/>
              <w:right w:val="nil"/>
            </w:tcBorders>
            <w:shd w:val="clear" w:color="auto" w:fill="FFFFFF"/>
            <w:tcMar>
              <w:left w:w="67" w:type="dxa"/>
              <w:right w:w="67" w:type="dxa"/>
            </w:tcMar>
            <w:vAlign w:val="center"/>
          </w:tcPr>
          <w:p w14:paraId="6354E6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0.6984</w:t>
            </w:r>
          </w:p>
        </w:tc>
        <w:tc>
          <w:tcPr>
            <w:tcW w:w="1134" w:type="dxa"/>
            <w:tcBorders>
              <w:top w:val="nil"/>
              <w:left w:val="nil"/>
              <w:bottom w:val="nil"/>
              <w:right w:val="nil"/>
            </w:tcBorders>
            <w:shd w:val="clear" w:color="auto" w:fill="FFFFFF"/>
            <w:tcMar>
              <w:left w:w="67" w:type="dxa"/>
              <w:right w:w="67" w:type="dxa"/>
            </w:tcMar>
            <w:vAlign w:val="center"/>
          </w:tcPr>
          <w:p w14:paraId="4B08CC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1.2233</w:t>
            </w:r>
          </w:p>
        </w:tc>
        <w:tc>
          <w:tcPr>
            <w:tcW w:w="1134" w:type="dxa"/>
            <w:tcBorders>
              <w:top w:val="nil"/>
              <w:left w:val="nil"/>
              <w:bottom w:val="nil"/>
              <w:right w:val="nil"/>
            </w:tcBorders>
            <w:shd w:val="clear" w:color="auto" w:fill="FFFFFF"/>
            <w:tcMar>
              <w:left w:w="67" w:type="dxa"/>
              <w:right w:w="67" w:type="dxa"/>
            </w:tcMar>
            <w:vAlign w:val="center"/>
          </w:tcPr>
          <w:p w14:paraId="2B8A87B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C86416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876A1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C61386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2076B9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B7FED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AB836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-0.0217</w:t>
            </w:r>
          </w:p>
        </w:tc>
        <w:tc>
          <w:tcPr>
            <w:tcW w:w="1134" w:type="dxa"/>
            <w:tcBorders>
              <w:top w:val="nil"/>
              <w:left w:val="nil"/>
              <w:bottom w:val="nil"/>
              <w:right w:val="nil"/>
            </w:tcBorders>
            <w:shd w:val="clear" w:color="auto" w:fill="FFFFFF"/>
            <w:tcMar>
              <w:left w:w="67" w:type="dxa"/>
              <w:right w:w="67" w:type="dxa"/>
            </w:tcMar>
            <w:vAlign w:val="center"/>
          </w:tcPr>
          <w:p w14:paraId="18080A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0.1238</w:t>
            </w:r>
          </w:p>
        </w:tc>
        <w:tc>
          <w:tcPr>
            <w:tcW w:w="1134" w:type="dxa"/>
            <w:tcBorders>
              <w:top w:val="nil"/>
              <w:left w:val="nil"/>
              <w:bottom w:val="nil"/>
              <w:right w:val="nil"/>
            </w:tcBorders>
            <w:shd w:val="clear" w:color="auto" w:fill="FFFFFF"/>
            <w:tcMar>
              <w:left w:w="67" w:type="dxa"/>
              <w:right w:w="67" w:type="dxa"/>
            </w:tcMar>
            <w:vAlign w:val="center"/>
          </w:tcPr>
          <w:p w14:paraId="078D8A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0.9785</w:t>
            </w:r>
          </w:p>
        </w:tc>
        <w:tc>
          <w:tcPr>
            <w:tcW w:w="1134" w:type="dxa"/>
            <w:tcBorders>
              <w:top w:val="nil"/>
              <w:left w:val="nil"/>
              <w:bottom w:val="nil"/>
              <w:right w:val="nil"/>
            </w:tcBorders>
            <w:shd w:val="clear" w:color="auto" w:fill="FFFFFF"/>
            <w:tcMar>
              <w:left w:w="67" w:type="dxa"/>
              <w:right w:w="67" w:type="dxa"/>
            </w:tcMar>
            <w:vAlign w:val="center"/>
          </w:tcPr>
          <w:p w14:paraId="5C1958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0.7415</w:t>
            </w:r>
          </w:p>
        </w:tc>
        <w:tc>
          <w:tcPr>
            <w:tcW w:w="1134" w:type="dxa"/>
            <w:tcBorders>
              <w:top w:val="nil"/>
              <w:left w:val="nil"/>
              <w:bottom w:val="nil"/>
              <w:right w:val="nil"/>
            </w:tcBorders>
            <w:shd w:val="clear" w:color="auto" w:fill="FFFFFF"/>
            <w:tcMar>
              <w:left w:w="67" w:type="dxa"/>
              <w:right w:w="67" w:type="dxa"/>
            </w:tcMar>
            <w:vAlign w:val="center"/>
          </w:tcPr>
          <w:p w14:paraId="535CBC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1.2914</w:t>
            </w:r>
          </w:p>
        </w:tc>
        <w:tc>
          <w:tcPr>
            <w:tcW w:w="1134" w:type="dxa"/>
            <w:tcBorders>
              <w:top w:val="nil"/>
              <w:left w:val="nil"/>
              <w:bottom w:val="nil"/>
              <w:right w:val="nil"/>
            </w:tcBorders>
            <w:shd w:val="clear" w:color="auto" w:fill="FFFFFF"/>
            <w:tcMar>
              <w:left w:w="67" w:type="dxa"/>
              <w:right w:w="67" w:type="dxa"/>
            </w:tcMar>
            <w:vAlign w:val="center"/>
          </w:tcPr>
          <w:p w14:paraId="27BBBF0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89D398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2B4C7C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236C5D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8BD548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260B71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5C53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0.2628</w:t>
            </w:r>
          </w:p>
        </w:tc>
        <w:tc>
          <w:tcPr>
            <w:tcW w:w="1134" w:type="dxa"/>
            <w:tcBorders>
              <w:top w:val="nil"/>
              <w:left w:val="nil"/>
              <w:bottom w:val="nil"/>
              <w:right w:val="nil"/>
            </w:tcBorders>
            <w:shd w:val="clear" w:color="auto" w:fill="FFFFFF"/>
            <w:tcMar>
              <w:left w:w="67" w:type="dxa"/>
              <w:right w:w="67" w:type="dxa"/>
            </w:tcMar>
            <w:vAlign w:val="center"/>
          </w:tcPr>
          <w:p w14:paraId="080222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0.1271</w:t>
            </w:r>
          </w:p>
        </w:tc>
        <w:tc>
          <w:tcPr>
            <w:tcW w:w="1134" w:type="dxa"/>
            <w:tcBorders>
              <w:top w:val="nil"/>
              <w:left w:val="nil"/>
              <w:bottom w:val="nil"/>
              <w:right w:val="nil"/>
            </w:tcBorders>
            <w:shd w:val="clear" w:color="auto" w:fill="FFFFFF"/>
            <w:tcMar>
              <w:left w:w="67" w:type="dxa"/>
              <w:right w:w="67" w:type="dxa"/>
            </w:tcMar>
            <w:vAlign w:val="center"/>
          </w:tcPr>
          <w:p w14:paraId="54EBE9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1.3006</w:t>
            </w:r>
          </w:p>
        </w:tc>
        <w:tc>
          <w:tcPr>
            <w:tcW w:w="1134" w:type="dxa"/>
            <w:tcBorders>
              <w:top w:val="nil"/>
              <w:left w:val="nil"/>
              <w:bottom w:val="nil"/>
              <w:right w:val="nil"/>
            </w:tcBorders>
            <w:shd w:val="clear" w:color="auto" w:fill="FFFFFF"/>
            <w:tcMar>
              <w:left w:w="67" w:type="dxa"/>
              <w:right w:w="67" w:type="dxa"/>
            </w:tcMar>
            <w:vAlign w:val="center"/>
          </w:tcPr>
          <w:p w14:paraId="796D80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0.9782</w:t>
            </w:r>
          </w:p>
        </w:tc>
        <w:tc>
          <w:tcPr>
            <w:tcW w:w="1134" w:type="dxa"/>
            <w:tcBorders>
              <w:top w:val="nil"/>
              <w:left w:val="nil"/>
              <w:bottom w:val="nil"/>
              <w:right w:val="nil"/>
            </w:tcBorders>
            <w:shd w:val="clear" w:color="auto" w:fill="FFFFFF"/>
            <w:tcMar>
              <w:left w:w="67" w:type="dxa"/>
              <w:right w:w="67" w:type="dxa"/>
            </w:tcMar>
            <w:vAlign w:val="center"/>
          </w:tcPr>
          <w:p w14:paraId="78F319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1.7293</w:t>
            </w:r>
          </w:p>
        </w:tc>
        <w:tc>
          <w:tcPr>
            <w:tcW w:w="1134" w:type="dxa"/>
            <w:tcBorders>
              <w:top w:val="nil"/>
              <w:left w:val="nil"/>
              <w:bottom w:val="nil"/>
              <w:right w:val="nil"/>
            </w:tcBorders>
            <w:shd w:val="clear" w:color="auto" w:fill="FFFFFF"/>
            <w:tcMar>
              <w:left w:w="67" w:type="dxa"/>
              <w:right w:w="67" w:type="dxa"/>
            </w:tcMar>
            <w:vAlign w:val="center"/>
          </w:tcPr>
          <w:p w14:paraId="212EEC1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023B0A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3DCEE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061FAB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A5087B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6E747E8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62700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-0.0055</w:t>
            </w:r>
          </w:p>
        </w:tc>
        <w:tc>
          <w:tcPr>
            <w:tcW w:w="1134" w:type="dxa"/>
            <w:tcBorders>
              <w:top w:val="nil"/>
              <w:left w:val="nil"/>
              <w:bottom w:val="nil"/>
              <w:right w:val="nil"/>
            </w:tcBorders>
            <w:shd w:val="clear" w:color="auto" w:fill="FFFFFF"/>
            <w:tcMar>
              <w:left w:w="67" w:type="dxa"/>
              <w:right w:w="67" w:type="dxa"/>
            </w:tcMar>
            <w:vAlign w:val="center"/>
          </w:tcPr>
          <w:p w14:paraId="214DC0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0.0042</w:t>
            </w:r>
          </w:p>
        </w:tc>
        <w:tc>
          <w:tcPr>
            <w:tcW w:w="1134" w:type="dxa"/>
            <w:tcBorders>
              <w:top w:val="nil"/>
              <w:left w:val="nil"/>
              <w:bottom w:val="nil"/>
              <w:right w:val="nil"/>
            </w:tcBorders>
            <w:shd w:val="clear" w:color="auto" w:fill="FFFFFF"/>
            <w:tcMar>
              <w:left w:w="67" w:type="dxa"/>
              <w:right w:w="67" w:type="dxa"/>
            </w:tcMar>
            <w:vAlign w:val="center"/>
          </w:tcPr>
          <w:p w14:paraId="3EED11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0.9945</w:t>
            </w:r>
          </w:p>
        </w:tc>
        <w:tc>
          <w:tcPr>
            <w:tcW w:w="1134" w:type="dxa"/>
            <w:tcBorders>
              <w:top w:val="nil"/>
              <w:left w:val="nil"/>
              <w:bottom w:val="nil"/>
              <w:right w:val="nil"/>
            </w:tcBorders>
            <w:shd w:val="clear" w:color="auto" w:fill="FFFFFF"/>
            <w:tcMar>
              <w:left w:w="67" w:type="dxa"/>
              <w:right w:w="67" w:type="dxa"/>
            </w:tcMar>
            <w:vAlign w:val="center"/>
          </w:tcPr>
          <w:p w14:paraId="27B47B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0.9852</w:t>
            </w:r>
          </w:p>
        </w:tc>
        <w:tc>
          <w:tcPr>
            <w:tcW w:w="1134" w:type="dxa"/>
            <w:tcBorders>
              <w:top w:val="nil"/>
              <w:left w:val="nil"/>
              <w:bottom w:val="nil"/>
              <w:right w:val="nil"/>
            </w:tcBorders>
            <w:shd w:val="clear" w:color="auto" w:fill="FFFFFF"/>
            <w:tcMar>
              <w:left w:w="67" w:type="dxa"/>
              <w:right w:w="67" w:type="dxa"/>
            </w:tcMar>
            <w:vAlign w:val="center"/>
          </w:tcPr>
          <w:p w14:paraId="51FDBA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1.0039</w:t>
            </w:r>
          </w:p>
        </w:tc>
        <w:tc>
          <w:tcPr>
            <w:tcW w:w="1134" w:type="dxa"/>
            <w:tcBorders>
              <w:top w:val="nil"/>
              <w:left w:val="nil"/>
              <w:bottom w:val="nil"/>
              <w:right w:val="nil"/>
            </w:tcBorders>
            <w:shd w:val="clear" w:color="auto" w:fill="FFFFFF"/>
            <w:tcMar>
              <w:left w:w="67" w:type="dxa"/>
              <w:right w:w="67" w:type="dxa"/>
            </w:tcMar>
            <w:vAlign w:val="center"/>
          </w:tcPr>
          <w:p w14:paraId="0DDDB4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1.72</w:t>
            </w:r>
          </w:p>
        </w:tc>
        <w:tc>
          <w:tcPr>
            <w:tcW w:w="567" w:type="dxa"/>
            <w:tcBorders>
              <w:top w:val="nil"/>
              <w:left w:val="nil"/>
              <w:bottom w:val="nil"/>
              <w:right w:val="nil"/>
            </w:tcBorders>
            <w:shd w:val="clear" w:color="auto" w:fill="FFFFFF"/>
            <w:tcMar>
              <w:left w:w="67" w:type="dxa"/>
              <w:right w:w="67" w:type="dxa"/>
            </w:tcMar>
            <w:vAlign w:val="center"/>
          </w:tcPr>
          <w:p w14:paraId="0D721B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A224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0.1895</w:t>
            </w:r>
          </w:p>
        </w:tc>
      </w:tr>
      <w:tr w:rsidR="00B77EA3" w:rsidRPr="0082484A" w14:paraId="3ABB776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9DBF3C1"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1623129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A8C62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0.0302</w:t>
            </w:r>
          </w:p>
        </w:tc>
        <w:tc>
          <w:tcPr>
            <w:tcW w:w="1134" w:type="dxa"/>
            <w:tcBorders>
              <w:top w:val="nil"/>
              <w:left w:val="nil"/>
              <w:bottom w:val="nil"/>
              <w:right w:val="nil"/>
            </w:tcBorders>
            <w:shd w:val="clear" w:color="auto" w:fill="FFFFFF"/>
            <w:tcMar>
              <w:left w:w="67" w:type="dxa"/>
              <w:right w:w="67" w:type="dxa"/>
            </w:tcMar>
            <w:vAlign w:val="center"/>
          </w:tcPr>
          <w:p w14:paraId="56BEC9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0.0056</w:t>
            </w:r>
          </w:p>
        </w:tc>
        <w:tc>
          <w:tcPr>
            <w:tcW w:w="1134" w:type="dxa"/>
            <w:tcBorders>
              <w:top w:val="nil"/>
              <w:left w:val="nil"/>
              <w:bottom w:val="nil"/>
              <w:right w:val="nil"/>
            </w:tcBorders>
            <w:shd w:val="clear" w:color="auto" w:fill="FFFFFF"/>
            <w:tcMar>
              <w:left w:w="67" w:type="dxa"/>
              <w:right w:w="67" w:type="dxa"/>
            </w:tcMar>
            <w:vAlign w:val="center"/>
          </w:tcPr>
          <w:p w14:paraId="704206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1.0306</w:t>
            </w:r>
          </w:p>
        </w:tc>
        <w:tc>
          <w:tcPr>
            <w:tcW w:w="1134" w:type="dxa"/>
            <w:tcBorders>
              <w:top w:val="nil"/>
              <w:left w:val="nil"/>
              <w:bottom w:val="nil"/>
              <w:right w:val="nil"/>
            </w:tcBorders>
            <w:shd w:val="clear" w:color="auto" w:fill="FFFFFF"/>
            <w:tcMar>
              <w:left w:w="67" w:type="dxa"/>
              <w:right w:w="67" w:type="dxa"/>
            </w:tcMar>
            <w:vAlign w:val="center"/>
          </w:tcPr>
          <w:p w14:paraId="30034D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1.0177</w:t>
            </w:r>
          </w:p>
        </w:tc>
        <w:tc>
          <w:tcPr>
            <w:tcW w:w="1134" w:type="dxa"/>
            <w:tcBorders>
              <w:top w:val="nil"/>
              <w:left w:val="nil"/>
              <w:bottom w:val="nil"/>
              <w:right w:val="nil"/>
            </w:tcBorders>
            <w:shd w:val="clear" w:color="auto" w:fill="FFFFFF"/>
            <w:tcMar>
              <w:left w:w="67" w:type="dxa"/>
              <w:right w:w="67" w:type="dxa"/>
            </w:tcMar>
            <w:vAlign w:val="center"/>
          </w:tcPr>
          <w:p w14:paraId="09C143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1.0438</w:t>
            </w:r>
          </w:p>
        </w:tc>
        <w:tc>
          <w:tcPr>
            <w:tcW w:w="1134" w:type="dxa"/>
            <w:tcBorders>
              <w:top w:val="nil"/>
              <w:left w:val="nil"/>
              <w:bottom w:val="nil"/>
              <w:right w:val="nil"/>
            </w:tcBorders>
            <w:shd w:val="clear" w:color="auto" w:fill="FFFFFF"/>
            <w:tcMar>
              <w:left w:w="67" w:type="dxa"/>
              <w:right w:w="67" w:type="dxa"/>
            </w:tcMar>
            <w:vAlign w:val="center"/>
          </w:tcPr>
          <w:p w14:paraId="5655C5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28.58</w:t>
            </w:r>
          </w:p>
        </w:tc>
        <w:tc>
          <w:tcPr>
            <w:tcW w:w="567" w:type="dxa"/>
            <w:tcBorders>
              <w:top w:val="nil"/>
              <w:left w:val="nil"/>
              <w:bottom w:val="nil"/>
              <w:right w:val="nil"/>
            </w:tcBorders>
            <w:shd w:val="clear" w:color="auto" w:fill="FFFFFF"/>
            <w:tcMar>
              <w:left w:w="67" w:type="dxa"/>
              <w:right w:w="67" w:type="dxa"/>
            </w:tcMar>
            <w:vAlign w:val="center"/>
          </w:tcPr>
          <w:p w14:paraId="338424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696E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A5ECB9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4E02B8B"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66F342C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D5560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6F5670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6232C1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503D6C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0.9981</w:t>
            </w:r>
          </w:p>
        </w:tc>
        <w:tc>
          <w:tcPr>
            <w:tcW w:w="1134" w:type="dxa"/>
            <w:tcBorders>
              <w:top w:val="nil"/>
              <w:left w:val="nil"/>
              <w:bottom w:val="nil"/>
              <w:right w:val="nil"/>
            </w:tcBorders>
            <w:shd w:val="clear" w:color="auto" w:fill="FFFFFF"/>
            <w:tcMar>
              <w:left w:w="67" w:type="dxa"/>
              <w:right w:w="67" w:type="dxa"/>
            </w:tcMar>
            <w:vAlign w:val="center"/>
          </w:tcPr>
          <w:p w14:paraId="5F89BB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1.0053</w:t>
            </w:r>
          </w:p>
        </w:tc>
        <w:tc>
          <w:tcPr>
            <w:tcW w:w="1134" w:type="dxa"/>
            <w:tcBorders>
              <w:top w:val="nil"/>
              <w:left w:val="nil"/>
              <w:bottom w:val="nil"/>
              <w:right w:val="nil"/>
            </w:tcBorders>
            <w:shd w:val="clear" w:color="auto" w:fill="FFFFFF"/>
            <w:tcMar>
              <w:left w:w="67" w:type="dxa"/>
              <w:right w:w="67" w:type="dxa"/>
            </w:tcMar>
            <w:vAlign w:val="center"/>
          </w:tcPr>
          <w:p w14:paraId="41F209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w:t>
            </w:r>
          </w:p>
        </w:tc>
        <w:tc>
          <w:tcPr>
            <w:tcW w:w="567" w:type="dxa"/>
            <w:tcBorders>
              <w:top w:val="nil"/>
              <w:left w:val="nil"/>
              <w:bottom w:val="nil"/>
              <w:right w:val="nil"/>
            </w:tcBorders>
            <w:shd w:val="clear" w:color="auto" w:fill="FFFFFF"/>
            <w:tcMar>
              <w:left w:w="67" w:type="dxa"/>
              <w:right w:w="67" w:type="dxa"/>
            </w:tcMar>
            <w:vAlign w:val="center"/>
          </w:tcPr>
          <w:p w14:paraId="7D6D21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AB3D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0.2853</w:t>
            </w:r>
          </w:p>
        </w:tc>
      </w:tr>
      <w:tr w:rsidR="00B77EA3" w:rsidRPr="0082484A" w14:paraId="76A86B06"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1B63F45"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57A60FD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8BB43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32A1F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217F4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BFF79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0.8527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2D8A5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1.0188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C5EF1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165ED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0E5890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0.0763</w:t>
            </w:r>
          </w:p>
        </w:tc>
      </w:tr>
    </w:tbl>
    <w:p w14:paraId="361EBA72" w14:textId="77777777" w:rsidR="00B77EA3" w:rsidRPr="0082484A" w:rsidRDefault="00B77EA3" w:rsidP="00B77EA3">
      <w:pPr>
        <w:spacing w:before="0" w:after="160" w:line="259" w:lineRule="auto"/>
        <w:rPr>
          <w:sz w:val="22"/>
          <w:szCs w:val="22"/>
        </w:rPr>
      </w:pPr>
      <w:r w:rsidRPr="0082484A">
        <w:rPr>
          <w:sz w:val="22"/>
          <w:szCs w:val="22"/>
        </w:rPr>
        <w:t xml:space="preserve">The estimated number needed to treat for one patient aged under 80 years with coronary heart disease to achieve blood pressure below 140/90 mmHg is 69 </w:t>
      </w:r>
      <w:r w:rsidRPr="0082484A">
        <w:rPr>
          <w:sz w:val="22"/>
          <w:szCs w:val="22"/>
        </w:rPr>
        <w:br w:type="page"/>
      </w:r>
    </w:p>
    <w:p w14:paraId="53E3653B" w14:textId="3E7D93A4" w:rsidR="00B77EA3" w:rsidRPr="0082484A" w:rsidRDefault="00B77EA3" w:rsidP="00B77EA3">
      <w:pPr>
        <w:spacing w:before="0" w:line="240" w:lineRule="auto"/>
        <w:rPr>
          <w:bCs/>
          <w:sz w:val="22"/>
          <w:szCs w:val="22"/>
        </w:rPr>
      </w:pPr>
      <w:bookmarkStart w:id="160" w:name="_Ref502917875"/>
      <w:bookmarkStart w:id="161" w:name="_Toc8728117"/>
      <w:bookmarkStart w:id="162" w:name="_Toc19526772"/>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43</w:t>
      </w:r>
      <w:r w:rsidRPr="0082484A">
        <w:rPr>
          <w:bCs/>
          <w:noProof/>
          <w:sz w:val="22"/>
          <w:szCs w:val="22"/>
        </w:rPr>
        <w:fldChar w:fldCharType="end"/>
      </w:r>
      <w:bookmarkEnd w:id="160"/>
      <w:r w:rsidRPr="0082484A">
        <w:rPr>
          <w:bCs/>
          <w:sz w:val="22"/>
          <w:szCs w:val="22"/>
        </w:rPr>
        <w:t>: Secondary outcome for Trial 2: Blood pressure below 140/90 mmHg in patients aged under 80 years with peripheral arterial disease (WP4A)</w:t>
      </w:r>
      <w:bookmarkEnd w:id="161"/>
      <w:bookmarkEnd w:id="162"/>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5E74B83D"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5AF5CA7"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38252CD"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AF5E0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B757C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AE9B3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8869DB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F5C9F6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F5B7E1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40226F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19E3C1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136BF4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ECCF3AC"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7ACDC7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1D925F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0.1930</w:t>
            </w:r>
          </w:p>
        </w:tc>
        <w:tc>
          <w:tcPr>
            <w:tcW w:w="1134" w:type="dxa"/>
            <w:tcBorders>
              <w:top w:val="nil"/>
              <w:left w:val="nil"/>
              <w:bottom w:val="nil"/>
              <w:right w:val="nil"/>
            </w:tcBorders>
            <w:shd w:val="clear" w:color="auto" w:fill="FFFFFF"/>
            <w:tcMar>
              <w:left w:w="67" w:type="dxa"/>
              <w:right w:w="67" w:type="dxa"/>
            </w:tcMar>
            <w:vAlign w:val="center"/>
          </w:tcPr>
          <w:p w14:paraId="136979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0.0941</w:t>
            </w:r>
          </w:p>
        </w:tc>
        <w:tc>
          <w:tcPr>
            <w:tcW w:w="1134" w:type="dxa"/>
            <w:tcBorders>
              <w:top w:val="nil"/>
              <w:left w:val="nil"/>
              <w:bottom w:val="nil"/>
              <w:right w:val="nil"/>
            </w:tcBorders>
            <w:shd w:val="clear" w:color="auto" w:fill="FFFFFF"/>
            <w:tcMar>
              <w:left w:w="67" w:type="dxa"/>
              <w:right w:w="67" w:type="dxa"/>
            </w:tcMar>
            <w:vAlign w:val="center"/>
          </w:tcPr>
          <w:p w14:paraId="50762A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1.2129</w:t>
            </w:r>
          </w:p>
        </w:tc>
        <w:tc>
          <w:tcPr>
            <w:tcW w:w="1134" w:type="dxa"/>
            <w:tcBorders>
              <w:top w:val="nil"/>
              <w:left w:val="nil"/>
              <w:bottom w:val="nil"/>
              <w:right w:val="nil"/>
            </w:tcBorders>
            <w:shd w:val="clear" w:color="auto" w:fill="FFFFFF"/>
            <w:tcMar>
              <w:left w:w="67" w:type="dxa"/>
              <w:right w:w="67" w:type="dxa"/>
            </w:tcMar>
            <w:vAlign w:val="center"/>
          </w:tcPr>
          <w:p w14:paraId="605591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0.9821</w:t>
            </w:r>
          </w:p>
        </w:tc>
        <w:tc>
          <w:tcPr>
            <w:tcW w:w="1134" w:type="dxa"/>
            <w:tcBorders>
              <w:top w:val="nil"/>
              <w:left w:val="nil"/>
              <w:bottom w:val="nil"/>
              <w:right w:val="nil"/>
            </w:tcBorders>
            <w:shd w:val="clear" w:color="auto" w:fill="FFFFFF"/>
            <w:tcMar>
              <w:left w:w="67" w:type="dxa"/>
              <w:right w:w="67" w:type="dxa"/>
            </w:tcMar>
            <w:vAlign w:val="center"/>
          </w:tcPr>
          <w:p w14:paraId="4DCD2B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1.4979</w:t>
            </w:r>
          </w:p>
        </w:tc>
        <w:tc>
          <w:tcPr>
            <w:tcW w:w="1134" w:type="dxa"/>
            <w:tcBorders>
              <w:top w:val="nil"/>
              <w:left w:val="nil"/>
              <w:bottom w:val="nil"/>
              <w:right w:val="nil"/>
            </w:tcBorders>
            <w:shd w:val="clear" w:color="auto" w:fill="FFFFFF"/>
            <w:tcMar>
              <w:left w:w="67" w:type="dxa"/>
              <w:right w:w="67" w:type="dxa"/>
            </w:tcMar>
            <w:vAlign w:val="center"/>
          </w:tcPr>
          <w:p w14:paraId="530738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4.21</w:t>
            </w:r>
          </w:p>
        </w:tc>
        <w:tc>
          <w:tcPr>
            <w:tcW w:w="567" w:type="dxa"/>
            <w:tcBorders>
              <w:top w:val="nil"/>
              <w:left w:val="nil"/>
              <w:bottom w:val="nil"/>
              <w:right w:val="nil"/>
            </w:tcBorders>
            <w:shd w:val="clear" w:color="auto" w:fill="FFFFFF"/>
            <w:tcMar>
              <w:left w:w="67" w:type="dxa"/>
              <w:right w:w="67" w:type="dxa"/>
            </w:tcMar>
            <w:vAlign w:val="center"/>
          </w:tcPr>
          <w:p w14:paraId="5720D2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331E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0.0404</w:t>
            </w:r>
          </w:p>
        </w:tc>
      </w:tr>
      <w:tr w:rsidR="00B77EA3" w:rsidRPr="0082484A" w14:paraId="31EEE2A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C548AFD"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0264EC5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74CBBD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0.0155</w:t>
            </w:r>
          </w:p>
        </w:tc>
        <w:tc>
          <w:tcPr>
            <w:tcW w:w="1134" w:type="dxa"/>
            <w:tcBorders>
              <w:top w:val="nil"/>
              <w:left w:val="nil"/>
              <w:bottom w:val="nil"/>
              <w:right w:val="nil"/>
            </w:tcBorders>
            <w:shd w:val="clear" w:color="auto" w:fill="FFFFFF"/>
            <w:tcMar>
              <w:left w:w="67" w:type="dxa"/>
              <w:right w:w="67" w:type="dxa"/>
            </w:tcMar>
            <w:vAlign w:val="center"/>
          </w:tcPr>
          <w:p w14:paraId="4722F6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0.0885</w:t>
            </w:r>
          </w:p>
        </w:tc>
        <w:tc>
          <w:tcPr>
            <w:tcW w:w="1134" w:type="dxa"/>
            <w:tcBorders>
              <w:top w:val="nil"/>
              <w:left w:val="nil"/>
              <w:bottom w:val="nil"/>
              <w:right w:val="nil"/>
            </w:tcBorders>
            <w:shd w:val="clear" w:color="auto" w:fill="FFFFFF"/>
            <w:tcMar>
              <w:left w:w="67" w:type="dxa"/>
              <w:right w:w="67" w:type="dxa"/>
            </w:tcMar>
            <w:vAlign w:val="center"/>
          </w:tcPr>
          <w:p w14:paraId="2365CB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1.0156</w:t>
            </w:r>
          </w:p>
        </w:tc>
        <w:tc>
          <w:tcPr>
            <w:tcW w:w="1134" w:type="dxa"/>
            <w:tcBorders>
              <w:top w:val="nil"/>
              <w:left w:val="nil"/>
              <w:bottom w:val="nil"/>
              <w:right w:val="nil"/>
            </w:tcBorders>
            <w:shd w:val="clear" w:color="auto" w:fill="FFFFFF"/>
            <w:tcMar>
              <w:left w:w="67" w:type="dxa"/>
              <w:right w:w="67" w:type="dxa"/>
            </w:tcMar>
            <w:vAlign w:val="center"/>
          </w:tcPr>
          <w:p w14:paraId="132FD1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0.8328</w:t>
            </w:r>
          </w:p>
        </w:tc>
        <w:tc>
          <w:tcPr>
            <w:tcW w:w="1134" w:type="dxa"/>
            <w:tcBorders>
              <w:top w:val="nil"/>
              <w:left w:val="nil"/>
              <w:bottom w:val="nil"/>
              <w:right w:val="nil"/>
            </w:tcBorders>
            <w:shd w:val="clear" w:color="auto" w:fill="FFFFFF"/>
            <w:tcMar>
              <w:left w:w="67" w:type="dxa"/>
              <w:right w:w="67" w:type="dxa"/>
            </w:tcMar>
            <w:vAlign w:val="center"/>
          </w:tcPr>
          <w:p w14:paraId="2C7CE5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1.2385</w:t>
            </w:r>
          </w:p>
        </w:tc>
        <w:tc>
          <w:tcPr>
            <w:tcW w:w="1134" w:type="dxa"/>
            <w:tcBorders>
              <w:top w:val="nil"/>
              <w:left w:val="nil"/>
              <w:bottom w:val="nil"/>
              <w:right w:val="nil"/>
            </w:tcBorders>
            <w:shd w:val="clear" w:color="auto" w:fill="FFFFFF"/>
            <w:tcMar>
              <w:left w:w="67" w:type="dxa"/>
              <w:right w:w="67" w:type="dxa"/>
            </w:tcMar>
            <w:vAlign w:val="center"/>
          </w:tcPr>
          <w:p w14:paraId="4E7246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111895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7206C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0.8611</w:t>
            </w:r>
          </w:p>
        </w:tc>
      </w:tr>
      <w:tr w:rsidR="00B77EA3" w:rsidRPr="0082484A" w14:paraId="51F1DC3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47937FF"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2965EEA1"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6806A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0.0153</w:t>
            </w:r>
          </w:p>
        </w:tc>
        <w:tc>
          <w:tcPr>
            <w:tcW w:w="1134" w:type="dxa"/>
            <w:tcBorders>
              <w:top w:val="nil"/>
              <w:left w:val="nil"/>
              <w:bottom w:val="nil"/>
              <w:right w:val="nil"/>
            </w:tcBorders>
            <w:shd w:val="clear" w:color="auto" w:fill="FFFFFF"/>
            <w:tcMar>
              <w:left w:w="67" w:type="dxa"/>
              <w:right w:w="67" w:type="dxa"/>
            </w:tcMar>
            <w:vAlign w:val="center"/>
          </w:tcPr>
          <w:p w14:paraId="478D61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0.0049</w:t>
            </w:r>
          </w:p>
        </w:tc>
        <w:tc>
          <w:tcPr>
            <w:tcW w:w="1134" w:type="dxa"/>
            <w:tcBorders>
              <w:top w:val="nil"/>
              <w:left w:val="nil"/>
              <w:bottom w:val="nil"/>
              <w:right w:val="nil"/>
            </w:tcBorders>
            <w:shd w:val="clear" w:color="auto" w:fill="FFFFFF"/>
            <w:tcMar>
              <w:left w:w="67" w:type="dxa"/>
              <w:right w:w="67" w:type="dxa"/>
            </w:tcMar>
            <w:vAlign w:val="center"/>
          </w:tcPr>
          <w:p w14:paraId="15EC26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1.0154</w:t>
            </w:r>
          </w:p>
        </w:tc>
        <w:tc>
          <w:tcPr>
            <w:tcW w:w="1134" w:type="dxa"/>
            <w:tcBorders>
              <w:top w:val="nil"/>
              <w:left w:val="nil"/>
              <w:bottom w:val="nil"/>
              <w:right w:val="nil"/>
            </w:tcBorders>
            <w:shd w:val="clear" w:color="auto" w:fill="FFFFFF"/>
            <w:tcMar>
              <w:left w:w="67" w:type="dxa"/>
              <w:right w:w="67" w:type="dxa"/>
            </w:tcMar>
            <w:vAlign w:val="center"/>
          </w:tcPr>
          <w:p w14:paraId="1F9DDE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1.0044</w:t>
            </w:r>
          </w:p>
        </w:tc>
        <w:tc>
          <w:tcPr>
            <w:tcW w:w="1134" w:type="dxa"/>
            <w:tcBorders>
              <w:top w:val="nil"/>
              <w:left w:val="nil"/>
              <w:bottom w:val="nil"/>
              <w:right w:val="nil"/>
            </w:tcBorders>
            <w:shd w:val="clear" w:color="auto" w:fill="FFFFFF"/>
            <w:tcMar>
              <w:left w:w="67" w:type="dxa"/>
              <w:right w:w="67" w:type="dxa"/>
            </w:tcMar>
            <w:vAlign w:val="center"/>
          </w:tcPr>
          <w:p w14:paraId="06638D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1.0266</w:t>
            </w:r>
          </w:p>
        </w:tc>
        <w:tc>
          <w:tcPr>
            <w:tcW w:w="1134" w:type="dxa"/>
            <w:tcBorders>
              <w:top w:val="nil"/>
              <w:left w:val="nil"/>
              <w:bottom w:val="nil"/>
              <w:right w:val="nil"/>
            </w:tcBorders>
            <w:shd w:val="clear" w:color="auto" w:fill="FFFFFF"/>
            <w:tcMar>
              <w:left w:w="67" w:type="dxa"/>
              <w:right w:w="67" w:type="dxa"/>
            </w:tcMar>
            <w:vAlign w:val="center"/>
          </w:tcPr>
          <w:p w14:paraId="344A4B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9.82</w:t>
            </w:r>
          </w:p>
        </w:tc>
        <w:tc>
          <w:tcPr>
            <w:tcW w:w="567" w:type="dxa"/>
            <w:tcBorders>
              <w:top w:val="nil"/>
              <w:left w:val="nil"/>
              <w:bottom w:val="nil"/>
              <w:right w:val="nil"/>
            </w:tcBorders>
            <w:shd w:val="clear" w:color="auto" w:fill="FFFFFF"/>
            <w:tcMar>
              <w:left w:w="67" w:type="dxa"/>
              <w:right w:w="67" w:type="dxa"/>
            </w:tcMar>
            <w:vAlign w:val="center"/>
          </w:tcPr>
          <w:p w14:paraId="2146B5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9B53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r>
      <w:tr w:rsidR="00B77EA3" w:rsidRPr="0082484A" w14:paraId="0530B1A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699F283"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AF95ED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BB80A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0E64FF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53B894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0.9963</w:t>
            </w:r>
          </w:p>
        </w:tc>
        <w:tc>
          <w:tcPr>
            <w:tcW w:w="1134" w:type="dxa"/>
            <w:tcBorders>
              <w:top w:val="nil"/>
              <w:left w:val="nil"/>
              <w:bottom w:val="nil"/>
              <w:right w:val="nil"/>
            </w:tcBorders>
            <w:shd w:val="clear" w:color="auto" w:fill="FFFFFF"/>
            <w:tcMar>
              <w:left w:w="67" w:type="dxa"/>
              <w:right w:w="67" w:type="dxa"/>
            </w:tcMar>
            <w:vAlign w:val="center"/>
          </w:tcPr>
          <w:p w14:paraId="6B3836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0.9935</w:t>
            </w:r>
          </w:p>
        </w:tc>
        <w:tc>
          <w:tcPr>
            <w:tcW w:w="1134" w:type="dxa"/>
            <w:tcBorders>
              <w:top w:val="nil"/>
              <w:left w:val="nil"/>
              <w:bottom w:val="nil"/>
              <w:right w:val="nil"/>
            </w:tcBorders>
            <w:shd w:val="clear" w:color="auto" w:fill="FFFFFF"/>
            <w:tcMar>
              <w:left w:w="67" w:type="dxa"/>
              <w:right w:w="67" w:type="dxa"/>
            </w:tcMar>
            <w:vAlign w:val="center"/>
          </w:tcPr>
          <w:p w14:paraId="669F0D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0.9991</w:t>
            </w:r>
          </w:p>
        </w:tc>
        <w:tc>
          <w:tcPr>
            <w:tcW w:w="1134" w:type="dxa"/>
            <w:tcBorders>
              <w:top w:val="nil"/>
              <w:left w:val="nil"/>
              <w:bottom w:val="nil"/>
              <w:right w:val="nil"/>
            </w:tcBorders>
            <w:shd w:val="clear" w:color="auto" w:fill="FFFFFF"/>
            <w:tcMar>
              <w:left w:w="67" w:type="dxa"/>
              <w:right w:w="67" w:type="dxa"/>
            </w:tcMar>
            <w:vAlign w:val="center"/>
          </w:tcPr>
          <w:p w14:paraId="7EE792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8.64</w:t>
            </w:r>
          </w:p>
        </w:tc>
        <w:tc>
          <w:tcPr>
            <w:tcW w:w="567" w:type="dxa"/>
            <w:tcBorders>
              <w:top w:val="nil"/>
              <w:left w:val="nil"/>
              <w:bottom w:val="nil"/>
              <w:right w:val="nil"/>
            </w:tcBorders>
            <w:shd w:val="clear" w:color="auto" w:fill="FFFFFF"/>
            <w:tcMar>
              <w:left w:w="67" w:type="dxa"/>
              <w:right w:w="67" w:type="dxa"/>
            </w:tcMar>
            <w:vAlign w:val="center"/>
          </w:tcPr>
          <w:p w14:paraId="14F2B7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740D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r>
      <w:tr w:rsidR="00B77EA3" w:rsidRPr="0082484A" w14:paraId="2D8A6A9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81C0E7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7649B7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9AC03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0.1947</w:t>
            </w:r>
          </w:p>
        </w:tc>
        <w:tc>
          <w:tcPr>
            <w:tcW w:w="1134" w:type="dxa"/>
            <w:tcBorders>
              <w:top w:val="nil"/>
              <w:left w:val="nil"/>
              <w:bottom w:val="nil"/>
              <w:right w:val="nil"/>
            </w:tcBorders>
            <w:shd w:val="clear" w:color="auto" w:fill="FFFFFF"/>
            <w:tcMar>
              <w:left w:w="67" w:type="dxa"/>
              <w:right w:w="67" w:type="dxa"/>
            </w:tcMar>
            <w:vAlign w:val="center"/>
          </w:tcPr>
          <w:p w14:paraId="3703FB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0.1924</w:t>
            </w:r>
          </w:p>
        </w:tc>
        <w:tc>
          <w:tcPr>
            <w:tcW w:w="1134" w:type="dxa"/>
            <w:tcBorders>
              <w:top w:val="nil"/>
              <w:left w:val="nil"/>
              <w:bottom w:val="nil"/>
              <w:right w:val="nil"/>
            </w:tcBorders>
            <w:shd w:val="clear" w:color="auto" w:fill="FFFFFF"/>
            <w:tcMar>
              <w:left w:w="67" w:type="dxa"/>
              <w:right w:w="67" w:type="dxa"/>
            </w:tcMar>
            <w:vAlign w:val="center"/>
          </w:tcPr>
          <w:p w14:paraId="2EC879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1.2149</w:t>
            </w:r>
          </w:p>
        </w:tc>
        <w:tc>
          <w:tcPr>
            <w:tcW w:w="1134" w:type="dxa"/>
            <w:tcBorders>
              <w:top w:val="nil"/>
              <w:left w:val="nil"/>
              <w:bottom w:val="nil"/>
              <w:right w:val="nil"/>
            </w:tcBorders>
            <w:shd w:val="clear" w:color="auto" w:fill="FFFFFF"/>
            <w:tcMar>
              <w:left w:w="67" w:type="dxa"/>
              <w:right w:w="67" w:type="dxa"/>
            </w:tcMar>
            <w:vAlign w:val="center"/>
          </w:tcPr>
          <w:p w14:paraId="5BD95B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0.7892</w:t>
            </w:r>
          </w:p>
        </w:tc>
        <w:tc>
          <w:tcPr>
            <w:tcW w:w="1134" w:type="dxa"/>
            <w:tcBorders>
              <w:top w:val="nil"/>
              <w:left w:val="nil"/>
              <w:bottom w:val="nil"/>
              <w:right w:val="nil"/>
            </w:tcBorders>
            <w:shd w:val="clear" w:color="auto" w:fill="FFFFFF"/>
            <w:tcMar>
              <w:left w:w="67" w:type="dxa"/>
              <w:right w:w="67" w:type="dxa"/>
            </w:tcMar>
            <w:vAlign w:val="center"/>
          </w:tcPr>
          <w:p w14:paraId="3C8859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1.8704</w:t>
            </w:r>
          </w:p>
        </w:tc>
        <w:tc>
          <w:tcPr>
            <w:tcW w:w="1134" w:type="dxa"/>
            <w:tcBorders>
              <w:top w:val="nil"/>
              <w:left w:val="nil"/>
              <w:bottom w:val="nil"/>
              <w:right w:val="nil"/>
            </w:tcBorders>
            <w:shd w:val="clear" w:color="auto" w:fill="FFFFFF"/>
            <w:tcMar>
              <w:left w:w="67" w:type="dxa"/>
              <w:right w:w="67" w:type="dxa"/>
            </w:tcMar>
            <w:vAlign w:val="center"/>
          </w:tcPr>
          <w:p w14:paraId="55F160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2.79</w:t>
            </w:r>
          </w:p>
        </w:tc>
        <w:tc>
          <w:tcPr>
            <w:tcW w:w="567" w:type="dxa"/>
            <w:tcBorders>
              <w:top w:val="nil"/>
              <w:left w:val="nil"/>
              <w:bottom w:val="nil"/>
              <w:right w:val="nil"/>
            </w:tcBorders>
            <w:shd w:val="clear" w:color="auto" w:fill="FFFFFF"/>
            <w:tcMar>
              <w:left w:w="67" w:type="dxa"/>
              <w:right w:w="67" w:type="dxa"/>
            </w:tcMar>
            <w:vAlign w:val="center"/>
          </w:tcPr>
          <w:p w14:paraId="281F72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8710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0.0045</w:t>
            </w:r>
          </w:p>
        </w:tc>
      </w:tr>
      <w:tr w:rsidR="00B77EA3" w:rsidRPr="0082484A" w14:paraId="4CA1587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228EBC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6EA8DA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F4947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0.0327</w:t>
            </w:r>
          </w:p>
        </w:tc>
        <w:tc>
          <w:tcPr>
            <w:tcW w:w="1134" w:type="dxa"/>
            <w:tcBorders>
              <w:top w:val="nil"/>
              <w:left w:val="nil"/>
              <w:bottom w:val="nil"/>
              <w:right w:val="nil"/>
            </w:tcBorders>
            <w:shd w:val="clear" w:color="auto" w:fill="FFFFFF"/>
            <w:tcMar>
              <w:left w:w="67" w:type="dxa"/>
              <w:right w:w="67" w:type="dxa"/>
            </w:tcMar>
            <w:vAlign w:val="center"/>
          </w:tcPr>
          <w:p w14:paraId="4951F2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0.2275</w:t>
            </w:r>
          </w:p>
        </w:tc>
        <w:tc>
          <w:tcPr>
            <w:tcW w:w="1134" w:type="dxa"/>
            <w:tcBorders>
              <w:top w:val="nil"/>
              <w:left w:val="nil"/>
              <w:bottom w:val="nil"/>
              <w:right w:val="nil"/>
            </w:tcBorders>
            <w:shd w:val="clear" w:color="auto" w:fill="FFFFFF"/>
            <w:tcMar>
              <w:left w:w="67" w:type="dxa"/>
              <w:right w:w="67" w:type="dxa"/>
            </w:tcMar>
            <w:vAlign w:val="center"/>
          </w:tcPr>
          <w:p w14:paraId="67C1C4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1.0332</w:t>
            </w:r>
          </w:p>
        </w:tc>
        <w:tc>
          <w:tcPr>
            <w:tcW w:w="1134" w:type="dxa"/>
            <w:tcBorders>
              <w:top w:val="nil"/>
              <w:left w:val="nil"/>
              <w:bottom w:val="nil"/>
              <w:right w:val="nil"/>
            </w:tcBorders>
            <w:shd w:val="clear" w:color="auto" w:fill="FFFFFF"/>
            <w:tcMar>
              <w:left w:w="67" w:type="dxa"/>
              <w:right w:w="67" w:type="dxa"/>
            </w:tcMar>
            <w:vAlign w:val="center"/>
          </w:tcPr>
          <w:p w14:paraId="0F9B98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0.6203</w:t>
            </w:r>
          </w:p>
        </w:tc>
        <w:tc>
          <w:tcPr>
            <w:tcW w:w="1134" w:type="dxa"/>
            <w:tcBorders>
              <w:top w:val="nil"/>
              <w:left w:val="nil"/>
              <w:bottom w:val="nil"/>
              <w:right w:val="nil"/>
            </w:tcBorders>
            <w:shd w:val="clear" w:color="auto" w:fill="FFFFFF"/>
            <w:tcMar>
              <w:left w:w="67" w:type="dxa"/>
              <w:right w:w="67" w:type="dxa"/>
            </w:tcMar>
            <w:vAlign w:val="center"/>
          </w:tcPr>
          <w:p w14:paraId="5F2C82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1.7210</w:t>
            </w:r>
          </w:p>
        </w:tc>
        <w:tc>
          <w:tcPr>
            <w:tcW w:w="1134" w:type="dxa"/>
            <w:tcBorders>
              <w:top w:val="nil"/>
              <w:left w:val="nil"/>
              <w:bottom w:val="nil"/>
              <w:right w:val="nil"/>
            </w:tcBorders>
            <w:shd w:val="clear" w:color="auto" w:fill="FFFFFF"/>
            <w:tcMar>
              <w:left w:w="67" w:type="dxa"/>
              <w:right w:w="67" w:type="dxa"/>
            </w:tcMar>
            <w:vAlign w:val="center"/>
          </w:tcPr>
          <w:p w14:paraId="49974BA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C3D453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96289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5F1552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4CACA7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2C6ABF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ABF45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0.6632</w:t>
            </w:r>
          </w:p>
        </w:tc>
        <w:tc>
          <w:tcPr>
            <w:tcW w:w="1134" w:type="dxa"/>
            <w:tcBorders>
              <w:top w:val="nil"/>
              <w:left w:val="nil"/>
              <w:bottom w:val="nil"/>
              <w:right w:val="nil"/>
            </w:tcBorders>
            <w:shd w:val="clear" w:color="auto" w:fill="FFFFFF"/>
            <w:tcMar>
              <w:left w:w="67" w:type="dxa"/>
              <w:right w:w="67" w:type="dxa"/>
            </w:tcMar>
            <w:vAlign w:val="center"/>
          </w:tcPr>
          <w:p w14:paraId="06E93A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0.1942</w:t>
            </w:r>
          </w:p>
        </w:tc>
        <w:tc>
          <w:tcPr>
            <w:tcW w:w="1134" w:type="dxa"/>
            <w:tcBorders>
              <w:top w:val="nil"/>
              <w:left w:val="nil"/>
              <w:bottom w:val="nil"/>
              <w:right w:val="nil"/>
            </w:tcBorders>
            <w:shd w:val="clear" w:color="auto" w:fill="FFFFFF"/>
            <w:tcMar>
              <w:left w:w="67" w:type="dxa"/>
              <w:right w:w="67" w:type="dxa"/>
            </w:tcMar>
            <w:vAlign w:val="center"/>
          </w:tcPr>
          <w:p w14:paraId="3C6334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1.9410</w:t>
            </w:r>
          </w:p>
        </w:tc>
        <w:tc>
          <w:tcPr>
            <w:tcW w:w="1134" w:type="dxa"/>
            <w:tcBorders>
              <w:top w:val="nil"/>
              <w:left w:val="nil"/>
              <w:bottom w:val="nil"/>
              <w:right w:val="nil"/>
            </w:tcBorders>
            <w:shd w:val="clear" w:color="auto" w:fill="FFFFFF"/>
            <w:tcMar>
              <w:left w:w="67" w:type="dxa"/>
              <w:right w:w="67" w:type="dxa"/>
            </w:tcMar>
            <w:vAlign w:val="center"/>
          </w:tcPr>
          <w:p w14:paraId="44D16C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1.2555</w:t>
            </w:r>
          </w:p>
        </w:tc>
        <w:tc>
          <w:tcPr>
            <w:tcW w:w="1134" w:type="dxa"/>
            <w:tcBorders>
              <w:top w:val="nil"/>
              <w:left w:val="nil"/>
              <w:bottom w:val="nil"/>
              <w:right w:val="nil"/>
            </w:tcBorders>
            <w:shd w:val="clear" w:color="auto" w:fill="FFFFFF"/>
            <w:tcMar>
              <w:left w:w="67" w:type="dxa"/>
              <w:right w:w="67" w:type="dxa"/>
            </w:tcMar>
            <w:vAlign w:val="center"/>
          </w:tcPr>
          <w:p w14:paraId="312D32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3.0007</w:t>
            </w:r>
          </w:p>
        </w:tc>
        <w:tc>
          <w:tcPr>
            <w:tcW w:w="1134" w:type="dxa"/>
            <w:tcBorders>
              <w:top w:val="nil"/>
              <w:left w:val="nil"/>
              <w:bottom w:val="nil"/>
              <w:right w:val="nil"/>
            </w:tcBorders>
            <w:shd w:val="clear" w:color="auto" w:fill="FFFFFF"/>
            <w:tcMar>
              <w:left w:w="67" w:type="dxa"/>
              <w:right w:w="67" w:type="dxa"/>
            </w:tcMar>
            <w:vAlign w:val="center"/>
          </w:tcPr>
          <w:p w14:paraId="2DEED24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0559F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E5820D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FE00F5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65C08F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3D1B39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EE488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0.2200</w:t>
            </w:r>
          </w:p>
        </w:tc>
        <w:tc>
          <w:tcPr>
            <w:tcW w:w="1134" w:type="dxa"/>
            <w:tcBorders>
              <w:top w:val="nil"/>
              <w:left w:val="nil"/>
              <w:bottom w:val="nil"/>
              <w:right w:val="nil"/>
            </w:tcBorders>
            <w:shd w:val="clear" w:color="auto" w:fill="FFFFFF"/>
            <w:tcMar>
              <w:left w:w="67" w:type="dxa"/>
              <w:right w:w="67" w:type="dxa"/>
            </w:tcMar>
            <w:vAlign w:val="center"/>
          </w:tcPr>
          <w:p w14:paraId="606295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0.2175</w:t>
            </w:r>
          </w:p>
        </w:tc>
        <w:tc>
          <w:tcPr>
            <w:tcW w:w="1134" w:type="dxa"/>
            <w:tcBorders>
              <w:top w:val="nil"/>
              <w:left w:val="nil"/>
              <w:bottom w:val="nil"/>
              <w:right w:val="nil"/>
            </w:tcBorders>
            <w:shd w:val="clear" w:color="auto" w:fill="FFFFFF"/>
            <w:tcMar>
              <w:left w:w="67" w:type="dxa"/>
              <w:right w:w="67" w:type="dxa"/>
            </w:tcMar>
            <w:vAlign w:val="center"/>
          </w:tcPr>
          <w:p w14:paraId="41007B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1.2461</w:t>
            </w:r>
          </w:p>
        </w:tc>
        <w:tc>
          <w:tcPr>
            <w:tcW w:w="1134" w:type="dxa"/>
            <w:tcBorders>
              <w:top w:val="nil"/>
              <w:left w:val="nil"/>
              <w:bottom w:val="nil"/>
              <w:right w:val="nil"/>
            </w:tcBorders>
            <w:shd w:val="clear" w:color="auto" w:fill="FFFFFF"/>
            <w:tcMar>
              <w:left w:w="67" w:type="dxa"/>
              <w:right w:w="67" w:type="dxa"/>
            </w:tcMar>
            <w:vAlign w:val="center"/>
          </w:tcPr>
          <w:p w14:paraId="4A941C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0.7650</w:t>
            </w:r>
          </w:p>
        </w:tc>
        <w:tc>
          <w:tcPr>
            <w:tcW w:w="1134" w:type="dxa"/>
            <w:tcBorders>
              <w:top w:val="nil"/>
              <w:left w:val="nil"/>
              <w:bottom w:val="nil"/>
              <w:right w:val="nil"/>
            </w:tcBorders>
            <w:shd w:val="clear" w:color="auto" w:fill="FFFFFF"/>
            <w:tcMar>
              <w:left w:w="67" w:type="dxa"/>
              <w:right w:w="67" w:type="dxa"/>
            </w:tcMar>
            <w:vAlign w:val="center"/>
          </w:tcPr>
          <w:p w14:paraId="2F0A66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2.0297</w:t>
            </w:r>
          </w:p>
        </w:tc>
        <w:tc>
          <w:tcPr>
            <w:tcW w:w="1134" w:type="dxa"/>
            <w:tcBorders>
              <w:top w:val="nil"/>
              <w:left w:val="nil"/>
              <w:bottom w:val="nil"/>
              <w:right w:val="nil"/>
            </w:tcBorders>
            <w:shd w:val="clear" w:color="auto" w:fill="FFFFFF"/>
            <w:tcMar>
              <w:left w:w="67" w:type="dxa"/>
              <w:right w:w="67" w:type="dxa"/>
            </w:tcMar>
            <w:vAlign w:val="center"/>
          </w:tcPr>
          <w:p w14:paraId="3D1B9E3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79171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AC08F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754F10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B97E3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42C806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A473A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0.3143</w:t>
            </w:r>
          </w:p>
        </w:tc>
        <w:tc>
          <w:tcPr>
            <w:tcW w:w="1134" w:type="dxa"/>
            <w:tcBorders>
              <w:top w:val="nil"/>
              <w:left w:val="nil"/>
              <w:bottom w:val="nil"/>
              <w:right w:val="nil"/>
            </w:tcBorders>
            <w:shd w:val="clear" w:color="auto" w:fill="FFFFFF"/>
            <w:tcMar>
              <w:left w:w="67" w:type="dxa"/>
              <w:right w:w="67" w:type="dxa"/>
            </w:tcMar>
            <w:vAlign w:val="center"/>
          </w:tcPr>
          <w:p w14:paraId="799557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0.2169</w:t>
            </w:r>
          </w:p>
        </w:tc>
        <w:tc>
          <w:tcPr>
            <w:tcW w:w="1134" w:type="dxa"/>
            <w:tcBorders>
              <w:top w:val="nil"/>
              <w:left w:val="nil"/>
              <w:bottom w:val="nil"/>
              <w:right w:val="nil"/>
            </w:tcBorders>
            <w:shd w:val="clear" w:color="auto" w:fill="FFFFFF"/>
            <w:tcMar>
              <w:left w:w="67" w:type="dxa"/>
              <w:right w:w="67" w:type="dxa"/>
            </w:tcMar>
            <w:vAlign w:val="center"/>
          </w:tcPr>
          <w:p w14:paraId="714A78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1.3693</w:t>
            </w:r>
          </w:p>
        </w:tc>
        <w:tc>
          <w:tcPr>
            <w:tcW w:w="1134" w:type="dxa"/>
            <w:tcBorders>
              <w:top w:val="nil"/>
              <w:left w:val="nil"/>
              <w:bottom w:val="nil"/>
              <w:right w:val="nil"/>
            </w:tcBorders>
            <w:shd w:val="clear" w:color="auto" w:fill="FFFFFF"/>
            <w:tcMar>
              <w:left w:w="67" w:type="dxa"/>
              <w:right w:w="67" w:type="dxa"/>
            </w:tcMar>
            <w:vAlign w:val="center"/>
          </w:tcPr>
          <w:p w14:paraId="51057C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0.8419</w:t>
            </w:r>
          </w:p>
        </w:tc>
        <w:tc>
          <w:tcPr>
            <w:tcW w:w="1134" w:type="dxa"/>
            <w:tcBorders>
              <w:top w:val="nil"/>
              <w:left w:val="nil"/>
              <w:bottom w:val="nil"/>
              <w:right w:val="nil"/>
            </w:tcBorders>
            <w:shd w:val="clear" w:color="auto" w:fill="FFFFFF"/>
            <w:tcMar>
              <w:left w:w="67" w:type="dxa"/>
              <w:right w:w="67" w:type="dxa"/>
            </w:tcMar>
            <w:vAlign w:val="center"/>
          </w:tcPr>
          <w:p w14:paraId="5A736B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2.2270</w:t>
            </w:r>
          </w:p>
        </w:tc>
        <w:tc>
          <w:tcPr>
            <w:tcW w:w="1134" w:type="dxa"/>
            <w:tcBorders>
              <w:top w:val="nil"/>
              <w:left w:val="nil"/>
              <w:bottom w:val="nil"/>
              <w:right w:val="nil"/>
            </w:tcBorders>
            <w:shd w:val="clear" w:color="auto" w:fill="FFFFFF"/>
            <w:tcMar>
              <w:left w:w="67" w:type="dxa"/>
              <w:right w:w="67" w:type="dxa"/>
            </w:tcMar>
            <w:vAlign w:val="center"/>
          </w:tcPr>
          <w:p w14:paraId="18E4D49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DBC031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CE59B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0C15F7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0AFD68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4C53D2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DC8BC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-0.0420</w:t>
            </w:r>
          </w:p>
        </w:tc>
        <w:tc>
          <w:tcPr>
            <w:tcW w:w="1134" w:type="dxa"/>
            <w:tcBorders>
              <w:top w:val="nil"/>
              <w:left w:val="nil"/>
              <w:bottom w:val="nil"/>
              <w:right w:val="nil"/>
            </w:tcBorders>
            <w:shd w:val="clear" w:color="auto" w:fill="FFFFFF"/>
            <w:tcMar>
              <w:left w:w="67" w:type="dxa"/>
              <w:right w:w="67" w:type="dxa"/>
            </w:tcMar>
            <w:vAlign w:val="center"/>
          </w:tcPr>
          <w:p w14:paraId="18E788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0.1723</w:t>
            </w:r>
          </w:p>
        </w:tc>
        <w:tc>
          <w:tcPr>
            <w:tcW w:w="1134" w:type="dxa"/>
            <w:tcBorders>
              <w:top w:val="nil"/>
              <w:left w:val="nil"/>
              <w:bottom w:val="nil"/>
              <w:right w:val="nil"/>
            </w:tcBorders>
            <w:shd w:val="clear" w:color="auto" w:fill="FFFFFF"/>
            <w:tcMar>
              <w:left w:w="67" w:type="dxa"/>
              <w:right w:w="67" w:type="dxa"/>
            </w:tcMar>
            <w:vAlign w:val="center"/>
          </w:tcPr>
          <w:p w14:paraId="0576F4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0.9589</w:t>
            </w:r>
          </w:p>
        </w:tc>
        <w:tc>
          <w:tcPr>
            <w:tcW w:w="1134" w:type="dxa"/>
            <w:tcBorders>
              <w:top w:val="nil"/>
              <w:left w:val="nil"/>
              <w:bottom w:val="nil"/>
              <w:right w:val="nil"/>
            </w:tcBorders>
            <w:shd w:val="clear" w:color="auto" w:fill="FFFFFF"/>
            <w:tcMar>
              <w:left w:w="67" w:type="dxa"/>
              <w:right w:w="67" w:type="dxa"/>
            </w:tcMar>
            <w:vAlign w:val="center"/>
          </w:tcPr>
          <w:p w14:paraId="3FA063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0.6515</w:t>
            </w:r>
          </w:p>
        </w:tc>
        <w:tc>
          <w:tcPr>
            <w:tcW w:w="1134" w:type="dxa"/>
            <w:tcBorders>
              <w:top w:val="nil"/>
              <w:left w:val="nil"/>
              <w:bottom w:val="nil"/>
              <w:right w:val="nil"/>
            </w:tcBorders>
            <w:shd w:val="clear" w:color="auto" w:fill="FFFFFF"/>
            <w:tcMar>
              <w:left w:w="67" w:type="dxa"/>
              <w:right w:w="67" w:type="dxa"/>
            </w:tcMar>
            <w:vAlign w:val="center"/>
          </w:tcPr>
          <w:p w14:paraId="072263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1.4112</w:t>
            </w:r>
          </w:p>
        </w:tc>
        <w:tc>
          <w:tcPr>
            <w:tcW w:w="1134" w:type="dxa"/>
            <w:tcBorders>
              <w:top w:val="nil"/>
              <w:left w:val="nil"/>
              <w:bottom w:val="nil"/>
              <w:right w:val="nil"/>
            </w:tcBorders>
            <w:shd w:val="clear" w:color="auto" w:fill="FFFFFF"/>
            <w:tcMar>
              <w:left w:w="67" w:type="dxa"/>
              <w:right w:w="67" w:type="dxa"/>
            </w:tcMar>
            <w:vAlign w:val="center"/>
          </w:tcPr>
          <w:p w14:paraId="4D3EDBE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F8772F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A51D76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4CAE45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57811E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5485B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799BF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0.0604</w:t>
            </w:r>
          </w:p>
        </w:tc>
        <w:tc>
          <w:tcPr>
            <w:tcW w:w="1134" w:type="dxa"/>
            <w:tcBorders>
              <w:top w:val="nil"/>
              <w:left w:val="nil"/>
              <w:bottom w:val="nil"/>
              <w:right w:val="nil"/>
            </w:tcBorders>
            <w:shd w:val="clear" w:color="auto" w:fill="FFFFFF"/>
            <w:tcMar>
              <w:left w:w="67" w:type="dxa"/>
              <w:right w:w="67" w:type="dxa"/>
            </w:tcMar>
            <w:vAlign w:val="center"/>
          </w:tcPr>
          <w:p w14:paraId="40511B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0.1688</w:t>
            </w:r>
          </w:p>
        </w:tc>
        <w:tc>
          <w:tcPr>
            <w:tcW w:w="1134" w:type="dxa"/>
            <w:tcBorders>
              <w:top w:val="nil"/>
              <w:left w:val="nil"/>
              <w:bottom w:val="nil"/>
              <w:right w:val="nil"/>
            </w:tcBorders>
            <w:shd w:val="clear" w:color="auto" w:fill="FFFFFF"/>
            <w:tcMar>
              <w:left w:w="67" w:type="dxa"/>
              <w:right w:w="67" w:type="dxa"/>
            </w:tcMar>
            <w:vAlign w:val="center"/>
          </w:tcPr>
          <w:p w14:paraId="028892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1.0623</w:t>
            </w:r>
          </w:p>
        </w:tc>
        <w:tc>
          <w:tcPr>
            <w:tcW w:w="1134" w:type="dxa"/>
            <w:tcBorders>
              <w:top w:val="nil"/>
              <w:left w:val="nil"/>
              <w:bottom w:val="nil"/>
              <w:right w:val="nil"/>
            </w:tcBorders>
            <w:shd w:val="clear" w:color="auto" w:fill="FFFFFF"/>
            <w:tcMar>
              <w:left w:w="67" w:type="dxa"/>
              <w:right w:w="67" w:type="dxa"/>
            </w:tcMar>
            <w:vAlign w:val="center"/>
          </w:tcPr>
          <w:p w14:paraId="4C644A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0.7274</w:t>
            </w:r>
          </w:p>
        </w:tc>
        <w:tc>
          <w:tcPr>
            <w:tcW w:w="1134" w:type="dxa"/>
            <w:tcBorders>
              <w:top w:val="nil"/>
              <w:left w:val="nil"/>
              <w:bottom w:val="nil"/>
              <w:right w:val="nil"/>
            </w:tcBorders>
            <w:shd w:val="clear" w:color="auto" w:fill="FFFFFF"/>
            <w:tcMar>
              <w:left w:w="67" w:type="dxa"/>
              <w:right w:w="67" w:type="dxa"/>
            </w:tcMar>
            <w:vAlign w:val="center"/>
          </w:tcPr>
          <w:p w14:paraId="3E9D84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1.5513</w:t>
            </w:r>
          </w:p>
        </w:tc>
        <w:tc>
          <w:tcPr>
            <w:tcW w:w="1134" w:type="dxa"/>
            <w:tcBorders>
              <w:top w:val="nil"/>
              <w:left w:val="nil"/>
              <w:bottom w:val="nil"/>
              <w:right w:val="nil"/>
            </w:tcBorders>
            <w:shd w:val="clear" w:color="auto" w:fill="FFFFFF"/>
            <w:tcMar>
              <w:left w:w="67" w:type="dxa"/>
              <w:right w:w="67" w:type="dxa"/>
            </w:tcMar>
            <w:vAlign w:val="center"/>
          </w:tcPr>
          <w:p w14:paraId="3BFBD85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7A6E90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9469B9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C11D01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6A6AF3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9C305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9F63F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0.4397</w:t>
            </w:r>
          </w:p>
        </w:tc>
        <w:tc>
          <w:tcPr>
            <w:tcW w:w="1134" w:type="dxa"/>
            <w:tcBorders>
              <w:top w:val="nil"/>
              <w:left w:val="nil"/>
              <w:bottom w:val="nil"/>
              <w:right w:val="nil"/>
            </w:tcBorders>
            <w:shd w:val="clear" w:color="auto" w:fill="FFFFFF"/>
            <w:tcMar>
              <w:left w:w="67" w:type="dxa"/>
              <w:right w:w="67" w:type="dxa"/>
            </w:tcMar>
            <w:vAlign w:val="center"/>
          </w:tcPr>
          <w:p w14:paraId="56EB6A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0.1773</w:t>
            </w:r>
          </w:p>
        </w:tc>
        <w:tc>
          <w:tcPr>
            <w:tcW w:w="1134" w:type="dxa"/>
            <w:tcBorders>
              <w:top w:val="nil"/>
              <w:left w:val="nil"/>
              <w:bottom w:val="nil"/>
              <w:right w:val="nil"/>
            </w:tcBorders>
            <w:shd w:val="clear" w:color="auto" w:fill="FFFFFF"/>
            <w:tcMar>
              <w:left w:w="67" w:type="dxa"/>
              <w:right w:w="67" w:type="dxa"/>
            </w:tcMar>
            <w:vAlign w:val="center"/>
          </w:tcPr>
          <w:p w14:paraId="206266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1.5523</w:t>
            </w:r>
          </w:p>
        </w:tc>
        <w:tc>
          <w:tcPr>
            <w:tcW w:w="1134" w:type="dxa"/>
            <w:tcBorders>
              <w:top w:val="nil"/>
              <w:left w:val="nil"/>
              <w:bottom w:val="nil"/>
              <w:right w:val="nil"/>
            </w:tcBorders>
            <w:shd w:val="clear" w:color="auto" w:fill="FFFFFF"/>
            <w:tcMar>
              <w:left w:w="67" w:type="dxa"/>
              <w:right w:w="67" w:type="dxa"/>
            </w:tcMar>
            <w:vAlign w:val="center"/>
          </w:tcPr>
          <w:p w14:paraId="79F6C1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1.0429</w:t>
            </w:r>
          </w:p>
        </w:tc>
        <w:tc>
          <w:tcPr>
            <w:tcW w:w="1134" w:type="dxa"/>
            <w:tcBorders>
              <w:top w:val="nil"/>
              <w:left w:val="nil"/>
              <w:bottom w:val="nil"/>
              <w:right w:val="nil"/>
            </w:tcBorders>
            <w:shd w:val="clear" w:color="auto" w:fill="FFFFFF"/>
            <w:tcMar>
              <w:left w:w="67" w:type="dxa"/>
              <w:right w:w="67" w:type="dxa"/>
            </w:tcMar>
            <w:vAlign w:val="center"/>
          </w:tcPr>
          <w:p w14:paraId="0A7701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2.3105</w:t>
            </w:r>
          </w:p>
        </w:tc>
        <w:tc>
          <w:tcPr>
            <w:tcW w:w="1134" w:type="dxa"/>
            <w:tcBorders>
              <w:top w:val="nil"/>
              <w:left w:val="nil"/>
              <w:bottom w:val="nil"/>
              <w:right w:val="nil"/>
            </w:tcBorders>
            <w:shd w:val="clear" w:color="auto" w:fill="FFFFFF"/>
            <w:tcMar>
              <w:left w:w="67" w:type="dxa"/>
              <w:right w:w="67" w:type="dxa"/>
            </w:tcMar>
            <w:vAlign w:val="center"/>
          </w:tcPr>
          <w:p w14:paraId="127D1A4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466753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AC24E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2191EE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26A134D"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3A7322F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E10A4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0F71E3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0.0063</w:t>
            </w:r>
          </w:p>
        </w:tc>
        <w:tc>
          <w:tcPr>
            <w:tcW w:w="1134" w:type="dxa"/>
            <w:tcBorders>
              <w:top w:val="nil"/>
              <w:left w:val="nil"/>
              <w:bottom w:val="nil"/>
              <w:right w:val="nil"/>
            </w:tcBorders>
            <w:shd w:val="clear" w:color="auto" w:fill="FFFFFF"/>
            <w:tcMar>
              <w:left w:w="67" w:type="dxa"/>
              <w:right w:w="67" w:type="dxa"/>
            </w:tcMar>
            <w:vAlign w:val="center"/>
          </w:tcPr>
          <w:p w14:paraId="1F2BFE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0.9970</w:t>
            </w:r>
          </w:p>
        </w:tc>
        <w:tc>
          <w:tcPr>
            <w:tcW w:w="1134" w:type="dxa"/>
            <w:tcBorders>
              <w:top w:val="nil"/>
              <w:left w:val="nil"/>
              <w:bottom w:val="nil"/>
              <w:right w:val="nil"/>
            </w:tcBorders>
            <w:shd w:val="clear" w:color="auto" w:fill="FFFFFF"/>
            <w:tcMar>
              <w:left w:w="67" w:type="dxa"/>
              <w:right w:w="67" w:type="dxa"/>
            </w:tcMar>
            <w:vAlign w:val="center"/>
          </w:tcPr>
          <w:p w14:paraId="75BF7E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0.9830</w:t>
            </w:r>
          </w:p>
        </w:tc>
        <w:tc>
          <w:tcPr>
            <w:tcW w:w="1134" w:type="dxa"/>
            <w:tcBorders>
              <w:top w:val="nil"/>
              <w:left w:val="nil"/>
              <w:bottom w:val="nil"/>
              <w:right w:val="nil"/>
            </w:tcBorders>
            <w:shd w:val="clear" w:color="auto" w:fill="FFFFFF"/>
            <w:tcMar>
              <w:left w:w="67" w:type="dxa"/>
              <w:right w:w="67" w:type="dxa"/>
            </w:tcMar>
            <w:vAlign w:val="center"/>
          </w:tcPr>
          <w:p w14:paraId="4E6A1B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1.0112</w:t>
            </w:r>
          </w:p>
        </w:tc>
        <w:tc>
          <w:tcPr>
            <w:tcW w:w="1134" w:type="dxa"/>
            <w:tcBorders>
              <w:top w:val="nil"/>
              <w:left w:val="nil"/>
              <w:bottom w:val="nil"/>
              <w:right w:val="nil"/>
            </w:tcBorders>
            <w:shd w:val="clear" w:color="auto" w:fill="FFFFFF"/>
            <w:tcMar>
              <w:left w:w="67" w:type="dxa"/>
              <w:right w:w="67" w:type="dxa"/>
            </w:tcMar>
            <w:vAlign w:val="center"/>
          </w:tcPr>
          <w:p w14:paraId="57B14A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w:t>
            </w:r>
          </w:p>
        </w:tc>
        <w:tc>
          <w:tcPr>
            <w:tcW w:w="567" w:type="dxa"/>
            <w:tcBorders>
              <w:top w:val="nil"/>
              <w:left w:val="nil"/>
              <w:bottom w:val="nil"/>
              <w:right w:val="nil"/>
            </w:tcBorders>
            <w:shd w:val="clear" w:color="auto" w:fill="FFFFFF"/>
            <w:tcMar>
              <w:left w:w="67" w:type="dxa"/>
              <w:right w:w="67" w:type="dxa"/>
            </w:tcMar>
            <w:vAlign w:val="center"/>
          </w:tcPr>
          <w:p w14:paraId="478D41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179E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0.6337</w:t>
            </w:r>
          </w:p>
        </w:tc>
      </w:tr>
      <w:tr w:rsidR="00B77EA3" w:rsidRPr="0082484A" w14:paraId="20CD7ED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8C3DE30"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7D2F8F7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4A05C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0.0257</w:t>
            </w:r>
          </w:p>
        </w:tc>
        <w:tc>
          <w:tcPr>
            <w:tcW w:w="1134" w:type="dxa"/>
            <w:tcBorders>
              <w:top w:val="nil"/>
              <w:left w:val="nil"/>
              <w:bottom w:val="nil"/>
              <w:right w:val="nil"/>
            </w:tcBorders>
            <w:shd w:val="clear" w:color="auto" w:fill="FFFFFF"/>
            <w:tcMar>
              <w:left w:w="67" w:type="dxa"/>
              <w:right w:w="67" w:type="dxa"/>
            </w:tcMar>
            <w:vAlign w:val="center"/>
          </w:tcPr>
          <w:p w14:paraId="37149C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0.0083</w:t>
            </w:r>
          </w:p>
        </w:tc>
        <w:tc>
          <w:tcPr>
            <w:tcW w:w="1134" w:type="dxa"/>
            <w:tcBorders>
              <w:top w:val="nil"/>
              <w:left w:val="nil"/>
              <w:bottom w:val="nil"/>
              <w:right w:val="nil"/>
            </w:tcBorders>
            <w:shd w:val="clear" w:color="auto" w:fill="FFFFFF"/>
            <w:tcMar>
              <w:left w:w="67" w:type="dxa"/>
              <w:right w:w="67" w:type="dxa"/>
            </w:tcMar>
            <w:vAlign w:val="center"/>
          </w:tcPr>
          <w:p w14:paraId="2CB1BE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1.0261</w:t>
            </w:r>
          </w:p>
        </w:tc>
        <w:tc>
          <w:tcPr>
            <w:tcW w:w="1134" w:type="dxa"/>
            <w:tcBorders>
              <w:top w:val="nil"/>
              <w:left w:val="nil"/>
              <w:bottom w:val="nil"/>
              <w:right w:val="nil"/>
            </w:tcBorders>
            <w:shd w:val="clear" w:color="auto" w:fill="FFFFFF"/>
            <w:tcMar>
              <w:left w:w="67" w:type="dxa"/>
              <w:right w:w="67" w:type="dxa"/>
            </w:tcMar>
            <w:vAlign w:val="center"/>
          </w:tcPr>
          <w:p w14:paraId="39E299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1.0072</w:t>
            </w:r>
          </w:p>
        </w:tc>
        <w:tc>
          <w:tcPr>
            <w:tcW w:w="1134" w:type="dxa"/>
            <w:tcBorders>
              <w:top w:val="nil"/>
              <w:left w:val="nil"/>
              <w:bottom w:val="nil"/>
              <w:right w:val="nil"/>
            </w:tcBorders>
            <w:shd w:val="clear" w:color="auto" w:fill="FFFFFF"/>
            <w:tcMar>
              <w:left w:w="67" w:type="dxa"/>
              <w:right w:w="67" w:type="dxa"/>
            </w:tcMar>
            <w:vAlign w:val="center"/>
          </w:tcPr>
          <w:p w14:paraId="4519A9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1.0453</w:t>
            </w:r>
          </w:p>
        </w:tc>
        <w:tc>
          <w:tcPr>
            <w:tcW w:w="1134" w:type="dxa"/>
            <w:tcBorders>
              <w:top w:val="nil"/>
              <w:left w:val="nil"/>
              <w:bottom w:val="nil"/>
              <w:right w:val="nil"/>
            </w:tcBorders>
            <w:shd w:val="clear" w:color="auto" w:fill="FFFFFF"/>
            <w:tcMar>
              <w:left w:w="67" w:type="dxa"/>
              <w:right w:w="67" w:type="dxa"/>
            </w:tcMar>
            <w:vAlign w:val="center"/>
          </w:tcPr>
          <w:p w14:paraId="047A59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9.64</w:t>
            </w:r>
          </w:p>
        </w:tc>
        <w:tc>
          <w:tcPr>
            <w:tcW w:w="567" w:type="dxa"/>
            <w:tcBorders>
              <w:top w:val="nil"/>
              <w:left w:val="nil"/>
              <w:bottom w:val="nil"/>
              <w:right w:val="nil"/>
            </w:tcBorders>
            <w:shd w:val="clear" w:color="auto" w:fill="FFFFFF"/>
            <w:tcMar>
              <w:left w:w="67" w:type="dxa"/>
              <w:right w:w="67" w:type="dxa"/>
            </w:tcMar>
            <w:vAlign w:val="center"/>
          </w:tcPr>
          <w:p w14:paraId="64D73F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B813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r>
      <w:tr w:rsidR="00B77EA3" w:rsidRPr="0082484A" w14:paraId="4EE64BA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6887DFD"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3D56120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FD61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7895C4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24A642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1.0020</w:t>
            </w:r>
          </w:p>
        </w:tc>
        <w:tc>
          <w:tcPr>
            <w:tcW w:w="1134" w:type="dxa"/>
            <w:tcBorders>
              <w:top w:val="nil"/>
              <w:left w:val="nil"/>
              <w:bottom w:val="nil"/>
              <w:right w:val="nil"/>
            </w:tcBorders>
            <w:shd w:val="clear" w:color="auto" w:fill="FFFFFF"/>
            <w:tcMar>
              <w:left w:w="67" w:type="dxa"/>
              <w:right w:w="67" w:type="dxa"/>
            </w:tcMar>
            <w:vAlign w:val="center"/>
          </w:tcPr>
          <w:p w14:paraId="1963C0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0.9967</w:t>
            </w:r>
          </w:p>
        </w:tc>
        <w:tc>
          <w:tcPr>
            <w:tcW w:w="1134" w:type="dxa"/>
            <w:tcBorders>
              <w:top w:val="nil"/>
              <w:left w:val="nil"/>
              <w:bottom w:val="nil"/>
              <w:right w:val="nil"/>
            </w:tcBorders>
            <w:shd w:val="clear" w:color="auto" w:fill="FFFFFF"/>
            <w:tcMar>
              <w:left w:w="67" w:type="dxa"/>
              <w:right w:w="67" w:type="dxa"/>
            </w:tcMar>
            <w:vAlign w:val="center"/>
          </w:tcPr>
          <w:p w14:paraId="22E7F5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1.0074</w:t>
            </w:r>
          </w:p>
        </w:tc>
        <w:tc>
          <w:tcPr>
            <w:tcW w:w="1134" w:type="dxa"/>
            <w:tcBorders>
              <w:top w:val="nil"/>
              <w:left w:val="nil"/>
              <w:bottom w:val="nil"/>
              <w:right w:val="nil"/>
            </w:tcBorders>
            <w:shd w:val="clear" w:color="auto" w:fill="FFFFFF"/>
            <w:tcMar>
              <w:left w:w="67" w:type="dxa"/>
              <w:right w:w="67" w:type="dxa"/>
            </w:tcMar>
            <w:vAlign w:val="center"/>
          </w:tcPr>
          <w:p w14:paraId="37AFD9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w:t>
            </w:r>
          </w:p>
        </w:tc>
        <w:tc>
          <w:tcPr>
            <w:tcW w:w="567" w:type="dxa"/>
            <w:tcBorders>
              <w:top w:val="nil"/>
              <w:left w:val="nil"/>
              <w:bottom w:val="nil"/>
              <w:right w:val="nil"/>
            </w:tcBorders>
            <w:shd w:val="clear" w:color="auto" w:fill="FFFFFF"/>
            <w:tcMar>
              <w:left w:w="67" w:type="dxa"/>
              <w:right w:w="67" w:type="dxa"/>
            </w:tcMar>
            <w:vAlign w:val="center"/>
          </w:tcPr>
          <w:p w14:paraId="704143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D34A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0.3910</w:t>
            </w:r>
          </w:p>
        </w:tc>
      </w:tr>
      <w:tr w:rsidR="00B77EA3" w:rsidRPr="0082484A" w14:paraId="1F1C70C1"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73F2666B"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354FFBA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875F4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0442D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29946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0.8637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D3831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FCA75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0.9887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4FF43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5.91</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FCC75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1BB72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0.0151</w:t>
            </w:r>
          </w:p>
        </w:tc>
      </w:tr>
    </w:tbl>
    <w:p w14:paraId="211E56DC" w14:textId="77777777" w:rsidR="00B77EA3" w:rsidRPr="0082484A" w:rsidRDefault="00B77EA3" w:rsidP="00B77EA3">
      <w:pPr>
        <w:spacing w:before="0" w:after="160" w:line="259" w:lineRule="auto"/>
        <w:rPr>
          <w:sz w:val="22"/>
          <w:szCs w:val="22"/>
        </w:rPr>
      </w:pPr>
      <w:r w:rsidRPr="0082484A">
        <w:rPr>
          <w:sz w:val="22"/>
          <w:szCs w:val="22"/>
        </w:rPr>
        <w:t xml:space="preserve">The estimated number needed to treat for one patient aged under 80 years with peripheral arterial disease to achieve blood pressure below 140/90 mmHg was 23 </w:t>
      </w:r>
      <w:r w:rsidRPr="0082484A">
        <w:rPr>
          <w:sz w:val="22"/>
          <w:szCs w:val="22"/>
        </w:rPr>
        <w:br w:type="page"/>
      </w:r>
    </w:p>
    <w:p w14:paraId="23F6F8FC" w14:textId="6C263527" w:rsidR="00B77EA3" w:rsidRPr="0082484A" w:rsidRDefault="00B77EA3" w:rsidP="00B77EA3">
      <w:pPr>
        <w:spacing w:before="0" w:line="240" w:lineRule="auto"/>
        <w:rPr>
          <w:bCs/>
          <w:sz w:val="22"/>
          <w:szCs w:val="22"/>
        </w:rPr>
      </w:pPr>
      <w:bookmarkStart w:id="163" w:name="_Ref502917877"/>
      <w:bookmarkStart w:id="164" w:name="_Toc8728118"/>
      <w:bookmarkStart w:id="165" w:name="_Toc19526773"/>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44</w:t>
      </w:r>
      <w:r w:rsidRPr="0082484A">
        <w:rPr>
          <w:bCs/>
          <w:noProof/>
          <w:sz w:val="22"/>
          <w:szCs w:val="22"/>
        </w:rPr>
        <w:fldChar w:fldCharType="end"/>
      </w:r>
      <w:bookmarkEnd w:id="163"/>
      <w:r w:rsidRPr="0082484A">
        <w:rPr>
          <w:bCs/>
          <w:sz w:val="22"/>
          <w:szCs w:val="22"/>
        </w:rPr>
        <w:t>: Secondary outcome for Trial 2: Blood pressure below 140/90 mmHg in patients aged under 80 years with a history of stroke / transient ischemic attack (WP4A)</w:t>
      </w:r>
      <w:bookmarkEnd w:id="164"/>
      <w:bookmarkEnd w:id="165"/>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77D8D315"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4BAA4D3"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7522538"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6AA4C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73FE1B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8C34CF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6CD35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4F44CC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B32538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4BAFE5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4BD28F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456245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426C08B"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DB56E5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6456AA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0.0114</w:t>
            </w:r>
          </w:p>
        </w:tc>
        <w:tc>
          <w:tcPr>
            <w:tcW w:w="1134" w:type="dxa"/>
            <w:tcBorders>
              <w:top w:val="nil"/>
              <w:left w:val="nil"/>
              <w:bottom w:val="nil"/>
              <w:right w:val="nil"/>
            </w:tcBorders>
            <w:shd w:val="clear" w:color="auto" w:fill="FFFFFF"/>
            <w:tcMar>
              <w:left w:w="67" w:type="dxa"/>
              <w:right w:w="67" w:type="dxa"/>
            </w:tcMar>
            <w:vAlign w:val="center"/>
          </w:tcPr>
          <w:p w14:paraId="6BE7AC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0.0686</w:t>
            </w:r>
          </w:p>
        </w:tc>
        <w:tc>
          <w:tcPr>
            <w:tcW w:w="1134" w:type="dxa"/>
            <w:tcBorders>
              <w:top w:val="nil"/>
              <w:left w:val="nil"/>
              <w:bottom w:val="nil"/>
              <w:right w:val="nil"/>
            </w:tcBorders>
            <w:shd w:val="clear" w:color="auto" w:fill="FFFFFF"/>
            <w:tcMar>
              <w:left w:w="67" w:type="dxa"/>
              <w:right w:w="67" w:type="dxa"/>
            </w:tcMar>
            <w:vAlign w:val="center"/>
          </w:tcPr>
          <w:p w14:paraId="31D353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1.0114</w:t>
            </w:r>
          </w:p>
        </w:tc>
        <w:tc>
          <w:tcPr>
            <w:tcW w:w="1134" w:type="dxa"/>
            <w:tcBorders>
              <w:top w:val="nil"/>
              <w:left w:val="nil"/>
              <w:bottom w:val="nil"/>
              <w:right w:val="nil"/>
            </w:tcBorders>
            <w:shd w:val="clear" w:color="auto" w:fill="FFFFFF"/>
            <w:tcMar>
              <w:left w:w="67" w:type="dxa"/>
              <w:right w:w="67" w:type="dxa"/>
            </w:tcMar>
            <w:vAlign w:val="center"/>
          </w:tcPr>
          <w:p w14:paraId="1324D0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0.8673</w:t>
            </w:r>
          </w:p>
        </w:tc>
        <w:tc>
          <w:tcPr>
            <w:tcW w:w="1134" w:type="dxa"/>
            <w:tcBorders>
              <w:top w:val="nil"/>
              <w:left w:val="nil"/>
              <w:bottom w:val="nil"/>
              <w:right w:val="nil"/>
            </w:tcBorders>
            <w:shd w:val="clear" w:color="auto" w:fill="FFFFFF"/>
            <w:tcMar>
              <w:left w:w="67" w:type="dxa"/>
              <w:right w:w="67" w:type="dxa"/>
            </w:tcMar>
            <w:vAlign w:val="center"/>
          </w:tcPr>
          <w:p w14:paraId="066CA2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1.1796</w:t>
            </w:r>
          </w:p>
        </w:tc>
        <w:tc>
          <w:tcPr>
            <w:tcW w:w="1134" w:type="dxa"/>
            <w:tcBorders>
              <w:top w:val="nil"/>
              <w:left w:val="nil"/>
              <w:bottom w:val="nil"/>
              <w:right w:val="nil"/>
            </w:tcBorders>
            <w:shd w:val="clear" w:color="auto" w:fill="FFFFFF"/>
            <w:tcMar>
              <w:left w:w="67" w:type="dxa"/>
              <w:right w:w="67" w:type="dxa"/>
            </w:tcMar>
            <w:vAlign w:val="center"/>
          </w:tcPr>
          <w:p w14:paraId="10AD31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5F43EA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8EE7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0.8683</w:t>
            </w:r>
          </w:p>
        </w:tc>
      </w:tr>
      <w:tr w:rsidR="00B77EA3" w:rsidRPr="0082484A" w14:paraId="2F3E4A9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7BC7A04"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54A1BA9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B7F92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-0.0223</w:t>
            </w:r>
          </w:p>
        </w:tc>
        <w:tc>
          <w:tcPr>
            <w:tcW w:w="1134" w:type="dxa"/>
            <w:tcBorders>
              <w:top w:val="nil"/>
              <w:left w:val="nil"/>
              <w:bottom w:val="nil"/>
              <w:right w:val="nil"/>
            </w:tcBorders>
            <w:shd w:val="clear" w:color="auto" w:fill="FFFFFF"/>
            <w:tcMar>
              <w:left w:w="67" w:type="dxa"/>
              <w:right w:w="67" w:type="dxa"/>
            </w:tcMar>
            <w:vAlign w:val="center"/>
          </w:tcPr>
          <w:p w14:paraId="4820AD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0.0549</w:t>
            </w:r>
          </w:p>
        </w:tc>
        <w:tc>
          <w:tcPr>
            <w:tcW w:w="1134" w:type="dxa"/>
            <w:tcBorders>
              <w:top w:val="nil"/>
              <w:left w:val="nil"/>
              <w:bottom w:val="nil"/>
              <w:right w:val="nil"/>
            </w:tcBorders>
            <w:shd w:val="clear" w:color="auto" w:fill="FFFFFF"/>
            <w:tcMar>
              <w:left w:w="67" w:type="dxa"/>
              <w:right w:w="67" w:type="dxa"/>
            </w:tcMar>
            <w:vAlign w:val="center"/>
          </w:tcPr>
          <w:p w14:paraId="28A8E1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0.9779</w:t>
            </w:r>
          </w:p>
        </w:tc>
        <w:tc>
          <w:tcPr>
            <w:tcW w:w="1134" w:type="dxa"/>
            <w:tcBorders>
              <w:top w:val="nil"/>
              <w:left w:val="nil"/>
              <w:bottom w:val="nil"/>
              <w:right w:val="nil"/>
            </w:tcBorders>
            <w:shd w:val="clear" w:color="auto" w:fill="FFFFFF"/>
            <w:tcMar>
              <w:left w:w="67" w:type="dxa"/>
              <w:right w:w="67" w:type="dxa"/>
            </w:tcMar>
            <w:vAlign w:val="center"/>
          </w:tcPr>
          <w:p w14:paraId="71CF40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0.8647</w:t>
            </w:r>
          </w:p>
        </w:tc>
        <w:tc>
          <w:tcPr>
            <w:tcW w:w="1134" w:type="dxa"/>
            <w:tcBorders>
              <w:top w:val="nil"/>
              <w:left w:val="nil"/>
              <w:bottom w:val="nil"/>
              <w:right w:val="nil"/>
            </w:tcBorders>
            <w:shd w:val="clear" w:color="auto" w:fill="FFFFFF"/>
            <w:tcMar>
              <w:left w:w="67" w:type="dxa"/>
              <w:right w:w="67" w:type="dxa"/>
            </w:tcMar>
            <w:vAlign w:val="center"/>
          </w:tcPr>
          <w:p w14:paraId="36DD4F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1.1060</w:t>
            </w:r>
          </w:p>
        </w:tc>
        <w:tc>
          <w:tcPr>
            <w:tcW w:w="1134" w:type="dxa"/>
            <w:tcBorders>
              <w:top w:val="nil"/>
              <w:left w:val="nil"/>
              <w:bottom w:val="nil"/>
              <w:right w:val="nil"/>
            </w:tcBorders>
            <w:shd w:val="clear" w:color="auto" w:fill="FFFFFF"/>
            <w:tcMar>
              <w:left w:w="67" w:type="dxa"/>
              <w:right w:w="67" w:type="dxa"/>
            </w:tcMar>
            <w:vAlign w:val="center"/>
          </w:tcPr>
          <w:p w14:paraId="634BE6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w:t>
            </w:r>
          </w:p>
        </w:tc>
        <w:tc>
          <w:tcPr>
            <w:tcW w:w="567" w:type="dxa"/>
            <w:tcBorders>
              <w:top w:val="nil"/>
              <w:left w:val="nil"/>
              <w:bottom w:val="nil"/>
              <w:right w:val="nil"/>
            </w:tcBorders>
            <w:shd w:val="clear" w:color="auto" w:fill="FFFFFF"/>
            <w:tcMar>
              <w:left w:w="67" w:type="dxa"/>
              <w:right w:w="67" w:type="dxa"/>
            </w:tcMar>
            <w:vAlign w:val="center"/>
          </w:tcPr>
          <w:p w14:paraId="71D8C9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B42D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0.6843</w:t>
            </w:r>
          </w:p>
        </w:tc>
      </w:tr>
      <w:tr w:rsidR="00B77EA3" w:rsidRPr="0082484A" w14:paraId="3BC5A7D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3C066F7"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073AB89F"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2C969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0.0089</w:t>
            </w:r>
          </w:p>
        </w:tc>
        <w:tc>
          <w:tcPr>
            <w:tcW w:w="1134" w:type="dxa"/>
            <w:tcBorders>
              <w:top w:val="nil"/>
              <w:left w:val="nil"/>
              <w:bottom w:val="nil"/>
              <w:right w:val="nil"/>
            </w:tcBorders>
            <w:shd w:val="clear" w:color="auto" w:fill="FFFFFF"/>
            <w:tcMar>
              <w:left w:w="67" w:type="dxa"/>
              <w:right w:w="67" w:type="dxa"/>
            </w:tcMar>
            <w:vAlign w:val="center"/>
          </w:tcPr>
          <w:p w14:paraId="33E706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40FEDB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1.0089</w:t>
            </w:r>
          </w:p>
        </w:tc>
        <w:tc>
          <w:tcPr>
            <w:tcW w:w="1134" w:type="dxa"/>
            <w:tcBorders>
              <w:top w:val="nil"/>
              <w:left w:val="nil"/>
              <w:bottom w:val="nil"/>
              <w:right w:val="nil"/>
            </w:tcBorders>
            <w:shd w:val="clear" w:color="auto" w:fill="FFFFFF"/>
            <w:tcMar>
              <w:left w:w="67" w:type="dxa"/>
              <w:right w:w="67" w:type="dxa"/>
            </w:tcMar>
            <w:vAlign w:val="center"/>
          </w:tcPr>
          <w:p w14:paraId="0C3D2B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1.0034</w:t>
            </w:r>
          </w:p>
        </w:tc>
        <w:tc>
          <w:tcPr>
            <w:tcW w:w="1134" w:type="dxa"/>
            <w:tcBorders>
              <w:top w:val="nil"/>
              <w:left w:val="nil"/>
              <w:bottom w:val="nil"/>
              <w:right w:val="nil"/>
            </w:tcBorders>
            <w:shd w:val="clear" w:color="auto" w:fill="FFFFFF"/>
            <w:tcMar>
              <w:left w:w="67" w:type="dxa"/>
              <w:right w:w="67" w:type="dxa"/>
            </w:tcMar>
            <w:vAlign w:val="center"/>
          </w:tcPr>
          <w:p w14:paraId="21C7F4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1.0144</w:t>
            </w:r>
          </w:p>
        </w:tc>
        <w:tc>
          <w:tcPr>
            <w:tcW w:w="1134" w:type="dxa"/>
            <w:tcBorders>
              <w:top w:val="nil"/>
              <w:left w:val="nil"/>
              <w:bottom w:val="nil"/>
              <w:right w:val="nil"/>
            </w:tcBorders>
            <w:shd w:val="clear" w:color="auto" w:fill="FFFFFF"/>
            <w:tcMar>
              <w:left w:w="67" w:type="dxa"/>
              <w:right w:w="67" w:type="dxa"/>
            </w:tcMar>
            <w:vAlign w:val="center"/>
          </w:tcPr>
          <w:p w14:paraId="0F0290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13.33</w:t>
            </w:r>
          </w:p>
        </w:tc>
        <w:tc>
          <w:tcPr>
            <w:tcW w:w="567" w:type="dxa"/>
            <w:tcBorders>
              <w:top w:val="nil"/>
              <w:left w:val="nil"/>
              <w:bottom w:val="nil"/>
              <w:right w:val="nil"/>
            </w:tcBorders>
            <w:shd w:val="clear" w:color="auto" w:fill="FFFFFF"/>
            <w:tcMar>
              <w:left w:w="67" w:type="dxa"/>
              <w:right w:w="67" w:type="dxa"/>
            </w:tcMar>
            <w:vAlign w:val="center"/>
          </w:tcPr>
          <w:p w14:paraId="707512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641F7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r>
      <w:tr w:rsidR="00B77EA3" w:rsidRPr="0082484A" w14:paraId="34D1972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8C4C078"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F187B83"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94701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041AB5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0FBF78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0.9988</w:t>
            </w:r>
          </w:p>
        </w:tc>
        <w:tc>
          <w:tcPr>
            <w:tcW w:w="1134" w:type="dxa"/>
            <w:tcBorders>
              <w:top w:val="nil"/>
              <w:left w:val="nil"/>
              <w:bottom w:val="nil"/>
              <w:right w:val="nil"/>
            </w:tcBorders>
            <w:shd w:val="clear" w:color="auto" w:fill="FFFFFF"/>
            <w:tcMar>
              <w:left w:w="67" w:type="dxa"/>
              <w:right w:w="67" w:type="dxa"/>
            </w:tcMar>
            <w:vAlign w:val="center"/>
          </w:tcPr>
          <w:p w14:paraId="3F82E1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0.9967</w:t>
            </w:r>
          </w:p>
        </w:tc>
        <w:tc>
          <w:tcPr>
            <w:tcW w:w="1134" w:type="dxa"/>
            <w:tcBorders>
              <w:top w:val="nil"/>
              <w:left w:val="nil"/>
              <w:bottom w:val="nil"/>
              <w:right w:val="nil"/>
            </w:tcBorders>
            <w:shd w:val="clear" w:color="auto" w:fill="FFFFFF"/>
            <w:tcMar>
              <w:left w:w="67" w:type="dxa"/>
              <w:right w:w="67" w:type="dxa"/>
            </w:tcMar>
            <w:vAlign w:val="center"/>
          </w:tcPr>
          <w:p w14:paraId="1B1763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1.0009</w:t>
            </w:r>
          </w:p>
        </w:tc>
        <w:tc>
          <w:tcPr>
            <w:tcW w:w="1134" w:type="dxa"/>
            <w:tcBorders>
              <w:top w:val="nil"/>
              <w:left w:val="nil"/>
              <w:bottom w:val="nil"/>
              <w:right w:val="nil"/>
            </w:tcBorders>
            <w:shd w:val="clear" w:color="auto" w:fill="FFFFFF"/>
            <w:tcMar>
              <w:left w:w="67" w:type="dxa"/>
              <w:right w:w="67" w:type="dxa"/>
            </w:tcMar>
            <w:vAlign w:val="center"/>
          </w:tcPr>
          <w:p w14:paraId="6B431A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w:t>
            </w:r>
          </w:p>
        </w:tc>
        <w:tc>
          <w:tcPr>
            <w:tcW w:w="567" w:type="dxa"/>
            <w:tcBorders>
              <w:top w:val="nil"/>
              <w:left w:val="nil"/>
              <w:bottom w:val="nil"/>
              <w:right w:val="nil"/>
            </w:tcBorders>
            <w:shd w:val="clear" w:color="auto" w:fill="FFFFFF"/>
            <w:tcMar>
              <w:left w:w="67" w:type="dxa"/>
              <w:right w:w="67" w:type="dxa"/>
            </w:tcMar>
            <w:vAlign w:val="center"/>
          </w:tcPr>
          <w:p w14:paraId="0861F9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9ED1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0.2138</w:t>
            </w:r>
          </w:p>
        </w:tc>
      </w:tr>
      <w:tr w:rsidR="00B77EA3" w:rsidRPr="0082484A" w14:paraId="3B77B70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79F7A0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C18F20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409B2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-0.0753</w:t>
            </w:r>
          </w:p>
        </w:tc>
        <w:tc>
          <w:tcPr>
            <w:tcW w:w="1134" w:type="dxa"/>
            <w:tcBorders>
              <w:top w:val="nil"/>
              <w:left w:val="nil"/>
              <w:bottom w:val="nil"/>
              <w:right w:val="nil"/>
            </w:tcBorders>
            <w:shd w:val="clear" w:color="auto" w:fill="FFFFFF"/>
            <w:tcMar>
              <w:left w:w="67" w:type="dxa"/>
              <w:right w:w="67" w:type="dxa"/>
            </w:tcMar>
            <w:vAlign w:val="center"/>
          </w:tcPr>
          <w:p w14:paraId="5319C4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0.1358</w:t>
            </w:r>
          </w:p>
        </w:tc>
        <w:tc>
          <w:tcPr>
            <w:tcW w:w="1134" w:type="dxa"/>
            <w:tcBorders>
              <w:top w:val="nil"/>
              <w:left w:val="nil"/>
              <w:bottom w:val="nil"/>
              <w:right w:val="nil"/>
            </w:tcBorders>
            <w:shd w:val="clear" w:color="auto" w:fill="FFFFFF"/>
            <w:tcMar>
              <w:left w:w="67" w:type="dxa"/>
              <w:right w:w="67" w:type="dxa"/>
            </w:tcMar>
            <w:vAlign w:val="center"/>
          </w:tcPr>
          <w:p w14:paraId="1E9696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0.9275</w:t>
            </w:r>
          </w:p>
        </w:tc>
        <w:tc>
          <w:tcPr>
            <w:tcW w:w="1134" w:type="dxa"/>
            <w:tcBorders>
              <w:top w:val="nil"/>
              <w:left w:val="nil"/>
              <w:bottom w:val="nil"/>
              <w:right w:val="nil"/>
            </w:tcBorders>
            <w:shd w:val="clear" w:color="auto" w:fill="FFFFFF"/>
            <w:tcMar>
              <w:left w:w="67" w:type="dxa"/>
              <w:right w:w="67" w:type="dxa"/>
            </w:tcMar>
            <w:vAlign w:val="center"/>
          </w:tcPr>
          <w:p w14:paraId="122B37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0.6840</w:t>
            </w:r>
          </w:p>
        </w:tc>
        <w:tc>
          <w:tcPr>
            <w:tcW w:w="1134" w:type="dxa"/>
            <w:tcBorders>
              <w:top w:val="nil"/>
              <w:left w:val="nil"/>
              <w:bottom w:val="nil"/>
              <w:right w:val="nil"/>
            </w:tcBorders>
            <w:shd w:val="clear" w:color="auto" w:fill="FFFFFF"/>
            <w:tcMar>
              <w:left w:w="67" w:type="dxa"/>
              <w:right w:w="67" w:type="dxa"/>
            </w:tcMar>
            <w:vAlign w:val="center"/>
          </w:tcPr>
          <w:p w14:paraId="1EEE06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1.2575</w:t>
            </w:r>
          </w:p>
        </w:tc>
        <w:tc>
          <w:tcPr>
            <w:tcW w:w="1134" w:type="dxa"/>
            <w:tcBorders>
              <w:top w:val="nil"/>
              <w:left w:val="nil"/>
              <w:bottom w:val="nil"/>
              <w:right w:val="nil"/>
            </w:tcBorders>
            <w:shd w:val="clear" w:color="auto" w:fill="FFFFFF"/>
            <w:tcMar>
              <w:left w:w="67" w:type="dxa"/>
              <w:right w:w="67" w:type="dxa"/>
            </w:tcMar>
            <w:vAlign w:val="center"/>
          </w:tcPr>
          <w:p w14:paraId="2C8730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1.52</w:t>
            </w:r>
          </w:p>
        </w:tc>
        <w:tc>
          <w:tcPr>
            <w:tcW w:w="567" w:type="dxa"/>
            <w:tcBorders>
              <w:top w:val="nil"/>
              <w:left w:val="nil"/>
              <w:bottom w:val="nil"/>
              <w:right w:val="nil"/>
            </w:tcBorders>
            <w:shd w:val="clear" w:color="auto" w:fill="FFFFFF"/>
            <w:tcMar>
              <w:left w:w="67" w:type="dxa"/>
              <w:right w:w="67" w:type="dxa"/>
            </w:tcMar>
            <w:vAlign w:val="center"/>
          </w:tcPr>
          <w:p w14:paraId="594F07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E1C6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0.1460</w:t>
            </w:r>
          </w:p>
        </w:tc>
      </w:tr>
      <w:tr w:rsidR="00B77EA3" w:rsidRPr="0082484A" w14:paraId="314E182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AB5DE0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14E71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F1A7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-0.2065</w:t>
            </w:r>
          </w:p>
        </w:tc>
        <w:tc>
          <w:tcPr>
            <w:tcW w:w="1134" w:type="dxa"/>
            <w:tcBorders>
              <w:top w:val="nil"/>
              <w:left w:val="nil"/>
              <w:bottom w:val="nil"/>
              <w:right w:val="nil"/>
            </w:tcBorders>
            <w:shd w:val="clear" w:color="auto" w:fill="FFFFFF"/>
            <w:tcMar>
              <w:left w:w="67" w:type="dxa"/>
              <w:right w:w="67" w:type="dxa"/>
            </w:tcMar>
            <w:vAlign w:val="center"/>
          </w:tcPr>
          <w:p w14:paraId="3BA1C3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0.1558</w:t>
            </w:r>
          </w:p>
        </w:tc>
        <w:tc>
          <w:tcPr>
            <w:tcW w:w="1134" w:type="dxa"/>
            <w:tcBorders>
              <w:top w:val="nil"/>
              <w:left w:val="nil"/>
              <w:bottom w:val="nil"/>
              <w:right w:val="nil"/>
            </w:tcBorders>
            <w:shd w:val="clear" w:color="auto" w:fill="FFFFFF"/>
            <w:tcMar>
              <w:left w:w="67" w:type="dxa"/>
              <w:right w:w="67" w:type="dxa"/>
            </w:tcMar>
            <w:vAlign w:val="center"/>
          </w:tcPr>
          <w:p w14:paraId="47DBF7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0.8135</w:t>
            </w:r>
          </w:p>
        </w:tc>
        <w:tc>
          <w:tcPr>
            <w:tcW w:w="1134" w:type="dxa"/>
            <w:tcBorders>
              <w:top w:val="nil"/>
              <w:left w:val="nil"/>
              <w:bottom w:val="nil"/>
              <w:right w:val="nil"/>
            </w:tcBorders>
            <w:shd w:val="clear" w:color="auto" w:fill="FFFFFF"/>
            <w:tcMar>
              <w:left w:w="67" w:type="dxa"/>
              <w:right w:w="67" w:type="dxa"/>
            </w:tcMar>
            <w:vAlign w:val="center"/>
          </w:tcPr>
          <w:p w14:paraId="5CB859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0.5736</w:t>
            </w:r>
          </w:p>
        </w:tc>
        <w:tc>
          <w:tcPr>
            <w:tcW w:w="1134" w:type="dxa"/>
            <w:tcBorders>
              <w:top w:val="nil"/>
              <w:left w:val="nil"/>
              <w:bottom w:val="nil"/>
              <w:right w:val="nil"/>
            </w:tcBorders>
            <w:shd w:val="clear" w:color="auto" w:fill="FFFFFF"/>
            <w:tcMar>
              <w:left w:w="67" w:type="dxa"/>
              <w:right w:w="67" w:type="dxa"/>
            </w:tcMar>
            <w:vAlign w:val="center"/>
          </w:tcPr>
          <w:p w14:paraId="2742AE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1.1535</w:t>
            </w:r>
          </w:p>
        </w:tc>
        <w:tc>
          <w:tcPr>
            <w:tcW w:w="1134" w:type="dxa"/>
            <w:tcBorders>
              <w:top w:val="nil"/>
              <w:left w:val="nil"/>
              <w:bottom w:val="nil"/>
              <w:right w:val="nil"/>
            </w:tcBorders>
            <w:shd w:val="clear" w:color="auto" w:fill="FFFFFF"/>
            <w:tcMar>
              <w:left w:w="67" w:type="dxa"/>
              <w:right w:w="67" w:type="dxa"/>
            </w:tcMar>
            <w:vAlign w:val="center"/>
          </w:tcPr>
          <w:p w14:paraId="44278EB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C9A91B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D4084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62CA13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C018F4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2E1402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665D6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0.2052</w:t>
            </w:r>
          </w:p>
        </w:tc>
        <w:tc>
          <w:tcPr>
            <w:tcW w:w="1134" w:type="dxa"/>
            <w:tcBorders>
              <w:top w:val="nil"/>
              <w:left w:val="nil"/>
              <w:bottom w:val="nil"/>
              <w:right w:val="nil"/>
            </w:tcBorders>
            <w:shd w:val="clear" w:color="auto" w:fill="FFFFFF"/>
            <w:tcMar>
              <w:left w:w="67" w:type="dxa"/>
              <w:right w:w="67" w:type="dxa"/>
            </w:tcMar>
            <w:vAlign w:val="center"/>
          </w:tcPr>
          <w:p w14:paraId="5BD392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0.1451</w:t>
            </w:r>
          </w:p>
        </w:tc>
        <w:tc>
          <w:tcPr>
            <w:tcW w:w="1134" w:type="dxa"/>
            <w:tcBorders>
              <w:top w:val="nil"/>
              <w:left w:val="nil"/>
              <w:bottom w:val="nil"/>
              <w:right w:val="nil"/>
            </w:tcBorders>
            <w:shd w:val="clear" w:color="auto" w:fill="FFFFFF"/>
            <w:tcMar>
              <w:left w:w="67" w:type="dxa"/>
              <w:right w:w="67" w:type="dxa"/>
            </w:tcMar>
            <w:vAlign w:val="center"/>
          </w:tcPr>
          <w:p w14:paraId="5EA4DD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1.2277</w:t>
            </w:r>
          </w:p>
        </w:tc>
        <w:tc>
          <w:tcPr>
            <w:tcW w:w="1134" w:type="dxa"/>
            <w:tcBorders>
              <w:top w:val="nil"/>
              <w:left w:val="nil"/>
              <w:bottom w:val="nil"/>
              <w:right w:val="nil"/>
            </w:tcBorders>
            <w:shd w:val="clear" w:color="auto" w:fill="FFFFFF"/>
            <w:tcMar>
              <w:left w:w="67" w:type="dxa"/>
              <w:right w:w="67" w:type="dxa"/>
            </w:tcMar>
            <w:vAlign w:val="center"/>
          </w:tcPr>
          <w:p w14:paraId="75DAED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0.8869</w:t>
            </w:r>
          </w:p>
        </w:tc>
        <w:tc>
          <w:tcPr>
            <w:tcW w:w="1134" w:type="dxa"/>
            <w:tcBorders>
              <w:top w:val="nil"/>
              <w:left w:val="nil"/>
              <w:bottom w:val="nil"/>
              <w:right w:val="nil"/>
            </w:tcBorders>
            <w:shd w:val="clear" w:color="auto" w:fill="FFFFFF"/>
            <w:tcMar>
              <w:left w:w="67" w:type="dxa"/>
              <w:right w:w="67" w:type="dxa"/>
            </w:tcMar>
            <w:vAlign w:val="center"/>
          </w:tcPr>
          <w:p w14:paraId="6ADC0B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1.6996</w:t>
            </w:r>
          </w:p>
        </w:tc>
        <w:tc>
          <w:tcPr>
            <w:tcW w:w="1134" w:type="dxa"/>
            <w:tcBorders>
              <w:top w:val="nil"/>
              <w:left w:val="nil"/>
              <w:bottom w:val="nil"/>
              <w:right w:val="nil"/>
            </w:tcBorders>
            <w:shd w:val="clear" w:color="auto" w:fill="FFFFFF"/>
            <w:tcMar>
              <w:left w:w="67" w:type="dxa"/>
              <w:right w:w="67" w:type="dxa"/>
            </w:tcMar>
            <w:vAlign w:val="center"/>
          </w:tcPr>
          <w:p w14:paraId="16B762A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451676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F9C5F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FCFFEA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931D14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736C59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B473D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0.1005</w:t>
            </w:r>
          </w:p>
        </w:tc>
        <w:tc>
          <w:tcPr>
            <w:tcW w:w="1134" w:type="dxa"/>
            <w:tcBorders>
              <w:top w:val="nil"/>
              <w:left w:val="nil"/>
              <w:bottom w:val="nil"/>
              <w:right w:val="nil"/>
            </w:tcBorders>
            <w:shd w:val="clear" w:color="auto" w:fill="FFFFFF"/>
            <w:tcMar>
              <w:left w:w="67" w:type="dxa"/>
              <w:right w:w="67" w:type="dxa"/>
            </w:tcMar>
            <w:vAlign w:val="center"/>
          </w:tcPr>
          <w:p w14:paraId="071007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0.1514</w:t>
            </w:r>
          </w:p>
        </w:tc>
        <w:tc>
          <w:tcPr>
            <w:tcW w:w="1134" w:type="dxa"/>
            <w:tcBorders>
              <w:top w:val="nil"/>
              <w:left w:val="nil"/>
              <w:bottom w:val="nil"/>
              <w:right w:val="nil"/>
            </w:tcBorders>
            <w:shd w:val="clear" w:color="auto" w:fill="FFFFFF"/>
            <w:tcMar>
              <w:left w:w="67" w:type="dxa"/>
              <w:right w:w="67" w:type="dxa"/>
            </w:tcMar>
            <w:vAlign w:val="center"/>
          </w:tcPr>
          <w:p w14:paraId="0CF636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1.1057</w:t>
            </w:r>
          </w:p>
        </w:tc>
        <w:tc>
          <w:tcPr>
            <w:tcW w:w="1134" w:type="dxa"/>
            <w:tcBorders>
              <w:top w:val="nil"/>
              <w:left w:val="nil"/>
              <w:bottom w:val="nil"/>
              <w:right w:val="nil"/>
            </w:tcBorders>
            <w:shd w:val="clear" w:color="auto" w:fill="FFFFFF"/>
            <w:tcMar>
              <w:left w:w="67" w:type="dxa"/>
              <w:right w:w="67" w:type="dxa"/>
            </w:tcMar>
            <w:vAlign w:val="center"/>
          </w:tcPr>
          <w:p w14:paraId="5CA5DC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0.7875</w:t>
            </w:r>
          </w:p>
        </w:tc>
        <w:tc>
          <w:tcPr>
            <w:tcW w:w="1134" w:type="dxa"/>
            <w:tcBorders>
              <w:top w:val="nil"/>
              <w:left w:val="nil"/>
              <w:bottom w:val="nil"/>
              <w:right w:val="nil"/>
            </w:tcBorders>
            <w:shd w:val="clear" w:color="auto" w:fill="FFFFFF"/>
            <w:tcMar>
              <w:left w:w="67" w:type="dxa"/>
              <w:right w:w="67" w:type="dxa"/>
            </w:tcMar>
            <w:vAlign w:val="center"/>
          </w:tcPr>
          <w:p w14:paraId="6218ED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1.5524</w:t>
            </w:r>
          </w:p>
        </w:tc>
        <w:tc>
          <w:tcPr>
            <w:tcW w:w="1134" w:type="dxa"/>
            <w:tcBorders>
              <w:top w:val="nil"/>
              <w:left w:val="nil"/>
              <w:bottom w:val="nil"/>
              <w:right w:val="nil"/>
            </w:tcBorders>
            <w:shd w:val="clear" w:color="auto" w:fill="FFFFFF"/>
            <w:tcMar>
              <w:left w:w="67" w:type="dxa"/>
              <w:right w:w="67" w:type="dxa"/>
            </w:tcMar>
            <w:vAlign w:val="center"/>
          </w:tcPr>
          <w:p w14:paraId="71584D9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3A4F35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A18430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303B9F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969B68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78BE25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C76C4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0.0352</w:t>
            </w:r>
          </w:p>
        </w:tc>
        <w:tc>
          <w:tcPr>
            <w:tcW w:w="1134" w:type="dxa"/>
            <w:tcBorders>
              <w:top w:val="nil"/>
              <w:left w:val="nil"/>
              <w:bottom w:val="nil"/>
              <w:right w:val="nil"/>
            </w:tcBorders>
            <w:shd w:val="clear" w:color="auto" w:fill="FFFFFF"/>
            <w:tcMar>
              <w:left w:w="67" w:type="dxa"/>
              <w:right w:w="67" w:type="dxa"/>
            </w:tcMar>
            <w:vAlign w:val="center"/>
          </w:tcPr>
          <w:p w14:paraId="4368B1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0.1492</w:t>
            </w:r>
          </w:p>
        </w:tc>
        <w:tc>
          <w:tcPr>
            <w:tcW w:w="1134" w:type="dxa"/>
            <w:tcBorders>
              <w:top w:val="nil"/>
              <w:left w:val="nil"/>
              <w:bottom w:val="nil"/>
              <w:right w:val="nil"/>
            </w:tcBorders>
            <w:shd w:val="clear" w:color="auto" w:fill="FFFFFF"/>
            <w:tcMar>
              <w:left w:w="67" w:type="dxa"/>
              <w:right w:w="67" w:type="dxa"/>
            </w:tcMar>
            <w:vAlign w:val="center"/>
          </w:tcPr>
          <w:p w14:paraId="227C00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1.0358</w:t>
            </w:r>
          </w:p>
        </w:tc>
        <w:tc>
          <w:tcPr>
            <w:tcW w:w="1134" w:type="dxa"/>
            <w:tcBorders>
              <w:top w:val="nil"/>
              <w:left w:val="nil"/>
              <w:bottom w:val="nil"/>
              <w:right w:val="nil"/>
            </w:tcBorders>
            <w:shd w:val="clear" w:color="auto" w:fill="FFFFFF"/>
            <w:tcMar>
              <w:left w:w="67" w:type="dxa"/>
              <w:right w:w="67" w:type="dxa"/>
            </w:tcMar>
            <w:vAlign w:val="center"/>
          </w:tcPr>
          <w:p w14:paraId="0A1A65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0.7413</w:t>
            </w:r>
          </w:p>
        </w:tc>
        <w:tc>
          <w:tcPr>
            <w:tcW w:w="1134" w:type="dxa"/>
            <w:tcBorders>
              <w:top w:val="nil"/>
              <w:left w:val="nil"/>
              <w:bottom w:val="nil"/>
              <w:right w:val="nil"/>
            </w:tcBorders>
            <w:shd w:val="clear" w:color="auto" w:fill="FFFFFF"/>
            <w:tcMar>
              <w:left w:w="67" w:type="dxa"/>
              <w:right w:w="67" w:type="dxa"/>
            </w:tcMar>
            <w:vAlign w:val="center"/>
          </w:tcPr>
          <w:p w14:paraId="31B613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1.4473</w:t>
            </w:r>
          </w:p>
        </w:tc>
        <w:tc>
          <w:tcPr>
            <w:tcW w:w="1134" w:type="dxa"/>
            <w:tcBorders>
              <w:top w:val="nil"/>
              <w:left w:val="nil"/>
              <w:bottom w:val="nil"/>
              <w:right w:val="nil"/>
            </w:tcBorders>
            <w:shd w:val="clear" w:color="auto" w:fill="FFFFFF"/>
            <w:tcMar>
              <w:left w:w="67" w:type="dxa"/>
              <w:right w:w="67" w:type="dxa"/>
            </w:tcMar>
            <w:vAlign w:val="center"/>
          </w:tcPr>
          <w:p w14:paraId="3122BA4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C50F39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89E7BE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1B87AB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01EDE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2119BF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898A6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-0.1477</w:t>
            </w:r>
          </w:p>
        </w:tc>
        <w:tc>
          <w:tcPr>
            <w:tcW w:w="1134" w:type="dxa"/>
            <w:tcBorders>
              <w:top w:val="nil"/>
              <w:left w:val="nil"/>
              <w:bottom w:val="nil"/>
              <w:right w:val="nil"/>
            </w:tcBorders>
            <w:shd w:val="clear" w:color="auto" w:fill="FFFFFF"/>
            <w:tcMar>
              <w:left w:w="67" w:type="dxa"/>
              <w:right w:w="67" w:type="dxa"/>
            </w:tcMar>
            <w:vAlign w:val="center"/>
          </w:tcPr>
          <w:p w14:paraId="334A75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0.1258</w:t>
            </w:r>
          </w:p>
        </w:tc>
        <w:tc>
          <w:tcPr>
            <w:tcW w:w="1134" w:type="dxa"/>
            <w:tcBorders>
              <w:top w:val="nil"/>
              <w:left w:val="nil"/>
              <w:bottom w:val="nil"/>
              <w:right w:val="nil"/>
            </w:tcBorders>
            <w:shd w:val="clear" w:color="auto" w:fill="FFFFFF"/>
            <w:tcMar>
              <w:left w:w="67" w:type="dxa"/>
              <w:right w:w="67" w:type="dxa"/>
            </w:tcMar>
            <w:vAlign w:val="center"/>
          </w:tcPr>
          <w:p w14:paraId="4A82D2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0.8627</w:t>
            </w:r>
          </w:p>
        </w:tc>
        <w:tc>
          <w:tcPr>
            <w:tcW w:w="1134" w:type="dxa"/>
            <w:tcBorders>
              <w:top w:val="nil"/>
              <w:left w:val="nil"/>
              <w:bottom w:val="nil"/>
              <w:right w:val="nil"/>
            </w:tcBorders>
            <w:shd w:val="clear" w:color="auto" w:fill="FFFFFF"/>
            <w:tcMar>
              <w:left w:w="67" w:type="dxa"/>
              <w:right w:w="67" w:type="dxa"/>
            </w:tcMar>
            <w:vAlign w:val="center"/>
          </w:tcPr>
          <w:p w14:paraId="17D090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0.6506</w:t>
            </w:r>
          </w:p>
        </w:tc>
        <w:tc>
          <w:tcPr>
            <w:tcW w:w="1134" w:type="dxa"/>
            <w:tcBorders>
              <w:top w:val="nil"/>
              <w:left w:val="nil"/>
              <w:bottom w:val="nil"/>
              <w:right w:val="nil"/>
            </w:tcBorders>
            <w:shd w:val="clear" w:color="auto" w:fill="FFFFFF"/>
            <w:tcMar>
              <w:left w:w="67" w:type="dxa"/>
              <w:right w:w="67" w:type="dxa"/>
            </w:tcMar>
            <w:vAlign w:val="center"/>
          </w:tcPr>
          <w:p w14:paraId="37546C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1.1438</w:t>
            </w:r>
          </w:p>
        </w:tc>
        <w:tc>
          <w:tcPr>
            <w:tcW w:w="1134" w:type="dxa"/>
            <w:tcBorders>
              <w:top w:val="nil"/>
              <w:left w:val="nil"/>
              <w:bottom w:val="nil"/>
              <w:right w:val="nil"/>
            </w:tcBorders>
            <w:shd w:val="clear" w:color="auto" w:fill="FFFFFF"/>
            <w:tcMar>
              <w:left w:w="67" w:type="dxa"/>
              <w:right w:w="67" w:type="dxa"/>
            </w:tcMar>
            <w:vAlign w:val="center"/>
          </w:tcPr>
          <w:p w14:paraId="3CE571F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952AF1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14817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774167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D48A44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6D43EC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778DD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-0.0699</w:t>
            </w:r>
          </w:p>
        </w:tc>
        <w:tc>
          <w:tcPr>
            <w:tcW w:w="1134" w:type="dxa"/>
            <w:tcBorders>
              <w:top w:val="nil"/>
              <w:left w:val="nil"/>
              <w:bottom w:val="nil"/>
              <w:right w:val="nil"/>
            </w:tcBorders>
            <w:shd w:val="clear" w:color="auto" w:fill="FFFFFF"/>
            <w:tcMar>
              <w:left w:w="67" w:type="dxa"/>
              <w:right w:w="67" w:type="dxa"/>
            </w:tcMar>
            <w:vAlign w:val="center"/>
          </w:tcPr>
          <w:p w14:paraId="32E065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0.1241</w:t>
            </w:r>
          </w:p>
        </w:tc>
        <w:tc>
          <w:tcPr>
            <w:tcW w:w="1134" w:type="dxa"/>
            <w:tcBorders>
              <w:top w:val="nil"/>
              <w:left w:val="nil"/>
              <w:bottom w:val="nil"/>
              <w:right w:val="nil"/>
            </w:tcBorders>
            <w:shd w:val="clear" w:color="auto" w:fill="FFFFFF"/>
            <w:tcMar>
              <w:left w:w="67" w:type="dxa"/>
              <w:right w:w="67" w:type="dxa"/>
            </w:tcMar>
            <w:vAlign w:val="center"/>
          </w:tcPr>
          <w:p w14:paraId="65A842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0.9325</w:t>
            </w:r>
          </w:p>
        </w:tc>
        <w:tc>
          <w:tcPr>
            <w:tcW w:w="1134" w:type="dxa"/>
            <w:tcBorders>
              <w:top w:val="nil"/>
              <w:left w:val="nil"/>
              <w:bottom w:val="nil"/>
              <w:right w:val="nil"/>
            </w:tcBorders>
            <w:shd w:val="clear" w:color="auto" w:fill="FFFFFF"/>
            <w:tcMar>
              <w:left w:w="67" w:type="dxa"/>
              <w:right w:w="67" w:type="dxa"/>
            </w:tcMar>
            <w:vAlign w:val="center"/>
          </w:tcPr>
          <w:p w14:paraId="031301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0.7060</w:t>
            </w:r>
          </w:p>
        </w:tc>
        <w:tc>
          <w:tcPr>
            <w:tcW w:w="1134" w:type="dxa"/>
            <w:tcBorders>
              <w:top w:val="nil"/>
              <w:left w:val="nil"/>
              <w:bottom w:val="nil"/>
              <w:right w:val="nil"/>
            </w:tcBorders>
            <w:shd w:val="clear" w:color="auto" w:fill="FFFFFF"/>
            <w:tcMar>
              <w:left w:w="67" w:type="dxa"/>
              <w:right w:w="67" w:type="dxa"/>
            </w:tcMar>
            <w:vAlign w:val="center"/>
          </w:tcPr>
          <w:p w14:paraId="0B3EA0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1.2317</w:t>
            </w:r>
          </w:p>
        </w:tc>
        <w:tc>
          <w:tcPr>
            <w:tcW w:w="1134" w:type="dxa"/>
            <w:tcBorders>
              <w:top w:val="nil"/>
              <w:left w:val="nil"/>
              <w:bottom w:val="nil"/>
              <w:right w:val="nil"/>
            </w:tcBorders>
            <w:shd w:val="clear" w:color="auto" w:fill="FFFFFF"/>
            <w:tcMar>
              <w:left w:w="67" w:type="dxa"/>
              <w:right w:w="67" w:type="dxa"/>
            </w:tcMar>
            <w:vAlign w:val="center"/>
          </w:tcPr>
          <w:p w14:paraId="7CB20DD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C976A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D94D3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885B79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B8DB04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AFD18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5071E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0.1333</w:t>
            </w:r>
          </w:p>
        </w:tc>
        <w:tc>
          <w:tcPr>
            <w:tcW w:w="1134" w:type="dxa"/>
            <w:tcBorders>
              <w:top w:val="nil"/>
              <w:left w:val="nil"/>
              <w:bottom w:val="nil"/>
              <w:right w:val="nil"/>
            </w:tcBorders>
            <w:shd w:val="clear" w:color="auto" w:fill="FFFFFF"/>
            <w:tcMar>
              <w:left w:w="67" w:type="dxa"/>
              <w:right w:w="67" w:type="dxa"/>
            </w:tcMar>
            <w:vAlign w:val="center"/>
          </w:tcPr>
          <w:p w14:paraId="2D39A0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0.1270</w:t>
            </w:r>
          </w:p>
        </w:tc>
        <w:tc>
          <w:tcPr>
            <w:tcW w:w="1134" w:type="dxa"/>
            <w:tcBorders>
              <w:top w:val="nil"/>
              <w:left w:val="nil"/>
              <w:bottom w:val="nil"/>
              <w:right w:val="nil"/>
            </w:tcBorders>
            <w:shd w:val="clear" w:color="auto" w:fill="FFFFFF"/>
            <w:tcMar>
              <w:left w:w="67" w:type="dxa"/>
              <w:right w:w="67" w:type="dxa"/>
            </w:tcMar>
            <w:vAlign w:val="center"/>
          </w:tcPr>
          <w:p w14:paraId="16DE39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1.1425</w:t>
            </w:r>
          </w:p>
        </w:tc>
        <w:tc>
          <w:tcPr>
            <w:tcW w:w="1134" w:type="dxa"/>
            <w:tcBorders>
              <w:top w:val="nil"/>
              <w:left w:val="nil"/>
              <w:bottom w:val="nil"/>
              <w:right w:val="nil"/>
            </w:tcBorders>
            <w:shd w:val="clear" w:color="auto" w:fill="FFFFFF"/>
            <w:tcMar>
              <w:left w:w="67" w:type="dxa"/>
              <w:right w:w="67" w:type="dxa"/>
            </w:tcMar>
            <w:vAlign w:val="center"/>
          </w:tcPr>
          <w:p w14:paraId="664AE2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0.8594</w:t>
            </w:r>
          </w:p>
        </w:tc>
        <w:tc>
          <w:tcPr>
            <w:tcW w:w="1134" w:type="dxa"/>
            <w:tcBorders>
              <w:top w:val="nil"/>
              <w:left w:val="nil"/>
              <w:bottom w:val="nil"/>
              <w:right w:val="nil"/>
            </w:tcBorders>
            <w:shd w:val="clear" w:color="auto" w:fill="FFFFFF"/>
            <w:tcMar>
              <w:left w:w="67" w:type="dxa"/>
              <w:right w:w="67" w:type="dxa"/>
            </w:tcMar>
            <w:vAlign w:val="center"/>
          </w:tcPr>
          <w:p w14:paraId="61D0BF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1.5189</w:t>
            </w:r>
          </w:p>
        </w:tc>
        <w:tc>
          <w:tcPr>
            <w:tcW w:w="1134" w:type="dxa"/>
            <w:tcBorders>
              <w:top w:val="nil"/>
              <w:left w:val="nil"/>
              <w:bottom w:val="nil"/>
              <w:right w:val="nil"/>
            </w:tcBorders>
            <w:shd w:val="clear" w:color="auto" w:fill="FFFFFF"/>
            <w:tcMar>
              <w:left w:w="67" w:type="dxa"/>
              <w:right w:w="67" w:type="dxa"/>
            </w:tcMar>
            <w:vAlign w:val="center"/>
          </w:tcPr>
          <w:p w14:paraId="206102E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4B93D2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6B9D7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41BE28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CE06335"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774ADC2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DED37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60757B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0.0046</w:t>
            </w:r>
          </w:p>
        </w:tc>
        <w:tc>
          <w:tcPr>
            <w:tcW w:w="1134" w:type="dxa"/>
            <w:tcBorders>
              <w:top w:val="nil"/>
              <w:left w:val="nil"/>
              <w:bottom w:val="nil"/>
              <w:right w:val="nil"/>
            </w:tcBorders>
            <w:shd w:val="clear" w:color="auto" w:fill="FFFFFF"/>
            <w:tcMar>
              <w:left w:w="67" w:type="dxa"/>
              <w:right w:w="67" w:type="dxa"/>
            </w:tcMar>
            <w:vAlign w:val="center"/>
          </w:tcPr>
          <w:p w14:paraId="161416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0.9965</w:t>
            </w:r>
          </w:p>
        </w:tc>
        <w:tc>
          <w:tcPr>
            <w:tcW w:w="1134" w:type="dxa"/>
            <w:tcBorders>
              <w:top w:val="nil"/>
              <w:left w:val="nil"/>
              <w:bottom w:val="nil"/>
              <w:right w:val="nil"/>
            </w:tcBorders>
            <w:shd w:val="clear" w:color="auto" w:fill="FFFFFF"/>
            <w:tcMar>
              <w:left w:w="67" w:type="dxa"/>
              <w:right w:w="67" w:type="dxa"/>
            </w:tcMar>
            <w:vAlign w:val="center"/>
          </w:tcPr>
          <w:p w14:paraId="1BABEA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0.9863</w:t>
            </w:r>
          </w:p>
        </w:tc>
        <w:tc>
          <w:tcPr>
            <w:tcW w:w="1134" w:type="dxa"/>
            <w:tcBorders>
              <w:top w:val="nil"/>
              <w:left w:val="nil"/>
              <w:bottom w:val="nil"/>
              <w:right w:val="nil"/>
            </w:tcBorders>
            <w:shd w:val="clear" w:color="auto" w:fill="FFFFFF"/>
            <w:tcMar>
              <w:left w:w="67" w:type="dxa"/>
              <w:right w:w="67" w:type="dxa"/>
            </w:tcMar>
            <w:vAlign w:val="center"/>
          </w:tcPr>
          <w:p w14:paraId="2D5B60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1.0068</w:t>
            </w:r>
          </w:p>
        </w:tc>
        <w:tc>
          <w:tcPr>
            <w:tcW w:w="1134" w:type="dxa"/>
            <w:tcBorders>
              <w:top w:val="nil"/>
              <w:left w:val="nil"/>
              <w:bottom w:val="nil"/>
              <w:right w:val="nil"/>
            </w:tcBorders>
            <w:shd w:val="clear" w:color="auto" w:fill="FFFFFF"/>
            <w:tcMar>
              <w:left w:w="67" w:type="dxa"/>
              <w:right w:w="67" w:type="dxa"/>
            </w:tcMar>
            <w:vAlign w:val="center"/>
          </w:tcPr>
          <w:p w14:paraId="2587CC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w:t>
            </w:r>
          </w:p>
        </w:tc>
        <w:tc>
          <w:tcPr>
            <w:tcW w:w="567" w:type="dxa"/>
            <w:tcBorders>
              <w:top w:val="nil"/>
              <w:left w:val="nil"/>
              <w:bottom w:val="nil"/>
              <w:right w:val="nil"/>
            </w:tcBorders>
            <w:shd w:val="clear" w:color="auto" w:fill="FFFFFF"/>
            <w:tcMar>
              <w:left w:w="67" w:type="dxa"/>
              <w:right w:w="67" w:type="dxa"/>
            </w:tcMar>
            <w:vAlign w:val="center"/>
          </w:tcPr>
          <w:p w14:paraId="65C195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E97E4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0.4448</w:t>
            </w:r>
          </w:p>
        </w:tc>
      </w:tr>
      <w:tr w:rsidR="00B77EA3" w:rsidRPr="0082484A" w14:paraId="0DAF18C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CCF5F18"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2A7FD8B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5A992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0.0298</w:t>
            </w:r>
          </w:p>
        </w:tc>
        <w:tc>
          <w:tcPr>
            <w:tcW w:w="1134" w:type="dxa"/>
            <w:tcBorders>
              <w:top w:val="nil"/>
              <w:left w:val="nil"/>
              <w:bottom w:val="nil"/>
              <w:right w:val="nil"/>
            </w:tcBorders>
            <w:shd w:val="clear" w:color="auto" w:fill="FFFFFF"/>
            <w:tcMar>
              <w:left w:w="67" w:type="dxa"/>
              <w:right w:w="67" w:type="dxa"/>
            </w:tcMar>
            <w:vAlign w:val="center"/>
          </w:tcPr>
          <w:p w14:paraId="5562AD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0.0060</w:t>
            </w:r>
          </w:p>
        </w:tc>
        <w:tc>
          <w:tcPr>
            <w:tcW w:w="1134" w:type="dxa"/>
            <w:tcBorders>
              <w:top w:val="nil"/>
              <w:left w:val="nil"/>
              <w:bottom w:val="nil"/>
              <w:right w:val="nil"/>
            </w:tcBorders>
            <w:shd w:val="clear" w:color="auto" w:fill="FFFFFF"/>
            <w:tcMar>
              <w:left w:w="67" w:type="dxa"/>
              <w:right w:w="67" w:type="dxa"/>
            </w:tcMar>
            <w:vAlign w:val="center"/>
          </w:tcPr>
          <w:p w14:paraId="459D21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1.0302</w:t>
            </w:r>
          </w:p>
        </w:tc>
        <w:tc>
          <w:tcPr>
            <w:tcW w:w="1134" w:type="dxa"/>
            <w:tcBorders>
              <w:top w:val="nil"/>
              <w:left w:val="nil"/>
              <w:bottom w:val="nil"/>
              <w:right w:val="nil"/>
            </w:tcBorders>
            <w:shd w:val="clear" w:color="auto" w:fill="FFFFFF"/>
            <w:tcMar>
              <w:left w:w="67" w:type="dxa"/>
              <w:right w:w="67" w:type="dxa"/>
            </w:tcMar>
            <w:vAlign w:val="center"/>
          </w:tcPr>
          <w:p w14:paraId="38146C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1.0166</w:t>
            </w:r>
          </w:p>
        </w:tc>
        <w:tc>
          <w:tcPr>
            <w:tcW w:w="1134" w:type="dxa"/>
            <w:tcBorders>
              <w:top w:val="nil"/>
              <w:left w:val="nil"/>
              <w:bottom w:val="nil"/>
              <w:right w:val="nil"/>
            </w:tcBorders>
            <w:shd w:val="clear" w:color="auto" w:fill="FFFFFF"/>
            <w:tcMar>
              <w:left w:w="67" w:type="dxa"/>
              <w:right w:w="67" w:type="dxa"/>
            </w:tcMar>
            <w:vAlign w:val="center"/>
          </w:tcPr>
          <w:p w14:paraId="028EAF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1.0441</w:t>
            </w:r>
          </w:p>
        </w:tc>
        <w:tc>
          <w:tcPr>
            <w:tcW w:w="1134" w:type="dxa"/>
            <w:tcBorders>
              <w:top w:val="nil"/>
              <w:left w:val="nil"/>
              <w:bottom w:val="nil"/>
              <w:right w:val="nil"/>
            </w:tcBorders>
            <w:shd w:val="clear" w:color="auto" w:fill="FFFFFF"/>
            <w:tcMar>
              <w:left w:w="67" w:type="dxa"/>
              <w:right w:w="67" w:type="dxa"/>
            </w:tcMar>
            <w:vAlign w:val="center"/>
          </w:tcPr>
          <w:p w14:paraId="36EC37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24.94</w:t>
            </w:r>
          </w:p>
        </w:tc>
        <w:tc>
          <w:tcPr>
            <w:tcW w:w="567" w:type="dxa"/>
            <w:tcBorders>
              <w:top w:val="nil"/>
              <w:left w:val="nil"/>
              <w:bottom w:val="nil"/>
              <w:right w:val="nil"/>
            </w:tcBorders>
            <w:shd w:val="clear" w:color="auto" w:fill="FFFFFF"/>
            <w:tcMar>
              <w:left w:w="67" w:type="dxa"/>
              <w:right w:w="67" w:type="dxa"/>
            </w:tcMar>
            <w:vAlign w:val="center"/>
          </w:tcPr>
          <w:p w14:paraId="1F2363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BB65A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5B646C3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155E090"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2694A11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EF5ED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2BA79C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582070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1.0021</w:t>
            </w:r>
          </w:p>
        </w:tc>
        <w:tc>
          <w:tcPr>
            <w:tcW w:w="1134" w:type="dxa"/>
            <w:tcBorders>
              <w:top w:val="nil"/>
              <w:left w:val="nil"/>
              <w:bottom w:val="nil"/>
              <w:right w:val="nil"/>
            </w:tcBorders>
            <w:shd w:val="clear" w:color="auto" w:fill="FFFFFF"/>
            <w:tcMar>
              <w:left w:w="67" w:type="dxa"/>
              <w:right w:w="67" w:type="dxa"/>
            </w:tcMar>
            <w:vAlign w:val="center"/>
          </w:tcPr>
          <w:p w14:paraId="6F88B0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0.9981</w:t>
            </w:r>
          </w:p>
        </w:tc>
        <w:tc>
          <w:tcPr>
            <w:tcW w:w="1134" w:type="dxa"/>
            <w:tcBorders>
              <w:top w:val="nil"/>
              <w:left w:val="nil"/>
              <w:bottom w:val="nil"/>
              <w:right w:val="nil"/>
            </w:tcBorders>
            <w:shd w:val="clear" w:color="auto" w:fill="FFFFFF"/>
            <w:tcMar>
              <w:left w:w="67" w:type="dxa"/>
              <w:right w:w="67" w:type="dxa"/>
            </w:tcMar>
            <w:vAlign w:val="center"/>
          </w:tcPr>
          <w:p w14:paraId="69F260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1.0061</w:t>
            </w:r>
          </w:p>
        </w:tc>
        <w:tc>
          <w:tcPr>
            <w:tcW w:w="1134" w:type="dxa"/>
            <w:tcBorders>
              <w:top w:val="nil"/>
              <w:left w:val="nil"/>
              <w:bottom w:val="nil"/>
              <w:right w:val="nil"/>
            </w:tcBorders>
            <w:shd w:val="clear" w:color="auto" w:fill="FFFFFF"/>
            <w:tcMar>
              <w:left w:w="67" w:type="dxa"/>
              <w:right w:w="67" w:type="dxa"/>
            </w:tcMar>
            <w:vAlign w:val="center"/>
          </w:tcPr>
          <w:p w14:paraId="1266BD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w:t>
            </w:r>
          </w:p>
        </w:tc>
        <w:tc>
          <w:tcPr>
            <w:tcW w:w="567" w:type="dxa"/>
            <w:tcBorders>
              <w:top w:val="nil"/>
              <w:left w:val="nil"/>
              <w:bottom w:val="nil"/>
              <w:right w:val="nil"/>
            </w:tcBorders>
            <w:shd w:val="clear" w:color="auto" w:fill="FFFFFF"/>
            <w:tcMar>
              <w:left w:w="67" w:type="dxa"/>
              <w:right w:w="67" w:type="dxa"/>
            </w:tcMar>
            <w:vAlign w:val="center"/>
          </w:tcPr>
          <w:p w14:paraId="0A7908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4F40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0.2466</w:t>
            </w:r>
          </w:p>
        </w:tc>
      </w:tr>
      <w:tr w:rsidR="00B77EA3" w:rsidRPr="0082484A" w14:paraId="6814EAFE"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697C083"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76C12F3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C3D31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-0.0738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2A900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0.0438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87723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0.9289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9F3E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0.8421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11EF9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C4A7C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09DFB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7CCD5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0.0918</w:t>
            </w:r>
          </w:p>
        </w:tc>
      </w:tr>
    </w:tbl>
    <w:p w14:paraId="05880BBC" w14:textId="77777777" w:rsidR="00B77EA3" w:rsidRPr="0082484A" w:rsidRDefault="00B77EA3" w:rsidP="00B77EA3">
      <w:pPr>
        <w:spacing w:before="0" w:after="200"/>
        <w:rPr>
          <w:bCs/>
          <w:sz w:val="22"/>
          <w:szCs w:val="22"/>
        </w:rPr>
      </w:pPr>
      <w:bookmarkStart w:id="166" w:name="_Ref502917880"/>
      <w:r w:rsidRPr="0082484A">
        <w:rPr>
          <w:sz w:val="22"/>
          <w:szCs w:val="22"/>
        </w:rPr>
        <w:t>The estimated number needed to treat for one patient aged under 80 years with a history of stroke / transient ischemic attack to achieve blood pressure below 140/90 mmHg was 375</w:t>
      </w:r>
      <w:r w:rsidRPr="0082484A">
        <w:rPr>
          <w:sz w:val="22"/>
          <w:szCs w:val="22"/>
        </w:rPr>
        <w:br w:type="page"/>
      </w:r>
    </w:p>
    <w:p w14:paraId="4F36EFA2" w14:textId="78B23A51" w:rsidR="00B77EA3" w:rsidRPr="0082484A" w:rsidRDefault="00B77EA3" w:rsidP="00B77EA3">
      <w:pPr>
        <w:spacing w:before="0" w:line="240" w:lineRule="auto"/>
        <w:rPr>
          <w:bCs/>
          <w:sz w:val="22"/>
          <w:szCs w:val="22"/>
        </w:rPr>
      </w:pPr>
      <w:bookmarkStart w:id="167" w:name="_Ref8647299"/>
      <w:bookmarkStart w:id="168" w:name="_Toc8728119"/>
      <w:bookmarkStart w:id="169" w:name="_Toc19526774"/>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45</w:t>
      </w:r>
      <w:r w:rsidRPr="0082484A">
        <w:rPr>
          <w:bCs/>
          <w:noProof/>
          <w:sz w:val="22"/>
          <w:szCs w:val="22"/>
        </w:rPr>
        <w:fldChar w:fldCharType="end"/>
      </w:r>
      <w:bookmarkEnd w:id="166"/>
      <w:bookmarkEnd w:id="167"/>
      <w:r w:rsidRPr="0082484A">
        <w:rPr>
          <w:bCs/>
          <w:sz w:val="22"/>
          <w:szCs w:val="22"/>
        </w:rPr>
        <w:t>: Secondary outcome for Trial 2: Blood pressure below 140/90 mmHg in patients aged under 80 years with a cardiovascular disease risk of 20% or higher (WP4A)</w:t>
      </w:r>
      <w:bookmarkEnd w:id="168"/>
      <w:bookmarkEnd w:id="169"/>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47D45342"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993E682"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FEB5BD"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B8EC31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EDF225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136684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4A8C6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9F9693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046515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4ABB28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9ECADC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32A351F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78AF740"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93C17C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416943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0.0955</w:t>
            </w:r>
          </w:p>
        </w:tc>
        <w:tc>
          <w:tcPr>
            <w:tcW w:w="1134" w:type="dxa"/>
            <w:tcBorders>
              <w:top w:val="nil"/>
              <w:left w:val="nil"/>
              <w:bottom w:val="nil"/>
              <w:right w:val="nil"/>
            </w:tcBorders>
            <w:shd w:val="clear" w:color="auto" w:fill="FFFFFF"/>
            <w:tcMar>
              <w:left w:w="67" w:type="dxa"/>
              <w:right w:w="67" w:type="dxa"/>
            </w:tcMar>
            <w:vAlign w:val="center"/>
          </w:tcPr>
          <w:p w14:paraId="7E3F0D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0.0578</w:t>
            </w:r>
          </w:p>
        </w:tc>
        <w:tc>
          <w:tcPr>
            <w:tcW w:w="1134" w:type="dxa"/>
            <w:tcBorders>
              <w:top w:val="nil"/>
              <w:left w:val="nil"/>
              <w:bottom w:val="nil"/>
              <w:right w:val="nil"/>
            </w:tcBorders>
            <w:shd w:val="clear" w:color="auto" w:fill="FFFFFF"/>
            <w:tcMar>
              <w:left w:w="67" w:type="dxa"/>
              <w:right w:w="67" w:type="dxa"/>
            </w:tcMar>
            <w:vAlign w:val="center"/>
          </w:tcPr>
          <w:p w14:paraId="53F829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1.1002</w:t>
            </w:r>
          </w:p>
        </w:tc>
        <w:tc>
          <w:tcPr>
            <w:tcW w:w="1134" w:type="dxa"/>
            <w:tcBorders>
              <w:top w:val="nil"/>
              <w:left w:val="nil"/>
              <w:bottom w:val="nil"/>
              <w:right w:val="nil"/>
            </w:tcBorders>
            <w:shd w:val="clear" w:color="auto" w:fill="FFFFFF"/>
            <w:tcMar>
              <w:left w:w="67" w:type="dxa"/>
              <w:right w:w="67" w:type="dxa"/>
            </w:tcMar>
            <w:vAlign w:val="center"/>
          </w:tcPr>
          <w:p w14:paraId="724D91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0.9665</w:t>
            </w:r>
          </w:p>
        </w:tc>
        <w:tc>
          <w:tcPr>
            <w:tcW w:w="1134" w:type="dxa"/>
            <w:tcBorders>
              <w:top w:val="nil"/>
              <w:left w:val="nil"/>
              <w:bottom w:val="nil"/>
              <w:right w:val="nil"/>
            </w:tcBorders>
            <w:shd w:val="clear" w:color="auto" w:fill="FFFFFF"/>
            <w:tcMar>
              <w:left w:w="67" w:type="dxa"/>
              <w:right w:w="67" w:type="dxa"/>
            </w:tcMar>
            <w:vAlign w:val="center"/>
          </w:tcPr>
          <w:p w14:paraId="24D5B6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1.2523</w:t>
            </w:r>
          </w:p>
        </w:tc>
        <w:tc>
          <w:tcPr>
            <w:tcW w:w="1134" w:type="dxa"/>
            <w:tcBorders>
              <w:top w:val="nil"/>
              <w:left w:val="nil"/>
              <w:bottom w:val="nil"/>
              <w:right w:val="nil"/>
            </w:tcBorders>
            <w:shd w:val="clear" w:color="auto" w:fill="FFFFFF"/>
            <w:tcMar>
              <w:left w:w="67" w:type="dxa"/>
              <w:right w:w="67" w:type="dxa"/>
            </w:tcMar>
            <w:vAlign w:val="center"/>
          </w:tcPr>
          <w:p w14:paraId="35C806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2.73</w:t>
            </w:r>
          </w:p>
        </w:tc>
        <w:tc>
          <w:tcPr>
            <w:tcW w:w="567" w:type="dxa"/>
            <w:tcBorders>
              <w:top w:val="nil"/>
              <w:left w:val="nil"/>
              <w:bottom w:val="nil"/>
              <w:right w:val="nil"/>
            </w:tcBorders>
            <w:shd w:val="clear" w:color="auto" w:fill="FFFFFF"/>
            <w:tcMar>
              <w:left w:w="67" w:type="dxa"/>
              <w:right w:w="67" w:type="dxa"/>
            </w:tcMar>
            <w:vAlign w:val="center"/>
          </w:tcPr>
          <w:p w14:paraId="55AF26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5E7B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0.0985</w:t>
            </w:r>
          </w:p>
        </w:tc>
      </w:tr>
      <w:tr w:rsidR="00B77EA3" w:rsidRPr="0082484A" w14:paraId="3154541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E8CBCC3"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38324F9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7D2544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0.1200</w:t>
            </w:r>
          </w:p>
        </w:tc>
        <w:tc>
          <w:tcPr>
            <w:tcW w:w="1134" w:type="dxa"/>
            <w:tcBorders>
              <w:top w:val="nil"/>
              <w:left w:val="nil"/>
              <w:bottom w:val="nil"/>
              <w:right w:val="nil"/>
            </w:tcBorders>
            <w:shd w:val="clear" w:color="auto" w:fill="FFFFFF"/>
            <w:tcMar>
              <w:left w:w="67" w:type="dxa"/>
              <w:right w:w="67" w:type="dxa"/>
            </w:tcMar>
            <w:vAlign w:val="center"/>
          </w:tcPr>
          <w:p w14:paraId="19D035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0.0279</w:t>
            </w:r>
          </w:p>
        </w:tc>
        <w:tc>
          <w:tcPr>
            <w:tcW w:w="1134" w:type="dxa"/>
            <w:tcBorders>
              <w:top w:val="nil"/>
              <w:left w:val="nil"/>
              <w:bottom w:val="nil"/>
              <w:right w:val="nil"/>
            </w:tcBorders>
            <w:shd w:val="clear" w:color="auto" w:fill="FFFFFF"/>
            <w:tcMar>
              <w:left w:w="67" w:type="dxa"/>
              <w:right w:w="67" w:type="dxa"/>
            </w:tcMar>
            <w:vAlign w:val="center"/>
          </w:tcPr>
          <w:p w14:paraId="63A00C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1.1274</w:t>
            </w:r>
          </w:p>
        </w:tc>
        <w:tc>
          <w:tcPr>
            <w:tcW w:w="1134" w:type="dxa"/>
            <w:tcBorders>
              <w:top w:val="nil"/>
              <w:left w:val="nil"/>
              <w:bottom w:val="nil"/>
              <w:right w:val="nil"/>
            </w:tcBorders>
            <w:shd w:val="clear" w:color="auto" w:fill="FFFFFF"/>
            <w:tcMar>
              <w:left w:w="67" w:type="dxa"/>
              <w:right w:w="67" w:type="dxa"/>
            </w:tcMar>
            <w:vAlign w:val="center"/>
          </w:tcPr>
          <w:p w14:paraId="0E0283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1.0591</w:t>
            </w:r>
          </w:p>
        </w:tc>
        <w:tc>
          <w:tcPr>
            <w:tcW w:w="1134" w:type="dxa"/>
            <w:tcBorders>
              <w:top w:val="nil"/>
              <w:left w:val="nil"/>
              <w:bottom w:val="nil"/>
              <w:right w:val="nil"/>
            </w:tcBorders>
            <w:shd w:val="clear" w:color="auto" w:fill="FFFFFF"/>
            <w:tcMar>
              <w:left w:w="67" w:type="dxa"/>
              <w:right w:w="67" w:type="dxa"/>
            </w:tcMar>
            <w:vAlign w:val="center"/>
          </w:tcPr>
          <w:p w14:paraId="117EDB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1.2002</w:t>
            </w:r>
          </w:p>
        </w:tc>
        <w:tc>
          <w:tcPr>
            <w:tcW w:w="1134" w:type="dxa"/>
            <w:tcBorders>
              <w:top w:val="nil"/>
              <w:left w:val="nil"/>
              <w:bottom w:val="nil"/>
              <w:right w:val="nil"/>
            </w:tcBorders>
            <w:shd w:val="clear" w:color="auto" w:fill="FFFFFF"/>
            <w:tcMar>
              <w:left w:w="67" w:type="dxa"/>
              <w:right w:w="67" w:type="dxa"/>
            </w:tcMar>
            <w:vAlign w:val="center"/>
          </w:tcPr>
          <w:p w14:paraId="4AC6C8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18.51</w:t>
            </w:r>
          </w:p>
        </w:tc>
        <w:tc>
          <w:tcPr>
            <w:tcW w:w="567" w:type="dxa"/>
            <w:tcBorders>
              <w:top w:val="nil"/>
              <w:left w:val="nil"/>
              <w:bottom w:val="nil"/>
              <w:right w:val="nil"/>
            </w:tcBorders>
            <w:shd w:val="clear" w:color="auto" w:fill="FFFFFF"/>
            <w:tcMar>
              <w:left w:w="67" w:type="dxa"/>
              <w:right w:w="67" w:type="dxa"/>
            </w:tcMar>
            <w:vAlign w:val="center"/>
          </w:tcPr>
          <w:p w14:paraId="46FADE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28B2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6A0DFA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B2A67F9"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74E373BA"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4DB90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0.0142</w:t>
            </w:r>
          </w:p>
        </w:tc>
        <w:tc>
          <w:tcPr>
            <w:tcW w:w="1134" w:type="dxa"/>
            <w:tcBorders>
              <w:top w:val="nil"/>
              <w:left w:val="nil"/>
              <w:bottom w:val="nil"/>
              <w:right w:val="nil"/>
            </w:tcBorders>
            <w:shd w:val="clear" w:color="auto" w:fill="FFFFFF"/>
            <w:tcMar>
              <w:left w:w="67" w:type="dxa"/>
              <w:right w:w="67" w:type="dxa"/>
            </w:tcMar>
            <w:vAlign w:val="center"/>
          </w:tcPr>
          <w:p w14:paraId="063892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435FEA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1.0143</w:t>
            </w:r>
          </w:p>
        </w:tc>
        <w:tc>
          <w:tcPr>
            <w:tcW w:w="1134" w:type="dxa"/>
            <w:tcBorders>
              <w:top w:val="nil"/>
              <w:left w:val="nil"/>
              <w:bottom w:val="nil"/>
              <w:right w:val="nil"/>
            </w:tcBorders>
            <w:shd w:val="clear" w:color="auto" w:fill="FFFFFF"/>
            <w:tcMar>
              <w:left w:w="67" w:type="dxa"/>
              <w:right w:w="67" w:type="dxa"/>
            </w:tcMar>
            <w:vAlign w:val="center"/>
          </w:tcPr>
          <w:p w14:paraId="51C6B4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1.0104</w:t>
            </w:r>
          </w:p>
        </w:tc>
        <w:tc>
          <w:tcPr>
            <w:tcW w:w="1134" w:type="dxa"/>
            <w:tcBorders>
              <w:top w:val="nil"/>
              <w:left w:val="nil"/>
              <w:bottom w:val="nil"/>
              <w:right w:val="nil"/>
            </w:tcBorders>
            <w:shd w:val="clear" w:color="auto" w:fill="FFFFFF"/>
            <w:tcMar>
              <w:left w:w="67" w:type="dxa"/>
              <w:right w:w="67" w:type="dxa"/>
            </w:tcMar>
            <w:vAlign w:val="center"/>
          </w:tcPr>
          <w:p w14:paraId="4EFC86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1.0182</w:t>
            </w:r>
          </w:p>
        </w:tc>
        <w:tc>
          <w:tcPr>
            <w:tcW w:w="1134" w:type="dxa"/>
            <w:tcBorders>
              <w:top w:val="nil"/>
              <w:left w:val="nil"/>
              <w:bottom w:val="nil"/>
              <w:right w:val="nil"/>
            </w:tcBorders>
            <w:shd w:val="clear" w:color="auto" w:fill="FFFFFF"/>
            <w:tcMar>
              <w:left w:w="67" w:type="dxa"/>
              <w:right w:w="67" w:type="dxa"/>
            </w:tcMar>
            <w:vAlign w:val="center"/>
          </w:tcPr>
          <w:p w14:paraId="48C7C6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69.00</w:t>
            </w:r>
          </w:p>
        </w:tc>
        <w:tc>
          <w:tcPr>
            <w:tcW w:w="567" w:type="dxa"/>
            <w:tcBorders>
              <w:top w:val="nil"/>
              <w:left w:val="nil"/>
              <w:bottom w:val="nil"/>
              <w:right w:val="nil"/>
            </w:tcBorders>
            <w:shd w:val="clear" w:color="auto" w:fill="FFFFFF"/>
            <w:tcMar>
              <w:left w:w="67" w:type="dxa"/>
              <w:right w:w="67" w:type="dxa"/>
            </w:tcMar>
            <w:vAlign w:val="center"/>
          </w:tcPr>
          <w:p w14:paraId="330BC8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62724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30C3E14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4B0B3DA"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9F09626"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DBD15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69EDFC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69F04B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0.9980</w:t>
            </w:r>
          </w:p>
        </w:tc>
        <w:tc>
          <w:tcPr>
            <w:tcW w:w="1134" w:type="dxa"/>
            <w:tcBorders>
              <w:top w:val="nil"/>
              <w:left w:val="nil"/>
              <w:bottom w:val="nil"/>
              <w:right w:val="nil"/>
            </w:tcBorders>
            <w:shd w:val="clear" w:color="auto" w:fill="FFFFFF"/>
            <w:tcMar>
              <w:left w:w="67" w:type="dxa"/>
              <w:right w:w="67" w:type="dxa"/>
            </w:tcMar>
            <w:vAlign w:val="center"/>
          </w:tcPr>
          <w:p w14:paraId="427FD3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0.9963</w:t>
            </w:r>
          </w:p>
        </w:tc>
        <w:tc>
          <w:tcPr>
            <w:tcW w:w="1134" w:type="dxa"/>
            <w:tcBorders>
              <w:top w:val="nil"/>
              <w:left w:val="nil"/>
              <w:bottom w:val="nil"/>
              <w:right w:val="nil"/>
            </w:tcBorders>
            <w:shd w:val="clear" w:color="auto" w:fill="FFFFFF"/>
            <w:tcMar>
              <w:left w:w="67" w:type="dxa"/>
              <w:right w:w="67" w:type="dxa"/>
            </w:tcMar>
            <w:vAlign w:val="center"/>
          </w:tcPr>
          <w:p w14:paraId="3CEF7D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0.9997</w:t>
            </w:r>
          </w:p>
        </w:tc>
        <w:tc>
          <w:tcPr>
            <w:tcW w:w="1134" w:type="dxa"/>
            <w:tcBorders>
              <w:top w:val="nil"/>
              <w:left w:val="nil"/>
              <w:bottom w:val="nil"/>
              <w:right w:val="nil"/>
            </w:tcBorders>
            <w:shd w:val="clear" w:color="auto" w:fill="FFFFFF"/>
            <w:tcMar>
              <w:left w:w="67" w:type="dxa"/>
              <w:right w:w="67" w:type="dxa"/>
            </w:tcMar>
            <w:vAlign w:val="center"/>
          </w:tcPr>
          <w:p w14:paraId="4AB65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6.90</w:t>
            </w:r>
          </w:p>
        </w:tc>
        <w:tc>
          <w:tcPr>
            <w:tcW w:w="567" w:type="dxa"/>
            <w:tcBorders>
              <w:top w:val="nil"/>
              <w:left w:val="nil"/>
              <w:bottom w:val="nil"/>
              <w:right w:val="nil"/>
            </w:tcBorders>
            <w:shd w:val="clear" w:color="auto" w:fill="FFFFFF"/>
            <w:tcMar>
              <w:left w:w="67" w:type="dxa"/>
              <w:right w:w="67" w:type="dxa"/>
            </w:tcMar>
            <w:vAlign w:val="center"/>
          </w:tcPr>
          <w:p w14:paraId="50A6A1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3989C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0.0086</w:t>
            </w:r>
          </w:p>
        </w:tc>
      </w:tr>
      <w:tr w:rsidR="00B77EA3" w:rsidRPr="0082484A" w14:paraId="013FC0D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5A5355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DFCCD7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663D7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0.0665</w:t>
            </w:r>
          </w:p>
        </w:tc>
        <w:tc>
          <w:tcPr>
            <w:tcW w:w="1134" w:type="dxa"/>
            <w:tcBorders>
              <w:top w:val="nil"/>
              <w:left w:val="nil"/>
              <w:bottom w:val="nil"/>
              <w:right w:val="nil"/>
            </w:tcBorders>
            <w:shd w:val="clear" w:color="auto" w:fill="FFFFFF"/>
            <w:tcMar>
              <w:left w:w="67" w:type="dxa"/>
              <w:right w:w="67" w:type="dxa"/>
            </w:tcMar>
            <w:vAlign w:val="center"/>
          </w:tcPr>
          <w:p w14:paraId="2F487D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0.1281</w:t>
            </w:r>
          </w:p>
        </w:tc>
        <w:tc>
          <w:tcPr>
            <w:tcW w:w="1134" w:type="dxa"/>
            <w:tcBorders>
              <w:top w:val="nil"/>
              <w:left w:val="nil"/>
              <w:bottom w:val="nil"/>
              <w:right w:val="nil"/>
            </w:tcBorders>
            <w:shd w:val="clear" w:color="auto" w:fill="FFFFFF"/>
            <w:tcMar>
              <w:left w:w="67" w:type="dxa"/>
              <w:right w:w="67" w:type="dxa"/>
            </w:tcMar>
            <w:vAlign w:val="center"/>
          </w:tcPr>
          <w:p w14:paraId="0B0BCB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1.0688</w:t>
            </w:r>
          </w:p>
        </w:tc>
        <w:tc>
          <w:tcPr>
            <w:tcW w:w="1134" w:type="dxa"/>
            <w:tcBorders>
              <w:top w:val="nil"/>
              <w:left w:val="nil"/>
              <w:bottom w:val="nil"/>
              <w:right w:val="nil"/>
            </w:tcBorders>
            <w:shd w:val="clear" w:color="auto" w:fill="FFFFFF"/>
            <w:tcMar>
              <w:left w:w="67" w:type="dxa"/>
              <w:right w:w="67" w:type="dxa"/>
            </w:tcMar>
            <w:vAlign w:val="center"/>
          </w:tcPr>
          <w:p w14:paraId="5E81DE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0.8019</w:t>
            </w:r>
          </w:p>
        </w:tc>
        <w:tc>
          <w:tcPr>
            <w:tcW w:w="1134" w:type="dxa"/>
            <w:tcBorders>
              <w:top w:val="nil"/>
              <w:left w:val="nil"/>
              <w:bottom w:val="nil"/>
              <w:right w:val="nil"/>
            </w:tcBorders>
            <w:shd w:val="clear" w:color="auto" w:fill="FFFFFF"/>
            <w:tcMar>
              <w:left w:w="67" w:type="dxa"/>
              <w:right w:w="67" w:type="dxa"/>
            </w:tcMar>
            <w:vAlign w:val="center"/>
          </w:tcPr>
          <w:p w14:paraId="373707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1.4244</w:t>
            </w:r>
          </w:p>
        </w:tc>
        <w:tc>
          <w:tcPr>
            <w:tcW w:w="1134" w:type="dxa"/>
            <w:tcBorders>
              <w:top w:val="nil"/>
              <w:left w:val="nil"/>
              <w:bottom w:val="nil"/>
              <w:right w:val="nil"/>
            </w:tcBorders>
            <w:shd w:val="clear" w:color="auto" w:fill="FFFFFF"/>
            <w:tcMar>
              <w:left w:w="67" w:type="dxa"/>
              <w:right w:w="67" w:type="dxa"/>
            </w:tcMar>
            <w:vAlign w:val="center"/>
          </w:tcPr>
          <w:p w14:paraId="552693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1.66</w:t>
            </w:r>
          </w:p>
        </w:tc>
        <w:tc>
          <w:tcPr>
            <w:tcW w:w="567" w:type="dxa"/>
            <w:tcBorders>
              <w:top w:val="nil"/>
              <w:left w:val="nil"/>
              <w:bottom w:val="nil"/>
              <w:right w:val="nil"/>
            </w:tcBorders>
            <w:shd w:val="clear" w:color="auto" w:fill="FFFFFF"/>
            <w:tcMar>
              <w:left w:w="67" w:type="dxa"/>
              <w:right w:w="67" w:type="dxa"/>
            </w:tcMar>
            <w:vAlign w:val="center"/>
          </w:tcPr>
          <w:p w14:paraId="44023B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A8F8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0.1037</w:t>
            </w:r>
          </w:p>
        </w:tc>
      </w:tr>
      <w:tr w:rsidR="00B77EA3" w:rsidRPr="0082484A" w14:paraId="3F94E0A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5D6D17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2E099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A3298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0.0617</w:t>
            </w:r>
          </w:p>
        </w:tc>
        <w:tc>
          <w:tcPr>
            <w:tcW w:w="1134" w:type="dxa"/>
            <w:tcBorders>
              <w:top w:val="nil"/>
              <w:left w:val="nil"/>
              <w:bottom w:val="nil"/>
              <w:right w:val="nil"/>
            </w:tcBorders>
            <w:shd w:val="clear" w:color="auto" w:fill="FFFFFF"/>
            <w:tcMar>
              <w:left w:w="67" w:type="dxa"/>
              <w:right w:w="67" w:type="dxa"/>
            </w:tcMar>
            <w:vAlign w:val="center"/>
          </w:tcPr>
          <w:p w14:paraId="5212C6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0.1213</w:t>
            </w:r>
          </w:p>
        </w:tc>
        <w:tc>
          <w:tcPr>
            <w:tcW w:w="1134" w:type="dxa"/>
            <w:tcBorders>
              <w:top w:val="nil"/>
              <w:left w:val="nil"/>
              <w:bottom w:val="nil"/>
              <w:right w:val="nil"/>
            </w:tcBorders>
            <w:shd w:val="clear" w:color="auto" w:fill="FFFFFF"/>
            <w:tcMar>
              <w:left w:w="67" w:type="dxa"/>
              <w:right w:w="67" w:type="dxa"/>
            </w:tcMar>
            <w:vAlign w:val="center"/>
          </w:tcPr>
          <w:p w14:paraId="356569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1.0636</w:t>
            </w:r>
          </w:p>
        </w:tc>
        <w:tc>
          <w:tcPr>
            <w:tcW w:w="1134" w:type="dxa"/>
            <w:tcBorders>
              <w:top w:val="nil"/>
              <w:left w:val="nil"/>
              <w:bottom w:val="nil"/>
              <w:right w:val="nil"/>
            </w:tcBorders>
            <w:shd w:val="clear" w:color="auto" w:fill="FFFFFF"/>
            <w:tcMar>
              <w:left w:w="67" w:type="dxa"/>
              <w:right w:w="67" w:type="dxa"/>
            </w:tcMar>
            <w:vAlign w:val="center"/>
          </w:tcPr>
          <w:p w14:paraId="0E805F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0.8103</w:t>
            </w:r>
          </w:p>
        </w:tc>
        <w:tc>
          <w:tcPr>
            <w:tcW w:w="1134" w:type="dxa"/>
            <w:tcBorders>
              <w:top w:val="nil"/>
              <w:left w:val="nil"/>
              <w:bottom w:val="nil"/>
              <w:right w:val="nil"/>
            </w:tcBorders>
            <w:shd w:val="clear" w:color="auto" w:fill="FFFFFF"/>
            <w:tcMar>
              <w:left w:w="67" w:type="dxa"/>
              <w:right w:w="67" w:type="dxa"/>
            </w:tcMar>
            <w:vAlign w:val="center"/>
          </w:tcPr>
          <w:p w14:paraId="6DD4EE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1.3961</w:t>
            </w:r>
          </w:p>
        </w:tc>
        <w:tc>
          <w:tcPr>
            <w:tcW w:w="1134" w:type="dxa"/>
            <w:tcBorders>
              <w:top w:val="nil"/>
              <w:left w:val="nil"/>
              <w:bottom w:val="nil"/>
              <w:right w:val="nil"/>
            </w:tcBorders>
            <w:shd w:val="clear" w:color="auto" w:fill="FFFFFF"/>
            <w:tcMar>
              <w:left w:w="67" w:type="dxa"/>
              <w:right w:w="67" w:type="dxa"/>
            </w:tcMar>
            <w:vAlign w:val="center"/>
          </w:tcPr>
          <w:p w14:paraId="1CC13E9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C89DF7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4EF18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6498EE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D7C006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92821B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A17E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0.2555</w:t>
            </w:r>
          </w:p>
        </w:tc>
        <w:tc>
          <w:tcPr>
            <w:tcW w:w="1134" w:type="dxa"/>
            <w:tcBorders>
              <w:top w:val="nil"/>
              <w:left w:val="nil"/>
              <w:bottom w:val="nil"/>
              <w:right w:val="nil"/>
            </w:tcBorders>
            <w:shd w:val="clear" w:color="auto" w:fill="FFFFFF"/>
            <w:tcMar>
              <w:left w:w="67" w:type="dxa"/>
              <w:right w:w="67" w:type="dxa"/>
            </w:tcMar>
            <w:vAlign w:val="center"/>
          </w:tcPr>
          <w:p w14:paraId="658F65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0.1271</w:t>
            </w:r>
          </w:p>
        </w:tc>
        <w:tc>
          <w:tcPr>
            <w:tcW w:w="1134" w:type="dxa"/>
            <w:tcBorders>
              <w:top w:val="nil"/>
              <w:left w:val="nil"/>
              <w:bottom w:val="nil"/>
              <w:right w:val="nil"/>
            </w:tcBorders>
            <w:shd w:val="clear" w:color="auto" w:fill="FFFFFF"/>
            <w:tcMar>
              <w:left w:w="67" w:type="dxa"/>
              <w:right w:w="67" w:type="dxa"/>
            </w:tcMar>
            <w:vAlign w:val="center"/>
          </w:tcPr>
          <w:p w14:paraId="4932CE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1.2911</w:t>
            </w:r>
          </w:p>
        </w:tc>
        <w:tc>
          <w:tcPr>
            <w:tcW w:w="1134" w:type="dxa"/>
            <w:tcBorders>
              <w:top w:val="nil"/>
              <w:left w:val="nil"/>
              <w:bottom w:val="nil"/>
              <w:right w:val="nil"/>
            </w:tcBorders>
            <w:shd w:val="clear" w:color="auto" w:fill="FFFFFF"/>
            <w:tcMar>
              <w:left w:w="67" w:type="dxa"/>
              <w:right w:w="67" w:type="dxa"/>
            </w:tcMar>
            <w:vAlign w:val="center"/>
          </w:tcPr>
          <w:p w14:paraId="3D3578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0.9711</w:t>
            </w:r>
          </w:p>
        </w:tc>
        <w:tc>
          <w:tcPr>
            <w:tcW w:w="1134" w:type="dxa"/>
            <w:tcBorders>
              <w:top w:val="nil"/>
              <w:left w:val="nil"/>
              <w:bottom w:val="nil"/>
              <w:right w:val="nil"/>
            </w:tcBorders>
            <w:shd w:val="clear" w:color="auto" w:fill="FFFFFF"/>
            <w:tcMar>
              <w:left w:w="67" w:type="dxa"/>
              <w:right w:w="67" w:type="dxa"/>
            </w:tcMar>
            <w:vAlign w:val="center"/>
          </w:tcPr>
          <w:p w14:paraId="476640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1.7166</w:t>
            </w:r>
          </w:p>
        </w:tc>
        <w:tc>
          <w:tcPr>
            <w:tcW w:w="1134" w:type="dxa"/>
            <w:tcBorders>
              <w:top w:val="nil"/>
              <w:left w:val="nil"/>
              <w:bottom w:val="nil"/>
              <w:right w:val="nil"/>
            </w:tcBorders>
            <w:shd w:val="clear" w:color="auto" w:fill="FFFFFF"/>
            <w:tcMar>
              <w:left w:w="67" w:type="dxa"/>
              <w:right w:w="67" w:type="dxa"/>
            </w:tcMar>
            <w:vAlign w:val="center"/>
          </w:tcPr>
          <w:p w14:paraId="38C57E2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B84E66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8891A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F905D9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EFB69A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E11786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F43B7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-0.0241</w:t>
            </w:r>
          </w:p>
        </w:tc>
        <w:tc>
          <w:tcPr>
            <w:tcW w:w="1134" w:type="dxa"/>
            <w:tcBorders>
              <w:top w:val="nil"/>
              <w:left w:val="nil"/>
              <w:bottom w:val="nil"/>
              <w:right w:val="nil"/>
            </w:tcBorders>
            <w:shd w:val="clear" w:color="auto" w:fill="FFFFFF"/>
            <w:tcMar>
              <w:left w:w="67" w:type="dxa"/>
              <w:right w:w="67" w:type="dxa"/>
            </w:tcMar>
            <w:vAlign w:val="center"/>
          </w:tcPr>
          <w:p w14:paraId="03E8F4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0.1195</w:t>
            </w:r>
          </w:p>
        </w:tc>
        <w:tc>
          <w:tcPr>
            <w:tcW w:w="1134" w:type="dxa"/>
            <w:tcBorders>
              <w:top w:val="nil"/>
              <w:left w:val="nil"/>
              <w:bottom w:val="nil"/>
              <w:right w:val="nil"/>
            </w:tcBorders>
            <w:shd w:val="clear" w:color="auto" w:fill="FFFFFF"/>
            <w:tcMar>
              <w:left w:w="67" w:type="dxa"/>
              <w:right w:w="67" w:type="dxa"/>
            </w:tcMar>
            <w:vAlign w:val="center"/>
          </w:tcPr>
          <w:p w14:paraId="1AF22D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0.9762</w:t>
            </w:r>
          </w:p>
        </w:tc>
        <w:tc>
          <w:tcPr>
            <w:tcW w:w="1134" w:type="dxa"/>
            <w:tcBorders>
              <w:top w:val="nil"/>
              <w:left w:val="nil"/>
              <w:bottom w:val="nil"/>
              <w:right w:val="nil"/>
            </w:tcBorders>
            <w:shd w:val="clear" w:color="auto" w:fill="FFFFFF"/>
            <w:tcMar>
              <w:left w:w="67" w:type="dxa"/>
              <w:right w:w="67" w:type="dxa"/>
            </w:tcMar>
            <w:vAlign w:val="center"/>
          </w:tcPr>
          <w:p w14:paraId="57DACC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0.7467</w:t>
            </w:r>
          </w:p>
        </w:tc>
        <w:tc>
          <w:tcPr>
            <w:tcW w:w="1134" w:type="dxa"/>
            <w:tcBorders>
              <w:top w:val="nil"/>
              <w:left w:val="nil"/>
              <w:bottom w:val="nil"/>
              <w:right w:val="nil"/>
            </w:tcBorders>
            <w:shd w:val="clear" w:color="auto" w:fill="FFFFFF"/>
            <w:tcMar>
              <w:left w:w="67" w:type="dxa"/>
              <w:right w:w="67" w:type="dxa"/>
            </w:tcMar>
            <w:vAlign w:val="center"/>
          </w:tcPr>
          <w:p w14:paraId="7FE42D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1.2761</w:t>
            </w:r>
          </w:p>
        </w:tc>
        <w:tc>
          <w:tcPr>
            <w:tcW w:w="1134" w:type="dxa"/>
            <w:tcBorders>
              <w:top w:val="nil"/>
              <w:left w:val="nil"/>
              <w:bottom w:val="nil"/>
              <w:right w:val="nil"/>
            </w:tcBorders>
            <w:shd w:val="clear" w:color="auto" w:fill="FFFFFF"/>
            <w:tcMar>
              <w:left w:w="67" w:type="dxa"/>
              <w:right w:w="67" w:type="dxa"/>
            </w:tcMar>
            <w:vAlign w:val="center"/>
          </w:tcPr>
          <w:p w14:paraId="6FC2DEB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1E7425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FE8C31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E0612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063FBD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6C2577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8A1D4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0.2987</w:t>
            </w:r>
          </w:p>
        </w:tc>
        <w:tc>
          <w:tcPr>
            <w:tcW w:w="1134" w:type="dxa"/>
            <w:tcBorders>
              <w:top w:val="nil"/>
              <w:left w:val="nil"/>
              <w:bottom w:val="nil"/>
              <w:right w:val="nil"/>
            </w:tcBorders>
            <w:shd w:val="clear" w:color="auto" w:fill="FFFFFF"/>
            <w:tcMar>
              <w:left w:w="67" w:type="dxa"/>
              <w:right w:w="67" w:type="dxa"/>
            </w:tcMar>
            <w:vAlign w:val="center"/>
          </w:tcPr>
          <w:p w14:paraId="7370B0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0.1378</w:t>
            </w:r>
          </w:p>
        </w:tc>
        <w:tc>
          <w:tcPr>
            <w:tcW w:w="1134" w:type="dxa"/>
            <w:tcBorders>
              <w:top w:val="nil"/>
              <w:left w:val="nil"/>
              <w:bottom w:val="nil"/>
              <w:right w:val="nil"/>
            </w:tcBorders>
            <w:shd w:val="clear" w:color="auto" w:fill="FFFFFF"/>
            <w:tcMar>
              <w:left w:w="67" w:type="dxa"/>
              <w:right w:w="67" w:type="dxa"/>
            </w:tcMar>
            <w:vAlign w:val="center"/>
          </w:tcPr>
          <w:p w14:paraId="452F12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1.3480</w:t>
            </w:r>
          </w:p>
        </w:tc>
        <w:tc>
          <w:tcPr>
            <w:tcW w:w="1134" w:type="dxa"/>
            <w:tcBorders>
              <w:top w:val="nil"/>
              <w:left w:val="nil"/>
              <w:bottom w:val="nil"/>
              <w:right w:val="nil"/>
            </w:tcBorders>
            <w:shd w:val="clear" w:color="auto" w:fill="FFFFFF"/>
            <w:tcMar>
              <w:left w:w="67" w:type="dxa"/>
              <w:right w:w="67" w:type="dxa"/>
            </w:tcMar>
            <w:vAlign w:val="center"/>
          </w:tcPr>
          <w:p w14:paraId="39D880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0.9898</w:t>
            </w:r>
          </w:p>
        </w:tc>
        <w:tc>
          <w:tcPr>
            <w:tcW w:w="1134" w:type="dxa"/>
            <w:tcBorders>
              <w:top w:val="nil"/>
              <w:left w:val="nil"/>
              <w:bottom w:val="nil"/>
              <w:right w:val="nil"/>
            </w:tcBorders>
            <w:shd w:val="clear" w:color="auto" w:fill="FFFFFF"/>
            <w:tcMar>
              <w:left w:w="67" w:type="dxa"/>
              <w:right w:w="67" w:type="dxa"/>
            </w:tcMar>
            <w:vAlign w:val="center"/>
          </w:tcPr>
          <w:p w14:paraId="41CBF3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1.8359</w:t>
            </w:r>
          </w:p>
        </w:tc>
        <w:tc>
          <w:tcPr>
            <w:tcW w:w="1134" w:type="dxa"/>
            <w:tcBorders>
              <w:top w:val="nil"/>
              <w:left w:val="nil"/>
              <w:bottom w:val="nil"/>
              <w:right w:val="nil"/>
            </w:tcBorders>
            <w:shd w:val="clear" w:color="auto" w:fill="FFFFFF"/>
            <w:tcMar>
              <w:left w:w="67" w:type="dxa"/>
              <w:right w:w="67" w:type="dxa"/>
            </w:tcMar>
            <w:vAlign w:val="center"/>
          </w:tcPr>
          <w:p w14:paraId="485A084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0FCF16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C4B85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7F3D8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DFC11E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48752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8C270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0.1184</w:t>
            </w:r>
          </w:p>
        </w:tc>
        <w:tc>
          <w:tcPr>
            <w:tcW w:w="1134" w:type="dxa"/>
            <w:tcBorders>
              <w:top w:val="nil"/>
              <w:left w:val="nil"/>
              <w:bottom w:val="nil"/>
              <w:right w:val="nil"/>
            </w:tcBorders>
            <w:shd w:val="clear" w:color="auto" w:fill="FFFFFF"/>
            <w:tcMar>
              <w:left w:w="67" w:type="dxa"/>
              <w:right w:w="67" w:type="dxa"/>
            </w:tcMar>
            <w:vAlign w:val="center"/>
          </w:tcPr>
          <w:p w14:paraId="266275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0.1097</w:t>
            </w:r>
          </w:p>
        </w:tc>
        <w:tc>
          <w:tcPr>
            <w:tcW w:w="1134" w:type="dxa"/>
            <w:tcBorders>
              <w:top w:val="nil"/>
              <w:left w:val="nil"/>
              <w:bottom w:val="nil"/>
              <w:right w:val="nil"/>
            </w:tcBorders>
            <w:shd w:val="clear" w:color="auto" w:fill="FFFFFF"/>
            <w:tcMar>
              <w:left w:w="67" w:type="dxa"/>
              <w:right w:w="67" w:type="dxa"/>
            </w:tcMar>
            <w:vAlign w:val="center"/>
          </w:tcPr>
          <w:p w14:paraId="2A3447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1.1257</w:t>
            </w:r>
          </w:p>
        </w:tc>
        <w:tc>
          <w:tcPr>
            <w:tcW w:w="1134" w:type="dxa"/>
            <w:tcBorders>
              <w:top w:val="nil"/>
              <w:left w:val="nil"/>
              <w:bottom w:val="nil"/>
              <w:right w:val="nil"/>
            </w:tcBorders>
            <w:shd w:val="clear" w:color="auto" w:fill="FFFFFF"/>
            <w:tcMar>
              <w:left w:w="67" w:type="dxa"/>
              <w:right w:w="67" w:type="dxa"/>
            </w:tcMar>
            <w:vAlign w:val="center"/>
          </w:tcPr>
          <w:p w14:paraId="329F7C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0.8803</w:t>
            </w:r>
          </w:p>
        </w:tc>
        <w:tc>
          <w:tcPr>
            <w:tcW w:w="1134" w:type="dxa"/>
            <w:tcBorders>
              <w:top w:val="nil"/>
              <w:left w:val="nil"/>
              <w:bottom w:val="nil"/>
              <w:right w:val="nil"/>
            </w:tcBorders>
            <w:shd w:val="clear" w:color="auto" w:fill="FFFFFF"/>
            <w:tcMar>
              <w:left w:w="67" w:type="dxa"/>
              <w:right w:w="67" w:type="dxa"/>
            </w:tcMar>
            <w:vAlign w:val="center"/>
          </w:tcPr>
          <w:p w14:paraId="2B6EC7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1.4396</w:t>
            </w:r>
          </w:p>
        </w:tc>
        <w:tc>
          <w:tcPr>
            <w:tcW w:w="1134" w:type="dxa"/>
            <w:tcBorders>
              <w:top w:val="nil"/>
              <w:left w:val="nil"/>
              <w:bottom w:val="nil"/>
              <w:right w:val="nil"/>
            </w:tcBorders>
            <w:shd w:val="clear" w:color="auto" w:fill="FFFFFF"/>
            <w:tcMar>
              <w:left w:w="67" w:type="dxa"/>
              <w:right w:w="67" w:type="dxa"/>
            </w:tcMar>
            <w:vAlign w:val="center"/>
          </w:tcPr>
          <w:p w14:paraId="53E52CB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9F2127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BB6E3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15740B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F67EA9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09E689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81F06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0.0201</w:t>
            </w:r>
          </w:p>
        </w:tc>
        <w:tc>
          <w:tcPr>
            <w:tcW w:w="1134" w:type="dxa"/>
            <w:tcBorders>
              <w:top w:val="nil"/>
              <w:left w:val="nil"/>
              <w:bottom w:val="nil"/>
              <w:right w:val="nil"/>
            </w:tcBorders>
            <w:shd w:val="clear" w:color="auto" w:fill="FFFFFF"/>
            <w:tcMar>
              <w:left w:w="67" w:type="dxa"/>
              <w:right w:w="67" w:type="dxa"/>
            </w:tcMar>
            <w:vAlign w:val="center"/>
          </w:tcPr>
          <w:p w14:paraId="29589F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0.1083</w:t>
            </w:r>
          </w:p>
        </w:tc>
        <w:tc>
          <w:tcPr>
            <w:tcW w:w="1134" w:type="dxa"/>
            <w:tcBorders>
              <w:top w:val="nil"/>
              <w:left w:val="nil"/>
              <w:bottom w:val="nil"/>
              <w:right w:val="nil"/>
            </w:tcBorders>
            <w:shd w:val="clear" w:color="auto" w:fill="FFFFFF"/>
            <w:tcMar>
              <w:left w:w="67" w:type="dxa"/>
              <w:right w:w="67" w:type="dxa"/>
            </w:tcMar>
            <w:vAlign w:val="center"/>
          </w:tcPr>
          <w:p w14:paraId="47F01F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1.0203</w:t>
            </w:r>
          </w:p>
        </w:tc>
        <w:tc>
          <w:tcPr>
            <w:tcW w:w="1134" w:type="dxa"/>
            <w:tcBorders>
              <w:top w:val="nil"/>
              <w:left w:val="nil"/>
              <w:bottom w:val="nil"/>
              <w:right w:val="nil"/>
            </w:tcBorders>
            <w:shd w:val="clear" w:color="auto" w:fill="FFFFFF"/>
            <w:tcMar>
              <w:left w:w="67" w:type="dxa"/>
              <w:right w:w="67" w:type="dxa"/>
            </w:tcMar>
            <w:vAlign w:val="center"/>
          </w:tcPr>
          <w:p w14:paraId="61FF01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0.8004</w:t>
            </w:r>
          </w:p>
        </w:tc>
        <w:tc>
          <w:tcPr>
            <w:tcW w:w="1134" w:type="dxa"/>
            <w:tcBorders>
              <w:top w:val="nil"/>
              <w:left w:val="nil"/>
              <w:bottom w:val="nil"/>
              <w:right w:val="nil"/>
            </w:tcBorders>
            <w:shd w:val="clear" w:color="auto" w:fill="FFFFFF"/>
            <w:tcMar>
              <w:left w:w="67" w:type="dxa"/>
              <w:right w:w="67" w:type="dxa"/>
            </w:tcMar>
            <w:vAlign w:val="center"/>
          </w:tcPr>
          <w:p w14:paraId="0EDC57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1.3005</w:t>
            </w:r>
          </w:p>
        </w:tc>
        <w:tc>
          <w:tcPr>
            <w:tcW w:w="1134" w:type="dxa"/>
            <w:tcBorders>
              <w:top w:val="nil"/>
              <w:left w:val="nil"/>
              <w:bottom w:val="nil"/>
              <w:right w:val="nil"/>
            </w:tcBorders>
            <w:shd w:val="clear" w:color="auto" w:fill="FFFFFF"/>
            <w:tcMar>
              <w:left w:w="67" w:type="dxa"/>
              <w:right w:w="67" w:type="dxa"/>
            </w:tcMar>
            <w:vAlign w:val="center"/>
          </w:tcPr>
          <w:p w14:paraId="361FB3D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42734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4D4B8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CB5C41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B59F7E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5875F5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56046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0.2304</w:t>
            </w:r>
          </w:p>
        </w:tc>
        <w:tc>
          <w:tcPr>
            <w:tcW w:w="1134" w:type="dxa"/>
            <w:tcBorders>
              <w:top w:val="nil"/>
              <w:left w:val="nil"/>
              <w:bottom w:val="nil"/>
              <w:right w:val="nil"/>
            </w:tcBorders>
            <w:shd w:val="clear" w:color="auto" w:fill="FFFFFF"/>
            <w:tcMar>
              <w:left w:w="67" w:type="dxa"/>
              <w:right w:w="67" w:type="dxa"/>
            </w:tcMar>
            <w:vAlign w:val="center"/>
          </w:tcPr>
          <w:p w14:paraId="598195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0.1095</w:t>
            </w:r>
          </w:p>
        </w:tc>
        <w:tc>
          <w:tcPr>
            <w:tcW w:w="1134" w:type="dxa"/>
            <w:tcBorders>
              <w:top w:val="nil"/>
              <w:left w:val="nil"/>
              <w:bottom w:val="nil"/>
              <w:right w:val="nil"/>
            </w:tcBorders>
            <w:shd w:val="clear" w:color="auto" w:fill="FFFFFF"/>
            <w:tcMar>
              <w:left w:w="67" w:type="dxa"/>
              <w:right w:w="67" w:type="dxa"/>
            </w:tcMar>
            <w:vAlign w:val="center"/>
          </w:tcPr>
          <w:p w14:paraId="5B602B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1.2591</w:t>
            </w:r>
          </w:p>
        </w:tc>
        <w:tc>
          <w:tcPr>
            <w:tcW w:w="1134" w:type="dxa"/>
            <w:tcBorders>
              <w:top w:val="nil"/>
              <w:left w:val="nil"/>
              <w:bottom w:val="nil"/>
              <w:right w:val="nil"/>
            </w:tcBorders>
            <w:shd w:val="clear" w:color="auto" w:fill="FFFFFF"/>
            <w:tcMar>
              <w:left w:w="67" w:type="dxa"/>
              <w:right w:w="67" w:type="dxa"/>
            </w:tcMar>
            <w:vAlign w:val="center"/>
          </w:tcPr>
          <w:p w14:paraId="136DC8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0.9851</w:t>
            </w:r>
          </w:p>
        </w:tc>
        <w:tc>
          <w:tcPr>
            <w:tcW w:w="1134" w:type="dxa"/>
            <w:tcBorders>
              <w:top w:val="nil"/>
              <w:left w:val="nil"/>
              <w:bottom w:val="nil"/>
              <w:right w:val="nil"/>
            </w:tcBorders>
            <w:shd w:val="clear" w:color="auto" w:fill="FFFFFF"/>
            <w:tcMar>
              <w:left w:w="67" w:type="dxa"/>
              <w:right w:w="67" w:type="dxa"/>
            </w:tcMar>
            <w:vAlign w:val="center"/>
          </w:tcPr>
          <w:p w14:paraId="75BF93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1.6092</w:t>
            </w:r>
          </w:p>
        </w:tc>
        <w:tc>
          <w:tcPr>
            <w:tcW w:w="1134" w:type="dxa"/>
            <w:tcBorders>
              <w:top w:val="nil"/>
              <w:left w:val="nil"/>
              <w:bottom w:val="nil"/>
              <w:right w:val="nil"/>
            </w:tcBorders>
            <w:shd w:val="clear" w:color="auto" w:fill="FFFFFF"/>
            <w:tcMar>
              <w:left w:w="67" w:type="dxa"/>
              <w:right w:w="67" w:type="dxa"/>
            </w:tcMar>
            <w:vAlign w:val="center"/>
          </w:tcPr>
          <w:p w14:paraId="5197528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545101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86BAB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AA0C98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430766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423A40C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FD3EE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06FC2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2A72E0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1.0001</w:t>
            </w:r>
          </w:p>
        </w:tc>
        <w:tc>
          <w:tcPr>
            <w:tcW w:w="1134" w:type="dxa"/>
            <w:tcBorders>
              <w:top w:val="nil"/>
              <w:left w:val="nil"/>
              <w:bottom w:val="nil"/>
              <w:right w:val="nil"/>
            </w:tcBorders>
            <w:shd w:val="clear" w:color="auto" w:fill="FFFFFF"/>
            <w:tcMar>
              <w:left w:w="67" w:type="dxa"/>
              <w:right w:w="67" w:type="dxa"/>
            </w:tcMar>
            <w:vAlign w:val="center"/>
          </w:tcPr>
          <w:p w14:paraId="140F1E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0.9919</w:t>
            </w:r>
          </w:p>
        </w:tc>
        <w:tc>
          <w:tcPr>
            <w:tcW w:w="1134" w:type="dxa"/>
            <w:tcBorders>
              <w:top w:val="nil"/>
              <w:left w:val="nil"/>
              <w:bottom w:val="nil"/>
              <w:right w:val="nil"/>
            </w:tcBorders>
            <w:shd w:val="clear" w:color="auto" w:fill="FFFFFF"/>
            <w:tcMar>
              <w:left w:w="67" w:type="dxa"/>
              <w:right w:w="67" w:type="dxa"/>
            </w:tcMar>
            <w:vAlign w:val="center"/>
          </w:tcPr>
          <w:p w14:paraId="2313D8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1.0083</w:t>
            </w:r>
          </w:p>
        </w:tc>
        <w:tc>
          <w:tcPr>
            <w:tcW w:w="1134" w:type="dxa"/>
            <w:tcBorders>
              <w:top w:val="nil"/>
              <w:left w:val="nil"/>
              <w:bottom w:val="nil"/>
              <w:right w:val="nil"/>
            </w:tcBorders>
            <w:shd w:val="clear" w:color="auto" w:fill="FFFFFF"/>
            <w:tcMar>
              <w:left w:w="67" w:type="dxa"/>
              <w:right w:w="67" w:type="dxa"/>
            </w:tcMar>
            <w:vAlign w:val="center"/>
          </w:tcPr>
          <w:p w14:paraId="4B74A2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548DFC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616FA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0.9818</w:t>
            </w:r>
          </w:p>
        </w:tc>
      </w:tr>
      <w:tr w:rsidR="00B77EA3" w:rsidRPr="0082484A" w14:paraId="567C60F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5609404"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051B31F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F58F3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0.0220</w:t>
            </w:r>
          </w:p>
        </w:tc>
        <w:tc>
          <w:tcPr>
            <w:tcW w:w="1134" w:type="dxa"/>
            <w:tcBorders>
              <w:top w:val="nil"/>
              <w:left w:val="nil"/>
              <w:bottom w:val="nil"/>
              <w:right w:val="nil"/>
            </w:tcBorders>
            <w:shd w:val="clear" w:color="auto" w:fill="FFFFFF"/>
            <w:tcMar>
              <w:left w:w="67" w:type="dxa"/>
              <w:right w:w="67" w:type="dxa"/>
            </w:tcMar>
            <w:vAlign w:val="center"/>
          </w:tcPr>
          <w:p w14:paraId="1272F7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0.0049</w:t>
            </w:r>
          </w:p>
        </w:tc>
        <w:tc>
          <w:tcPr>
            <w:tcW w:w="1134" w:type="dxa"/>
            <w:tcBorders>
              <w:top w:val="nil"/>
              <w:left w:val="nil"/>
              <w:bottom w:val="nil"/>
              <w:right w:val="nil"/>
            </w:tcBorders>
            <w:shd w:val="clear" w:color="auto" w:fill="FFFFFF"/>
            <w:tcMar>
              <w:left w:w="67" w:type="dxa"/>
              <w:right w:w="67" w:type="dxa"/>
            </w:tcMar>
            <w:vAlign w:val="center"/>
          </w:tcPr>
          <w:p w14:paraId="5F8EA9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1.0223</w:t>
            </w:r>
          </w:p>
        </w:tc>
        <w:tc>
          <w:tcPr>
            <w:tcW w:w="1134" w:type="dxa"/>
            <w:tcBorders>
              <w:top w:val="nil"/>
              <w:left w:val="nil"/>
              <w:bottom w:val="nil"/>
              <w:right w:val="nil"/>
            </w:tcBorders>
            <w:shd w:val="clear" w:color="auto" w:fill="FFFFFF"/>
            <w:tcMar>
              <w:left w:w="67" w:type="dxa"/>
              <w:right w:w="67" w:type="dxa"/>
            </w:tcMar>
            <w:vAlign w:val="center"/>
          </w:tcPr>
          <w:p w14:paraId="7F15A4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1.0110</w:t>
            </w:r>
          </w:p>
        </w:tc>
        <w:tc>
          <w:tcPr>
            <w:tcW w:w="1134" w:type="dxa"/>
            <w:tcBorders>
              <w:top w:val="nil"/>
              <w:left w:val="nil"/>
              <w:bottom w:val="nil"/>
              <w:right w:val="nil"/>
            </w:tcBorders>
            <w:shd w:val="clear" w:color="auto" w:fill="FFFFFF"/>
            <w:tcMar>
              <w:left w:w="67" w:type="dxa"/>
              <w:right w:w="67" w:type="dxa"/>
            </w:tcMar>
            <w:vAlign w:val="center"/>
          </w:tcPr>
          <w:p w14:paraId="7C537E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1.0337</w:t>
            </w:r>
          </w:p>
        </w:tc>
        <w:tc>
          <w:tcPr>
            <w:tcW w:w="1134" w:type="dxa"/>
            <w:tcBorders>
              <w:top w:val="nil"/>
              <w:left w:val="nil"/>
              <w:bottom w:val="nil"/>
              <w:right w:val="nil"/>
            </w:tcBorders>
            <w:shd w:val="clear" w:color="auto" w:fill="FFFFFF"/>
            <w:tcMar>
              <w:left w:w="67" w:type="dxa"/>
              <w:right w:w="67" w:type="dxa"/>
            </w:tcMar>
            <w:vAlign w:val="center"/>
          </w:tcPr>
          <w:p w14:paraId="2A36B4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19.82</w:t>
            </w:r>
          </w:p>
        </w:tc>
        <w:tc>
          <w:tcPr>
            <w:tcW w:w="567" w:type="dxa"/>
            <w:tcBorders>
              <w:top w:val="nil"/>
              <w:left w:val="nil"/>
              <w:bottom w:val="nil"/>
              <w:right w:val="nil"/>
            </w:tcBorders>
            <w:shd w:val="clear" w:color="auto" w:fill="FFFFFF"/>
            <w:tcMar>
              <w:left w:w="67" w:type="dxa"/>
              <w:right w:w="67" w:type="dxa"/>
            </w:tcMar>
            <w:vAlign w:val="center"/>
          </w:tcPr>
          <w:p w14:paraId="0FA774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34E6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144629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C9FFB94"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20834A8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7CF47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15FCC2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1CB924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1.0013</w:t>
            </w:r>
          </w:p>
        </w:tc>
        <w:tc>
          <w:tcPr>
            <w:tcW w:w="1134" w:type="dxa"/>
            <w:tcBorders>
              <w:top w:val="nil"/>
              <w:left w:val="nil"/>
              <w:bottom w:val="nil"/>
              <w:right w:val="nil"/>
            </w:tcBorders>
            <w:shd w:val="clear" w:color="auto" w:fill="FFFFFF"/>
            <w:tcMar>
              <w:left w:w="67" w:type="dxa"/>
              <w:right w:w="67" w:type="dxa"/>
            </w:tcMar>
            <w:vAlign w:val="center"/>
          </w:tcPr>
          <w:p w14:paraId="05B858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0.9982</w:t>
            </w:r>
          </w:p>
        </w:tc>
        <w:tc>
          <w:tcPr>
            <w:tcW w:w="1134" w:type="dxa"/>
            <w:tcBorders>
              <w:top w:val="nil"/>
              <w:left w:val="nil"/>
              <w:bottom w:val="nil"/>
              <w:right w:val="nil"/>
            </w:tcBorders>
            <w:shd w:val="clear" w:color="auto" w:fill="FFFFFF"/>
            <w:tcMar>
              <w:left w:w="67" w:type="dxa"/>
              <w:right w:w="67" w:type="dxa"/>
            </w:tcMar>
            <w:vAlign w:val="center"/>
          </w:tcPr>
          <w:p w14:paraId="0C2BB2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1.0044</w:t>
            </w:r>
          </w:p>
        </w:tc>
        <w:tc>
          <w:tcPr>
            <w:tcW w:w="1134" w:type="dxa"/>
            <w:tcBorders>
              <w:top w:val="nil"/>
              <w:left w:val="nil"/>
              <w:bottom w:val="nil"/>
              <w:right w:val="nil"/>
            </w:tcBorders>
            <w:shd w:val="clear" w:color="auto" w:fill="FFFFFF"/>
            <w:tcMar>
              <w:left w:w="67" w:type="dxa"/>
              <w:right w:w="67" w:type="dxa"/>
            </w:tcMar>
            <w:vAlign w:val="center"/>
          </w:tcPr>
          <w:p w14:paraId="037E39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w:t>
            </w:r>
          </w:p>
        </w:tc>
        <w:tc>
          <w:tcPr>
            <w:tcW w:w="567" w:type="dxa"/>
            <w:tcBorders>
              <w:top w:val="nil"/>
              <w:left w:val="nil"/>
              <w:bottom w:val="nil"/>
              <w:right w:val="nil"/>
            </w:tcBorders>
            <w:shd w:val="clear" w:color="auto" w:fill="FFFFFF"/>
            <w:tcMar>
              <w:left w:w="67" w:type="dxa"/>
              <w:right w:w="67" w:type="dxa"/>
            </w:tcMar>
            <w:vAlign w:val="center"/>
          </w:tcPr>
          <w:p w14:paraId="1C6BEA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1C57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0.3396</w:t>
            </w:r>
          </w:p>
        </w:tc>
      </w:tr>
      <w:tr w:rsidR="00B77EA3" w:rsidRPr="0082484A" w14:paraId="33C85D3B"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7881998"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B4AC00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DB57D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6AC95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5E12C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0.9667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A82DE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0.8984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98C47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59DD4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2E494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61E4E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0.3008</w:t>
            </w:r>
          </w:p>
        </w:tc>
      </w:tr>
    </w:tbl>
    <w:p w14:paraId="28AD71CF" w14:textId="77777777" w:rsidR="00B77EA3" w:rsidRPr="0082484A" w:rsidRDefault="00B77EA3" w:rsidP="00B77EA3">
      <w:pPr>
        <w:spacing w:before="0" w:after="160" w:line="259" w:lineRule="auto"/>
        <w:rPr>
          <w:sz w:val="22"/>
          <w:szCs w:val="22"/>
        </w:rPr>
      </w:pPr>
      <w:r w:rsidRPr="0082484A">
        <w:rPr>
          <w:sz w:val="22"/>
          <w:szCs w:val="22"/>
        </w:rPr>
        <w:t xml:space="preserve">The estimated number needed to treat for one patient aged under 80 years with a cardiovascular disease risk of 20% or higher to achieve blood pressure below 140/90 mmHg is 42 </w:t>
      </w:r>
      <w:r w:rsidRPr="0082484A">
        <w:rPr>
          <w:sz w:val="22"/>
          <w:szCs w:val="22"/>
        </w:rPr>
        <w:br w:type="page"/>
      </w:r>
    </w:p>
    <w:p w14:paraId="20F3CFB8" w14:textId="608565E7" w:rsidR="00B77EA3" w:rsidRPr="0082484A" w:rsidRDefault="00B77EA3" w:rsidP="00B77EA3">
      <w:pPr>
        <w:spacing w:before="0" w:line="240" w:lineRule="auto"/>
        <w:rPr>
          <w:bCs/>
          <w:sz w:val="22"/>
          <w:szCs w:val="22"/>
        </w:rPr>
      </w:pPr>
      <w:bookmarkStart w:id="170" w:name="_Ref502917882"/>
      <w:bookmarkStart w:id="171" w:name="_Toc8728120"/>
      <w:bookmarkStart w:id="172" w:name="_Toc19526775"/>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46</w:t>
      </w:r>
      <w:r w:rsidRPr="0082484A">
        <w:rPr>
          <w:bCs/>
          <w:noProof/>
          <w:sz w:val="22"/>
          <w:szCs w:val="22"/>
        </w:rPr>
        <w:fldChar w:fldCharType="end"/>
      </w:r>
      <w:bookmarkEnd w:id="170"/>
      <w:r w:rsidRPr="0082484A">
        <w:rPr>
          <w:bCs/>
          <w:sz w:val="22"/>
          <w:szCs w:val="22"/>
        </w:rPr>
        <w:t>: Secondary outcome for Trial 2: The proportion of eligible patients with measured blood pressure in the previous 12 months (WP4A)</w:t>
      </w:r>
      <w:bookmarkEnd w:id="171"/>
      <w:bookmarkEnd w:id="172"/>
    </w:p>
    <w:tbl>
      <w:tblPr>
        <w:tblW w:w="15592"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1134"/>
        <w:gridCol w:w="567"/>
        <w:gridCol w:w="1134"/>
      </w:tblGrid>
      <w:tr w:rsidR="00B77EA3" w:rsidRPr="0082484A" w14:paraId="20E41D47"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4747E31"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419E80E"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E83B2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832076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5207A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FFB7AD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DA44B4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2E9574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CC6599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068006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31C8E9A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A43E68F"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9F0FD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3D4852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-0.0925</w:t>
            </w:r>
          </w:p>
        </w:tc>
        <w:tc>
          <w:tcPr>
            <w:tcW w:w="1134" w:type="dxa"/>
            <w:tcBorders>
              <w:top w:val="nil"/>
              <w:left w:val="nil"/>
              <w:bottom w:val="nil"/>
              <w:right w:val="nil"/>
            </w:tcBorders>
            <w:shd w:val="clear" w:color="auto" w:fill="FFFFFF"/>
            <w:tcMar>
              <w:left w:w="67" w:type="dxa"/>
              <w:right w:w="67" w:type="dxa"/>
            </w:tcMar>
            <w:vAlign w:val="center"/>
          </w:tcPr>
          <w:p w14:paraId="1A9FD5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0.1620</w:t>
            </w:r>
          </w:p>
        </w:tc>
        <w:tc>
          <w:tcPr>
            <w:tcW w:w="1134" w:type="dxa"/>
            <w:tcBorders>
              <w:top w:val="nil"/>
              <w:left w:val="nil"/>
              <w:bottom w:val="nil"/>
              <w:right w:val="nil"/>
            </w:tcBorders>
            <w:shd w:val="clear" w:color="auto" w:fill="FFFFFF"/>
            <w:tcMar>
              <w:left w:w="67" w:type="dxa"/>
              <w:right w:w="67" w:type="dxa"/>
            </w:tcMar>
            <w:vAlign w:val="center"/>
          </w:tcPr>
          <w:p w14:paraId="00E0D5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0.9117</w:t>
            </w:r>
          </w:p>
        </w:tc>
        <w:tc>
          <w:tcPr>
            <w:tcW w:w="1134" w:type="dxa"/>
            <w:tcBorders>
              <w:top w:val="nil"/>
              <w:left w:val="nil"/>
              <w:bottom w:val="nil"/>
              <w:right w:val="nil"/>
            </w:tcBorders>
            <w:shd w:val="clear" w:color="auto" w:fill="FFFFFF"/>
            <w:tcMar>
              <w:left w:w="67" w:type="dxa"/>
              <w:right w:w="67" w:type="dxa"/>
            </w:tcMar>
            <w:vAlign w:val="center"/>
          </w:tcPr>
          <w:p w14:paraId="4C5935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0.6341</w:t>
            </w:r>
          </w:p>
        </w:tc>
        <w:tc>
          <w:tcPr>
            <w:tcW w:w="1134" w:type="dxa"/>
            <w:tcBorders>
              <w:top w:val="nil"/>
              <w:left w:val="nil"/>
              <w:bottom w:val="nil"/>
              <w:right w:val="nil"/>
            </w:tcBorders>
            <w:shd w:val="clear" w:color="auto" w:fill="FFFFFF"/>
            <w:tcMar>
              <w:left w:w="67" w:type="dxa"/>
              <w:right w:w="67" w:type="dxa"/>
            </w:tcMar>
            <w:vAlign w:val="center"/>
          </w:tcPr>
          <w:p w14:paraId="15540B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1.3107</w:t>
            </w:r>
          </w:p>
        </w:tc>
        <w:tc>
          <w:tcPr>
            <w:tcW w:w="1134" w:type="dxa"/>
            <w:tcBorders>
              <w:top w:val="nil"/>
              <w:left w:val="nil"/>
              <w:bottom w:val="nil"/>
              <w:right w:val="nil"/>
            </w:tcBorders>
            <w:shd w:val="clear" w:color="auto" w:fill="FFFFFF"/>
            <w:tcMar>
              <w:left w:w="67" w:type="dxa"/>
              <w:right w:w="67" w:type="dxa"/>
            </w:tcMar>
            <w:vAlign w:val="center"/>
          </w:tcPr>
          <w:p w14:paraId="545BA7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w:t>
            </w:r>
          </w:p>
        </w:tc>
        <w:tc>
          <w:tcPr>
            <w:tcW w:w="567" w:type="dxa"/>
            <w:tcBorders>
              <w:top w:val="nil"/>
              <w:left w:val="nil"/>
              <w:bottom w:val="nil"/>
              <w:right w:val="nil"/>
            </w:tcBorders>
            <w:shd w:val="clear" w:color="auto" w:fill="FFFFFF"/>
            <w:tcMar>
              <w:left w:w="67" w:type="dxa"/>
              <w:right w:w="67" w:type="dxa"/>
            </w:tcMar>
            <w:vAlign w:val="center"/>
          </w:tcPr>
          <w:p w14:paraId="5B253B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572F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0.5680</w:t>
            </w:r>
          </w:p>
        </w:tc>
      </w:tr>
      <w:tr w:rsidR="00B77EA3" w:rsidRPr="0082484A" w14:paraId="4952035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3B9726F"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7C67C4F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33FC44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0.3864</w:t>
            </w:r>
          </w:p>
        </w:tc>
        <w:tc>
          <w:tcPr>
            <w:tcW w:w="1134" w:type="dxa"/>
            <w:tcBorders>
              <w:top w:val="nil"/>
              <w:left w:val="nil"/>
              <w:bottom w:val="nil"/>
              <w:right w:val="nil"/>
            </w:tcBorders>
            <w:shd w:val="clear" w:color="auto" w:fill="FFFFFF"/>
            <w:tcMar>
              <w:left w:w="67" w:type="dxa"/>
              <w:right w:w="67" w:type="dxa"/>
            </w:tcMar>
            <w:vAlign w:val="center"/>
          </w:tcPr>
          <w:p w14:paraId="6FD208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0.0212</w:t>
            </w:r>
          </w:p>
        </w:tc>
        <w:tc>
          <w:tcPr>
            <w:tcW w:w="1134" w:type="dxa"/>
            <w:tcBorders>
              <w:top w:val="nil"/>
              <w:left w:val="nil"/>
              <w:bottom w:val="nil"/>
              <w:right w:val="nil"/>
            </w:tcBorders>
            <w:shd w:val="clear" w:color="auto" w:fill="FFFFFF"/>
            <w:tcMar>
              <w:left w:w="67" w:type="dxa"/>
              <w:right w:w="67" w:type="dxa"/>
            </w:tcMar>
            <w:vAlign w:val="center"/>
          </w:tcPr>
          <w:p w14:paraId="6797A0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1.4717</w:t>
            </w:r>
          </w:p>
        </w:tc>
        <w:tc>
          <w:tcPr>
            <w:tcW w:w="1134" w:type="dxa"/>
            <w:tcBorders>
              <w:top w:val="nil"/>
              <w:left w:val="nil"/>
              <w:bottom w:val="nil"/>
              <w:right w:val="nil"/>
            </w:tcBorders>
            <w:shd w:val="clear" w:color="auto" w:fill="FFFFFF"/>
            <w:tcMar>
              <w:left w:w="67" w:type="dxa"/>
              <w:right w:w="67" w:type="dxa"/>
            </w:tcMar>
            <w:vAlign w:val="center"/>
          </w:tcPr>
          <w:p w14:paraId="3EF3D6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1.4033</w:t>
            </w:r>
          </w:p>
        </w:tc>
        <w:tc>
          <w:tcPr>
            <w:tcW w:w="1134" w:type="dxa"/>
            <w:tcBorders>
              <w:top w:val="nil"/>
              <w:left w:val="nil"/>
              <w:bottom w:val="nil"/>
              <w:right w:val="nil"/>
            </w:tcBorders>
            <w:shd w:val="clear" w:color="auto" w:fill="FFFFFF"/>
            <w:tcMar>
              <w:left w:w="67" w:type="dxa"/>
              <w:right w:w="67" w:type="dxa"/>
            </w:tcMar>
            <w:vAlign w:val="center"/>
          </w:tcPr>
          <w:p w14:paraId="2B7B2A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1.5434</w:t>
            </w:r>
          </w:p>
        </w:tc>
        <w:tc>
          <w:tcPr>
            <w:tcW w:w="1134" w:type="dxa"/>
            <w:tcBorders>
              <w:top w:val="nil"/>
              <w:left w:val="nil"/>
              <w:bottom w:val="nil"/>
              <w:right w:val="nil"/>
            </w:tcBorders>
            <w:shd w:val="clear" w:color="auto" w:fill="FFFFFF"/>
            <w:tcMar>
              <w:left w:w="67" w:type="dxa"/>
              <w:right w:w="67" w:type="dxa"/>
            </w:tcMar>
            <w:vAlign w:val="center"/>
          </w:tcPr>
          <w:p w14:paraId="2F11C9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331.60</w:t>
            </w:r>
          </w:p>
        </w:tc>
        <w:tc>
          <w:tcPr>
            <w:tcW w:w="567" w:type="dxa"/>
            <w:tcBorders>
              <w:top w:val="nil"/>
              <w:left w:val="nil"/>
              <w:bottom w:val="nil"/>
              <w:right w:val="nil"/>
            </w:tcBorders>
            <w:shd w:val="clear" w:color="auto" w:fill="FFFFFF"/>
            <w:tcMar>
              <w:left w:w="67" w:type="dxa"/>
              <w:right w:w="67" w:type="dxa"/>
            </w:tcMar>
            <w:vAlign w:val="center"/>
          </w:tcPr>
          <w:p w14:paraId="585BAB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C4BB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7D262D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A55F072"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7DF64430"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BA2F2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0.0231</w:t>
            </w:r>
          </w:p>
        </w:tc>
        <w:tc>
          <w:tcPr>
            <w:tcW w:w="1134" w:type="dxa"/>
            <w:tcBorders>
              <w:top w:val="nil"/>
              <w:left w:val="nil"/>
              <w:bottom w:val="nil"/>
              <w:right w:val="nil"/>
            </w:tcBorders>
            <w:shd w:val="clear" w:color="auto" w:fill="FFFFFF"/>
            <w:tcMar>
              <w:left w:w="67" w:type="dxa"/>
              <w:right w:w="67" w:type="dxa"/>
            </w:tcMar>
            <w:vAlign w:val="center"/>
          </w:tcPr>
          <w:p w14:paraId="653F00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3CF2F3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1.0234</w:t>
            </w:r>
          </w:p>
        </w:tc>
        <w:tc>
          <w:tcPr>
            <w:tcW w:w="1134" w:type="dxa"/>
            <w:tcBorders>
              <w:top w:val="nil"/>
              <w:left w:val="nil"/>
              <w:bottom w:val="nil"/>
              <w:right w:val="nil"/>
            </w:tcBorders>
            <w:shd w:val="clear" w:color="auto" w:fill="FFFFFF"/>
            <w:tcMar>
              <w:left w:w="67" w:type="dxa"/>
              <w:right w:w="67" w:type="dxa"/>
            </w:tcMar>
            <w:vAlign w:val="center"/>
          </w:tcPr>
          <w:p w14:paraId="4F7F04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1.0215</w:t>
            </w:r>
          </w:p>
        </w:tc>
        <w:tc>
          <w:tcPr>
            <w:tcW w:w="1134" w:type="dxa"/>
            <w:tcBorders>
              <w:top w:val="nil"/>
              <w:left w:val="nil"/>
              <w:bottom w:val="nil"/>
              <w:right w:val="nil"/>
            </w:tcBorders>
            <w:shd w:val="clear" w:color="auto" w:fill="FFFFFF"/>
            <w:tcMar>
              <w:left w:w="67" w:type="dxa"/>
              <w:right w:w="67" w:type="dxa"/>
            </w:tcMar>
            <w:vAlign w:val="center"/>
          </w:tcPr>
          <w:p w14:paraId="56DA33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1.0253</w:t>
            </w:r>
          </w:p>
        </w:tc>
        <w:tc>
          <w:tcPr>
            <w:tcW w:w="1134" w:type="dxa"/>
            <w:tcBorders>
              <w:top w:val="nil"/>
              <w:left w:val="nil"/>
              <w:bottom w:val="nil"/>
              <w:right w:val="nil"/>
            </w:tcBorders>
            <w:shd w:val="clear" w:color="auto" w:fill="FFFFFF"/>
            <w:tcMar>
              <w:left w:w="67" w:type="dxa"/>
              <w:right w:w="67" w:type="dxa"/>
            </w:tcMar>
            <w:vAlign w:val="center"/>
          </w:tcPr>
          <w:p w14:paraId="0BE919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812.64</w:t>
            </w:r>
          </w:p>
        </w:tc>
        <w:tc>
          <w:tcPr>
            <w:tcW w:w="567" w:type="dxa"/>
            <w:tcBorders>
              <w:top w:val="nil"/>
              <w:left w:val="nil"/>
              <w:bottom w:val="nil"/>
              <w:right w:val="nil"/>
            </w:tcBorders>
            <w:shd w:val="clear" w:color="auto" w:fill="FFFFFF"/>
            <w:tcMar>
              <w:left w:w="67" w:type="dxa"/>
              <w:right w:w="67" w:type="dxa"/>
            </w:tcMar>
            <w:vAlign w:val="center"/>
          </w:tcPr>
          <w:p w14:paraId="087CEA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B2DD1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A5511A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D27CA40"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A86A66E"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AABB8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18C2BE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02039A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0.9992</w:t>
            </w:r>
          </w:p>
        </w:tc>
        <w:tc>
          <w:tcPr>
            <w:tcW w:w="1134" w:type="dxa"/>
            <w:tcBorders>
              <w:top w:val="nil"/>
              <w:left w:val="nil"/>
              <w:bottom w:val="nil"/>
              <w:right w:val="nil"/>
            </w:tcBorders>
            <w:shd w:val="clear" w:color="auto" w:fill="FFFFFF"/>
            <w:tcMar>
              <w:left w:w="67" w:type="dxa"/>
              <w:right w:w="67" w:type="dxa"/>
            </w:tcMar>
            <w:vAlign w:val="center"/>
          </w:tcPr>
          <w:p w14:paraId="5F3F7D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0.9945</w:t>
            </w:r>
          </w:p>
        </w:tc>
        <w:tc>
          <w:tcPr>
            <w:tcW w:w="1134" w:type="dxa"/>
            <w:tcBorders>
              <w:top w:val="nil"/>
              <w:left w:val="nil"/>
              <w:bottom w:val="nil"/>
              <w:right w:val="nil"/>
            </w:tcBorders>
            <w:shd w:val="clear" w:color="auto" w:fill="FFFFFF"/>
            <w:tcMar>
              <w:left w:w="67" w:type="dxa"/>
              <w:right w:w="67" w:type="dxa"/>
            </w:tcMar>
            <w:vAlign w:val="center"/>
          </w:tcPr>
          <w:p w14:paraId="21C081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1.0040</w:t>
            </w:r>
          </w:p>
        </w:tc>
        <w:tc>
          <w:tcPr>
            <w:tcW w:w="1134" w:type="dxa"/>
            <w:tcBorders>
              <w:top w:val="nil"/>
              <w:left w:val="nil"/>
              <w:bottom w:val="nil"/>
              <w:right w:val="nil"/>
            </w:tcBorders>
            <w:shd w:val="clear" w:color="auto" w:fill="FFFFFF"/>
            <w:tcMar>
              <w:left w:w="67" w:type="dxa"/>
              <w:right w:w="67" w:type="dxa"/>
            </w:tcMar>
            <w:vAlign w:val="center"/>
          </w:tcPr>
          <w:p w14:paraId="712410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w:t>
            </w:r>
          </w:p>
        </w:tc>
        <w:tc>
          <w:tcPr>
            <w:tcW w:w="567" w:type="dxa"/>
            <w:tcBorders>
              <w:top w:val="nil"/>
              <w:left w:val="nil"/>
              <w:bottom w:val="nil"/>
              <w:right w:val="nil"/>
            </w:tcBorders>
            <w:shd w:val="clear" w:color="auto" w:fill="FFFFFF"/>
            <w:tcMar>
              <w:left w:w="67" w:type="dxa"/>
              <w:right w:w="67" w:type="dxa"/>
            </w:tcMar>
            <w:vAlign w:val="center"/>
          </w:tcPr>
          <w:p w14:paraId="0F9779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119EA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0.7192</w:t>
            </w:r>
          </w:p>
        </w:tc>
      </w:tr>
      <w:tr w:rsidR="00B77EA3" w:rsidRPr="0082484A" w14:paraId="3008E9A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C942CC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B86D61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ECF02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0.1298</w:t>
            </w:r>
          </w:p>
        </w:tc>
        <w:tc>
          <w:tcPr>
            <w:tcW w:w="1134" w:type="dxa"/>
            <w:tcBorders>
              <w:top w:val="nil"/>
              <w:left w:val="nil"/>
              <w:bottom w:val="nil"/>
              <w:right w:val="nil"/>
            </w:tcBorders>
            <w:shd w:val="clear" w:color="auto" w:fill="FFFFFF"/>
            <w:tcMar>
              <w:left w:w="67" w:type="dxa"/>
              <w:right w:w="67" w:type="dxa"/>
            </w:tcMar>
            <w:vAlign w:val="center"/>
          </w:tcPr>
          <w:p w14:paraId="56A938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0.3842</w:t>
            </w:r>
          </w:p>
        </w:tc>
        <w:tc>
          <w:tcPr>
            <w:tcW w:w="1134" w:type="dxa"/>
            <w:tcBorders>
              <w:top w:val="nil"/>
              <w:left w:val="nil"/>
              <w:bottom w:val="nil"/>
              <w:right w:val="nil"/>
            </w:tcBorders>
            <w:shd w:val="clear" w:color="auto" w:fill="FFFFFF"/>
            <w:tcMar>
              <w:left w:w="67" w:type="dxa"/>
              <w:right w:w="67" w:type="dxa"/>
            </w:tcMar>
            <w:vAlign w:val="center"/>
          </w:tcPr>
          <w:p w14:paraId="34EE00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1.1385</w:t>
            </w:r>
          </w:p>
        </w:tc>
        <w:tc>
          <w:tcPr>
            <w:tcW w:w="1134" w:type="dxa"/>
            <w:tcBorders>
              <w:top w:val="nil"/>
              <w:left w:val="nil"/>
              <w:bottom w:val="nil"/>
              <w:right w:val="nil"/>
            </w:tcBorders>
            <w:shd w:val="clear" w:color="auto" w:fill="FFFFFF"/>
            <w:tcMar>
              <w:left w:w="67" w:type="dxa"/>
              <w:right w:w="67" w:type="dxa"/>
            </w:tcMar>
            <w:vAlign w:val="center"/>
          </w:tcPr>
          <w:p w14:paraId="29935F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0.4813</w:t>
            </w:r>
          </w:p>
        </w:tc>
        <w:tc>
          <w:tcPr>
            <w:tcW w:w="1134" w:type="dxa"/>
            <w:tcBorders>
              <w:top w:val="nil"/>
              <w:left w:val="nil"/>
              <w:bottom w:val="nil"/>
              <w:right w:val="nil"/>
            </w:tcBorders>
            <w:shd w:val="clear" w:color="auto" w:fill="FFFFFF"/>
            <w:tcMar>
              <w:left w:w="67" w:type="dxa"/>
              <w:right w:w="67" w:type="dxa"/>
            </w:tcMar>
            <w:vAlign w:val="center"/>
          </w:tcPr>
          <w:p w14:paraId="15C51A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2.6935</w:t>
            </w:r>
          </w:p>
        </w:tc>
        <w:tc>
          <w:tcPr>
            <w:tcW w:w="1134" w:type="dxa"/>
            <w:tcBorders>
              <w:top w:val="nil"/>
              <w:left w:val="nil"/>
              <w:bottom w:val="nil"/>
              <w:right w:val="nil"/>
            </w:tcBorders>
            <w:shd w:val="clear" w:color="auto" w:fill="FFFFFF"/>
            <w:tcMar>
              <w:left w:w="67" w:type="dxa"/>
              <w:right w:w="67" w:type="dxa"/>
            </w:tcMar>
            <w:vAlign w:val="center"/>
          </w:tcPr>
          <w:p w14:paraId="459009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w:t>
            </w:r>
          </w:p>
        </w:tc>
        <w:tc>
          <w:tcPr>
            <w:tcW w:w="567" w:type="dxa"/>
            <w:tcBorders>
              <w:top w:val="nil"/>
              <w:left w:val="nil"/>
              <w:bottom w:val="nil"/>
              <w:right w:val="nil"/>
            </w:tcBorders>
            <w:shd w:val="clear" w:color="auto" w:fill="FFFFFF"/>
            <w:tcMar>
              <w:left w:w="67" w:type="dxa"/>
              <w:right w:w="67" w:type="dxa"/>
            </w:tcMar>
            <w:vAlign w:val="center"/>
          </w:tcPr>
          <w:p w14:paraId="41CDCA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F034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0.6105</w:t>
            </w:r>
          </w:p>
        </w:tc>
      </w:tr>
      <w:tr w:rsidR="00B77EA3" w:rsidRPr="0082484A" w14:paraId="142FCEB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0F78D5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3F64A3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A8A64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0.3405</w:t>
            </w:r>
          </w:p>
        </w:tc>
        <w:tc>
          <w:tcPr>
            <w:tcW w:w="1134" w:type="dxa"/>
            <w:tcBorders>
              <w:top w:val="nil"/>
              <w:left w:val="nil"/>
              <w:bottom w:val="nil"/>
              <w:right w:val="nil"/>
            </w:tcBorders>
            <w:shd w:val="clear" w:color="auto" w:fill="FFFFFF"/>
            <w:tcMar>
              <w:left w:w="67" w:type="dxa"/>
              <w:right w:w="67" w:type="dxa"/>
            </w:tcMar>
            <w:vAlign w:val="center"/>
          </w:tcPr>
          <w:p w14:paraId="5A2DC7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0.3288</w:t>
            </w:r>
          </w:p>
        </w:tc>
        <w:tc>
          <w:tcPr>
            <w:tcW w:w="1134" w:type="dxa"/>
            <w:tcBorders>
              <w:top w:val="nil"/>
              <w:left w:val="nil"/>
              <w:bottom w:val="nil"/>
              <w:right w:val="nil"/>
            </w:tcBorders>
            <w:shd w:val="clear" w:color="auto" w:fill="FFFFFF"/>
            <w:tcMar>
              <w:left w:w="67" w:type="dxa"/>
              <w:right w:w="67" w:type="dxa"/>
            </w:tcMar>
            <w:vAlign w:val="center"/>
          </w:tcPr>
          <w:p w14:paraId="294E45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1.4057</w:t>
            </w:r>
          </w:p>
        </w:tc>
        <w:tc>
          <w:tcPr>
            <w:tcW w:w="1134" w:type="dxa"/>
            <w:tcBorders>
              <w:top w:val="nil"/>
              <w:left w:val="nil"/>
              <w:bottom w:val="nil"/>
              <w:right w:val="nil"/>
            </w:tcBorders>
            <w:shd w:val="clear" w:color="auto" w:fill="FFFFFF"/>
            <w:tcMar>
              <w:left w:w="67" w:type="dxa"/>
              <w:right w:w="67" w:type="dxa"/>
            </w:tcMar>
            <w:vAlign w:val="center"/>
          </w:tcPr>
          <w:p w14:paraId="3AD56C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0.6728</w:t>
            </w:r>
          </w:p>
        </w:tc>
        <w:tc>
          <w:tcPr>
            <w:tcW w:w="1134" w:type="dxa"/>
            <w:tcBorders>
              <w:top w:val="nil"/>
              <w:left w:val="nil"/>
              <w:bottom w:val="nil"/>
              <w:right w:val="nil"/>
            </w:tcBorders>
            <w:shd w:val="clear" w:color="auto" w:fill="FFFFFF"/>
            <w:tcMar>
              <w:left w:w="67" w:type="dxa"/>
              <w:right w:w="67" w:type="dxa"/>
            </w:tcMar>
            <w:vAlign w:val="center"/>
          </w:tcPr>
          <w:p w14:paraId="28A5B2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2.9371</w:t>
            </w:r>
          </w:p>
        </w:tc>
        <w:tc>
          <w:tcPr>
            <w:tcW w:w="1134" w:type="dxa"/>
            <w:tcBorders>
              <w:top w:val="nil"/>
              <w:left w:val="nil"/>
              <w:bottom w:val="nil"/>
              <w:right w:val="nil"/>
            </w:tcBorders>
            <w:shd w:val="clear" w:color="auto" w:fill="FFFFFF"/>
            <w:tcMar>
              <w:left w:w="67" w:type="dxa"/>
              <w:right w:w="67" w:type="dxa"/>
            </w:tcMar>
            <w:vAlign w:val="center"/>
          </w:tcPr>
          <w:p w14:paraId="77B90DC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15168C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B2D4EA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99472A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919046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FCA2AA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9D1FB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0.4004</w:t>
            </w:r>
          </w:p>
        </w:tc>
        <w:tc>
          <w:tcPr>
            <w:tcW w:w="1134" w:type="dxa"/>
            <w:tcBorders>
              <w:top w:val="nil"/>
              <w:left w:val="nil"/>
              <w:bottom w:val="nil"/>
              <w:right w:val="nil"/>
            </w:tcBorders>
            <w:shd w:val="clear" w:color="auto" w:fill="FFFFFF"/>
            <w:tcMar>
              <w:left w:w="67" w:type="dxa"/>
              <w:right w:w="67" w:type="dxa"/>
            </w:tcMar>
            <w:vAlign w:val="center"/>
          </w:tcPr>
          <w:p w14:paraId="77B363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0.3691</w:t>
            </w:r>
          </w:p>
        </w:tc>
        <w:tc>
          <w:tcPr>
            <w:tcW w:w="1134" w:type="dxa"/>
            <w:tcBorders>
              <w:top w:val="nil"/>
              <w:left w:val="nil"/>
              <w:bottom w:val="nil"/>
              <w:right w:val="nil"/>
            </w:tcBorders>
            <w:shd w:val="clear" w:color="auto" w:fill="FFFFFF"/>
            <w:tcMar>
              <w:left w:w="67" w:type="dxa"/>
              <w:right w:w="67" w:type="dxa"/>
            </w:tcMar>
            <w:vAlign w:val="center"/>
          </w:tcPr>
          <w:p w14:paraId="380361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1.4925</w:t>
            </w:r>
          </w:p>
        </w:tc>
        <w:tc>
          <w:tcPr>
            <w:tcW w:w="1134" w:type="dxa"/>
            <w:tcBorders>
              <w:top w:val="nil"/>
              <w:left w:val="nil"/>
              <w:bottom w:val="nil"/>
              <w:right w:val="nil"/>
            </w:tcBorders>
            <w:shd w:val="clear" w:color="auto" w:fill="FFFFFF"/>
            <w:tcMar>
              <w:left w:w="67" w:type="dxa"/>
              <w:right w:w="67" w:type="dxa"/>
            </w:tcMar>
            <w:vAlign w:val="center"/>
          </w:tcPr>
          <w:p w14:paraId="74AFFA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0.6525</w:t>
            </w:r>
          </w:p>
        </w:tc>
        <w:tc>
          <w:tcPr>
            <w:tcW w:w="1134" w:type="dxa"/>
            <w:tcBorders>
              <w:top w:val="nil"/>
              <w:left w:val="nil"/>
              <w:bottom w:val="nil"/>
              <w:right w:val="nil"/>
            </w:tcBorders>
            <w:shd w:val="clear" w:color="auto" w:fill="FFFFFF"/>
            <w:tcMar>
              <w:left w:w="67" w:type="dxa"/>
              <w:right w:w="67" w:type="dxa"/>
            </w:tcMar>
            <w:vAlign w:val="center"/>
          </w:tcPr>
          <w:p w14:paraId="1E2B0B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3.4137</w:t>
            </w:r>
          </w:p>
        </w:tc>
        <w:tc>
          <w:tcPr>
            <w:tcW w:w="1134" w:type="dxa"/>
            <w:tcBorders>
              <w:top w:val="nil"/>
              <w:left w:val="nil"/>
              <w:bottom w:val="nil"/>
              <w:right w:val="nil"/>
            </w:tcBorders>
            <w:shd w:val="clear" w:color="auto" w:fill="FFFFFF"/>
            <w:tcMar>
              <w:left w:w="67" w:type="dxa"/>
              <w:right w:w="67" w:type="dxa"/>
            </w:tcMar>
            <w:vAlign w:val="center"/>
          </w:tcPr>
          <w:p w14:paraId="74549F7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D76374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3273E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242404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EFF4A8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2DA2EE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74606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0.1028</w:t>
            </w:r>
          </w:p>
        </w:tc>
        <w:tc>
          <w:tcPr>
            <w:tcW w:w="1134" w:type="dxa"/>
            <w:tcBorders>
              <w:top w:val="nil"/>
              <w:left w:val="nil"/>
              <w:bottom w:val="nil"/>
              <w:right w:val="nil"/>
            </w:tcBorders>
            <w:shd w:val="clear" w:color="auto" w:fill="FFFFFF"/>
            <w:tcMar>
              <w:left w:w="67" w:type="dxa"/>
              <w:right w:w="67" w:type="dxa"/>
            </w:tcMar>
            <w:vAlign w:val="center"/>
          </w:tcPr>
          <w:p w14:paraId="648540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0.3412</w:t>
            </w:r>
          </w:p>
        </w:tc>
        <w:tc>
          <w:tcPr>
            <w:tcW w:w="1134" w:type="dxa"/>
            <w:tcBorders>
              <w:top w:val="nil"/>
              <w:left w:val="nil"/>
              <w:bottom w:val="nil"/>
              <w:right w:val="nil"/>
            </w:tcBorders>
            <w:shd w:val="clear" w:color="auto" w:fill="FFFFFF"/>
            <w:tcMar>
              <w:left w:w="67" w:type="dxa"/>
              <w:right w:w="67" w:type="dxa"/>
            </w:tcMar>
            <w:vAlign w:val="center"/>
          </w:tcPr>
          <w:p w14:paraId="66FA70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1.1082</w:t>
            </w:r>
          </w:p>
        </w:tc>
        <w:tc>
          <w:tcPr>
            <w:tcW w:w="1134" w:type="dxa"/>
            <w:tcBorders>
              <w:top w:val="nil"/>
              <w:left w:val="nil"/>
              <w:bottom w:val="nil"/>
              <w:right w:val="nil"/>
            </w:tcBorders>
            <w:shd w:val="clear" w:color="auto" w:fill="FFFFFF"/>
            <w:tcMar>
              <w:left w:w="67" w:type="dxa"/>
              <w:right w:w="67" w:type="dxa"/>
            </w:tcMar>
            <w:vAlign w:val="center"/>
          </w:tcPr>
          <w:p w14:paraId="30C767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0.5159</w:t>
            </w:r>
          </w:p>
        </w:tc>
        <w:tc>
          <w:tcPr>
            <w:tcW w:w="1134" w:type="dxa"/>
            <w:tcBorders>
              <w:top w:val="nil"/>
              <w:left w:val="nil"/>
              <w:bottom w:val="nil"/>
              <w:right w:val="nil"/>
            </w:tcBorders>
            <w:shd w:val="clear" w:color="auto" w:fill="FFFFFF"/>
            <w:tcMar>
              <w:left w:w="67" w:type="dxa"/>
              <w:right w:w="67" w:type="dxa"/>
            </w:tcMar>
            <w:vAlign w:val="center"/>
          </w:tcPr>
          <w:p w14:paraId="6CD4EE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2.3808</w:t>
            </w:r>
          </w:p>
        </w:tc>
        <w:tc>
          <w:tcPr>
            <w:tcW w:w="1134" w:type="dxa"/>
            <w:tcBorders>
              <w:top w:val="nil"/>
              <w:left w:val="nil"/>
              <w:bottom w:val="nil"/>
              <w:right w:val="nil"/>
            </w:tcBorders>
            <w:shd w:val="clear" w:color="auto" w:fill="FFFFFF"/>
            <w:tcMar>
              <w:left w:w="67" w:type="dxa"/>
              <w:right w:w="67" w:type="dxa"/>
            </w:tcMar>
            <w:vAlign w:val="center"/>
          </w:tcPr>
          <w:p w14:paraId="3FDF681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8A8502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C18E62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A41FAD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2A9DDF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9B4CFE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97B6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0.0036</w:t>
            </w:r>
          </w:p>
        </w:tc>
        <w:tc>
          <w:tcPr>
            <w:tcW w:w="1134" w:type="dxa"/>
            <w:tcBorders>
              <w:top w:val="nil"/>
              <w:left w:val="nil"/>
              <w:bottom w:val="nil"/>
              <w:right w:val="nil"/>
            </w:tcBorders>
            <w:shd w:val="clear" w:color="auto" w:fill="FFFFFF"/>
            <w:tcMar>
              <w:left w:w="67" w:type="dxa"/>
              <w:right w:w="67" w:type="dxa"/>
            </w:tcMar>
            <w:vAlign w:val="center"/>
          </w:tcPr>
          <w:p w14:paraId="7F3B0C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0.4120</w:t>
            </w:r>
          </w:p>
        </w:tc>
        <w:tc>
          <w:tcPr>
            <w:tcW w:w="1134" w:type="dxa"/>
            <w:tcBorders>
              <w:top w:val="nil"/>
              <w:left w:val="nil"/>
              <w:bottom w:val="nil"/>
              <w:right w:val="nil"/>
            </w:tcBorders>
            <w:shd w:val="clear" w:color="auto" w:fill="FFFFFF"/>
            <w:tcMar>
              <w:left w:w="67" w:type="dxa"/>
              <w:right w:w="67" w:type="dxa"/>
            </w:tcMar>
            <w:vAlign w:val="center"/>
          </w:tcPr>
          <w:p w14:paraId="174891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1.0036</w:t>
            </w:r>
          </w:p>
        </w:tc>
        <w:tc>
          <w:tcPr>
            <w:tcW w:w="1134" w:type="dxa"/>
            <w:tcBorders>
              <w:top w:val="nil"/>
              <w:left w:val="nil"/>
              <w:bottom w:val="nil"/>
              <w:right w:val="nil"/>
            </w:tcBorders>
            <w:shd w:val="clear" w:color="auto" w:fill="FFFFFF"/>
            <w:tcMar>
              <w:left w:w="67" w:type="dxa"/>
              <w:right w:w="67" w:type="dxa"/>
            </w:tcMar>
            <w:vAlign w:val="center"/>
          </w:tcPr>
          <w:p w14:paraId="56102C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0.3985</w:t>
            </w:r>
          </w:p>
        </w:tc>
        <w:tc>
          <w:tcPr>
            <w:tcW w:w="1134" w:type="dxa"/>
            <w:tcBorders>
              <w:top w:val="nil"/>
              <w:left w:val="nil"/>
              <w:bottom w:val="nil"/>
              <w:right w:val="nil"/>
            </w:tcBorders>
            <w:shd w:val="clear" w:color="auto" w:fill="FFFFFF"/>
            <w:tcMar>
              <w:left w:w="67" w:type="dxa"/>
              <w:right w:w="67" w:type="dxa"/>
            </w:tcMar>
            <w:vAlign w:val="center"/>
          </w:tcPr>
          <w:p w14:paraId="45765F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2.5273</w:t>
            </w:r>
          </w:p>
        </w:tc>
        <w:tc>
          <w:tcPr>
            <w:tcW w:w="1134" w:type="dxa"/>
            <w:tcBorders>
              <w:top w:val="nil"/>
              <w:left w:val="nil"/>
              <w:bottom w:val="nil"/>
              <w:right w:val="nil"/>
            </w:tcBorders>
            <w:shd w:val="clear" w:color="auto" w:fill="FFFFFF"/>
            <w:tcMar>
              <w:left w:w="67" w:type="dxa"/>
              <w:right w:w="67" w:type="dxa"/>
            </w:tcMar>
            <w:vAlign w:val="center"/>
          </w:tcPr>
          <w:p w14:paraId="693263A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D272D8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0B798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79ACC5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0402EE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954C50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417D8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-0.2607</w:t>
            </w:r>
          </w:p>
        </w:tc>
        <w:tc>
          <w:tcPr>
            <w:tcW w:w="1134" w:type="dxa"/>
            <w:tcBorders>
              <w:top w:val="nil"/>
              <w:left w:val="nil"/>
              <w:bottom w:val="nil"/>
              <w:right w:val="nil"/>
            </w:tcBorders>
            <w:shd w:val="clear" w:color="auto" w:fill="FFFFFF"/>
            <w:tcMar>
              <w:left w:w="67" w:type="dxa"/>
              <w:right w:w="67" w:type="dxa"/>
            </w:tcMar>
            <w:vAlign w:val="center"/>
          </w:tcPr>
          <w:p w14:paraId="51CD95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0.3122</w:t>
            </w:r>
          </w:p>
        </w:tc>
        <w:tc>
          <w:tcPr>
            <w:tcW w:w="1134" w:type="dxa"/>
            <w:tcBorders>
              <w:top w:val="nil"/>
              <w:left w:val="nil"/>
              <w:bottom w:val="nil"/>
              <w:right w:val="nil"/>
            </w:tcBorders>
            <w:shd w:val="clear" w:color="auto" w:fill="FFFFFF"/>
            <w:tcMar>
              <w:left w:w="67" w:type="dxa"/>
              <w:right w:w="67" w:type="dxa"/>
            </w:tcMar>
            <w:vAlign w:val="center"/>
          </w:tcPr>
          <w:p w14:paraId="56E10D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0.7705</w:t>
            </w:r>
          </w:p>
        </w:tc>
        <w:tc>
          <w:tcPr>
            <w:tcW w:w="1134" w:type="dxa"/>
            <w:tcBorders>
              <w:top w:val="nil"/>
              <w:left w:val="nil"/>
              <w:bottom w:val="nil"/>
              <w:right w:val="nil"/>
            </w:tcBorders>
            <w:shd w:val="clear" w:color="auto" w:fill="FFFFFF"/>
            <w:tcMar>
              <w:left w:w="67" w:type="dxa"/>
              <w:right w:w="67" w:type="dxa"/>
            </w:tcMar>
            <w:vAlign w:val="center"/>
          </w:tcPr>
          <w:p w14:paraId="12D7A6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0.3827</w:t>
            </w:r>
          </w:p>
        </w:tc>
        <w:tc>
          <w:tcPr>
            <w:tcW w:w="1134" w:type="dxa"/>
            <w:tcBorders>
              <w:top w:val="nil"/>
              <w:left w:val="nil"/>
              <w:bottom w:val="nil"/>
              <w:right w:val="nil"/>
            </w:tcBorders>
            <w:shd w:val="clear" w:color="auto" w:fill="FFFFFF"/>
            <w:tcMar>
              <w:left w:w="67" w:type="dxa"/>
              <w:right w:w="67" w:type="dxa"/>
            </w:tcMar>
            <w:vAlign w:val="center"/>
          </w:tcPr>
          <w:p w14:paraId="7610F8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1.5513</w:t>
            </w:r>
          </w:p>
        </w:tc>
        <w:tc>
          <w:tcPr>
            <w:tcW w:w="1134" w:type="dxa"/>
            <w:tcBorders>
              <w:top w:val="nil"/>
              <w:left w:val="nil"/>
              <w:bottom w:val="nil"/>
              <w:right w:val="nil"/>
            </w:tcBorders>
            <w:shd w:val="clear" w:color="auto" w:fill="FFFFFF"/>
            <w:tcMar>
              <w:left w:w="67" w:type="dxa"/>
              <w:right w:w="67" w:type="dxa"/>
            </w:tcMar>
            <w:vAlign w:val="center"/>
          </w:tcPr>
          <w:p w14:paraId="040FBE4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02C71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49D74E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26831B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89CDF5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5311B5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F2D9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0.1717</w:t>
            </w:r>
          </w:p>
        </w:tc>
        <w:tc>
          <w:tcPr>
            <w:tcW w:w="1134" w:type="dxa"/>
            <w:tcBorders>
              <w:top w:val="nil"/>
              <w:left w:val="nil"/>
              <w:bottom w:val="nil"/>
              <w:right w:val="nil"/>
            </w:tcBorders>
            <w:shd w:val="clear" w:color="auto" w:fill="FFFFFF"/>
            <w:tcMar>
              <w:left w:w="67" w:type="dxa"/>
              <w:right w:w="67" w:type="dxa"/>
            </w:tcMar>
            <w:vAlign w:val="center"/>
          </w:tcPr>
          <w:p w14:paraId="5A99AD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0.3168</w:t>
            </w:r>
          </w:p>
        </w:tc>
        <w:tc>
          <w:tcPr>
            <w:tcW w:w="1134" w:type="dxa"/>
            <w:tcBorders>
              <w:top w:val="nil"/>
              <w:left w:val="nil"/>
              <w:bottom w:val="nil"/>
              <w:right w:val="nil"/>
            </w:tcBorders>
            <w:shd w:val="clear" w:color="auto" w:fill="FFFFFF"/>
            <w:tcMar>
              <w:left w:w="67" w:type="dxa"/>
              <w:right w:w="67" w:type="dxa"/>
            </w:tcMar>
            <w:vAlign w:val="center"/>
          </w:tcPr>
          <w:p w14:paraId="5495FA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1.1873</w:t>
            </w:r>
          </w:p>
        </w:tc>
        <w:tc>
          <w:tcPr>
            <w:tcW w:w="1134" w:type="dxa"/>
            <w:tcBorders>
              <w:top w:val="nil"/>
              <w:left w:val="nil"/>
              <w:bottom w:val="nil"/>
              <w:right w:val="nil"/>
            </w:tcBorders>
            <w:shd w:val="clear" w:color="auto" w:fill="FFFFFF"/>
            <w:tcMar>
              <w:left w:w="67" w:type="dxa"/>
              <w:right w:w="67" w:type="dxa"/>
            </w:tcMar>
            <w:vAlign w:val="center"/>
          </w:tcPr>
          <w:p w14:paraId="18CA42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0.5837</w:t>
            </w:r>
          </w:p>
        </w:tc>
        <w:tc>
          <w:tcPr>
            <w:tcW w:w="1134" w:type="dxa"/>
            <w:tcBorders>
              <w:top w:val="nil"/>
              <w:left w:val="nil"/>
              <w:bottom w:val="nil"/>
              <w:right w:val="nil"/>
            </w:tcBorders>
            <w:shd w:val="clear" w:color="auto" w:fill="FFFFFF"/>
            <w:tcMar>
              <w:left w:w="67" w:type="dxa"/>
              <w:right w:w="67" w:type="dxa"/>
            </w:tcMar>
            <w:vAlign w:val="center"/>
          </w:tcPr>
          <w:p w14:paraId="225D88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2.4152</w:t>
            </w:r>
          </w:p>
        </w:tc>
        <w:tc>
          <w:tcPr>
            <w:tcW w:w="1134" w:type="dxa"/>
            <w:tcBorders>
              <w:top w:val="nil"/>
              <w:left w:val="nil"/>
              <w:bottom w:val="nil"/>
              <w:right w:val="nil"/>
            </w:tcBorders>
            <w:shd w:val="clear" w:color="auto" w:fill="FFFFFF"/>
            <w:tcMar>
              <w:left w:w="67" w:type="dxa"/>
              <w:right w:w="67" w:type="dxa"/>
            </w:tcMar>
            <w:vAlign w:val="center"/>
          </w:tcPr>
          <w:p w14:paraId="794A166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A4B267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0F9F8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3F3F55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2484FB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B26DA3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C8EA6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0.2078</w:t>
            </w:r>
          </w:p>
        </w:tc>
        <w:tc>
          <w:tcPr>
            <w:tcW w:w="1134" w:type="dxa"/>
            <w:tcBorders>
              <w:top w:val="nil"/>
              <w:left w:val="nil"/>
              <w:bottom w:val="nil"/>
              <w:right w:val="nil"/>
            </w:tcBorders>
            <w:shd w:val="clear" w:color="auto" w:fill="FFFFFF"/>
            <w:tcMar>
              <w:left w:w="67" w:type="dxa"/>
              <w:right w:w="67" w:type="dxa"/>
            </w:tcMar>
            <w:vAlign w:val="center"/>
          </w:tcPr>
          <w:p w14:paraId="17882F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0.3255</w:t>
            </w:r>
          </w:p>
        </w:tc>
        <w:tc>
          <w:tcPr>
            <w:tcW w:w="1134" w:type="dxa"/>
            <w:tcBorders>
              <w:top w:val="nil"/>
              <w:left w:val="nil"/>
              <w:bottom w:val="nil"/>
              <w:right w:val="nil"/>
            </w:tcBorders>
            <w:shd w:val="clear" w:color="auto" w:fill="FFFFFF"/>
            <w:tcMar>
              <w:left w:w="67" w:type="dxa"/>
              <w:right w:w="67" w:type="dxa"/>
            </w:tcMar>
            <w:vAlign w:val="center"/>
          </w:tcPr>
          <w:p w14:paraId="5E9B05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1.2310</w:t>
            </w:r>
          </w:p>
        </w:tc>
        <w:tc>
          <w:tcPr>
            <w:tcW w:w="1134" w:type="dxa"/>
            <w:tcBorders>
              <w:top w:val="nil"/>
              <w:left w:val="nil"/>
              <w:bottom w:val="nil"/>
              <w:right w:val="nil"/>
            </w:tcBorders>
            <w:shd w:val="clear" w:color="auto" w:fill="FFFFFF"/>
            <w:tcMar>
              <w:left w:w="67" w:type="dxa"/>
              <w:right w:w="67" w:type="dxa"/>
            </w:tcMar>
            <w:vAlign w:val="center"/>
          </w:tcPr>
          <w:p w14:paraId="7C3F20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0.5935</w:t>
            </w:r>
          </w:p>
        </w:tc>
        <w:tc>
          <w:tcPr>
            <w:tcW w:w="1134" w:type="dxa"/>
            <w:tcBorders>
              <w:top w:val="nil"/>
              <w:left w:val="nil"/>
              <w:bottom w:val="nil"/>
              <w:right w:val="nil"/>
            </w:tcBorders>
            <w:shd w:val="clear" w:color="auto" w:fill="FFFFFF"/>
            <w:tcMar>
              <w:left w:w="67" w:type="dxa"/>
              <w:right w:w="67" w:type="dxa"/>
            </w:tcMar>
            <w:vAlign w:val="center"/>
          </w:tcPr>
          <w:p w14:paraId="1CCAD7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2.5531</w:t>
            </w:r>
          </w:p>
        </w:tc>
        <w:tc>
          <w:tcPr>
            <w:tcW w:w="1134" w:type="dxa"/>
            <w:tcBorders>
              <w:top w:val="nil"/>
              <w:left w:val="nil"/>
              <w:bottom w:val="nil"/>
              <w:right w:val="nil"/>
            </w:tcBorders>
            <w:shd w:val="clear" w:color="auto" w:fill="FFFFFF"/>
            <w:tcMar>
              <w:left w:w="67" w:type="dxa"/>
              <w:right w:w="67" w:type="dxa"/>
            </w:tcMar>
            <w:vAlign w:val="center"/>
          </w:tcPr>
          <w:p w14:paraId="2CCB588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00FDEF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E8FB0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056917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117FFB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10BA0C0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C6BA4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0.0107</w:t>
            </w:r>
          </w:p>
        </w:tc>
        <w:tc>
          <w:tcPr>
            <w:tcW w:w="1134" w:type="dxa"/>
            <w:tcBorders>
              <w:top w:val="nil"/>
              <w:left w:val="nil"/>
              <w:bottom w:val="nil"/>
              <w:right w:val="nil"/>
            </w:tcBorders>
            <w:shd w:val="clear" w:color="auto" w:fill="FFFFFF"/>
            <w:tcMar>
              <w:left w:w="67" w:type="dxa"/>
              <w:right w:w="67" w:type="dxa"/>
            </w:tcMar>
            <w:vAlign w:val="center"/>
          </w:tcPr>
          <w:p w14:paraId="5895D7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0.0090</w:t>
            </w:r>
          </w:p>
        </w:tc>
        <w:tc>
          <w:tcPr>
            <w:tcW w:w="1134" w:type="dxa"/>
            <w:tcBorders>
              <w:top w:val="nil"/>
              <w:left w:val="nil"/>
              <w:bottom w:val="nil"/>
              <w:right w:val="nil"/>
            </w:tcBorders>
            <w:shd w:val="clear" w:color="auto" w:fill="FFFFFF"/>
            <w:tcMar>
              <w:left w:w="67" w:type="dxa"/>
              <w:right w:w="67" w:type="dxa"/>
            </w:tcMar>
            <w:vAlign w:val="center"/>
          </w:tcPr>
          <w:p w14:paraId="076B24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1.0107</w:t>
            </w:r>
          </w:p>
        </w:tc>
        <w:tc>
          <w:tcPr>
            <w:tcW w:w="1134" w:type="dxa"/>
            <w:tcBorders>
              <w:top w:val="nil"/>
              <w:left w:val="nil"/>
              <w:bottom w:val="nil"/>
              <w:right w:val="nil"/>
            </w:tcBorders>
            <w:shd w:val="clear" w:color="auto" w:fill="FFFFFF"/>
            <w:tcMar>
              <w:left w:w="67" w:type="dxa"/>
              <w:right w:w="67" w:type="dxa"/>
            </w:tcMar>
            <w:vAlign w:val="center"/>
          </w:tcPr>
          <w:p w14:paraId="34585A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0.9905</w:t>
            </w:r>
          </w:p>
        </w:tc>
        <w:tc>
          <w:tcPr>
            <w:tcW w:w="1134" w:type="dxa"/>
            <w:tcBorders>
              <w:top w:val="nil"/>
              <w:left w:val="nil"/>
              <w:bottom w:val="nil"/>
              <w:right w:val="nil"/>
            </w:tcBorders>
            <w:shd w:val="clear" w:color="auto" w:fill="FFFFFF"/>
            <w:tcMar>
              <w:left w:w="67" w:type="dxa"/>
              <w:right w:w="67" w:type="dxa"/>
            </w:tcMar>
            <w:vAlign w:val="center"/>
          </w:tcPr>
          <w:p w14:paraId="3C9F11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1.0314</w:t>
            </w:r>
          </w:p>
        </w:tc>
        <w:tc>
          <w:tcPr>
            <w:tcW w:w="1134" w:type="dxa"/>
            <w:tcBorders>
              <w:top w:val="nil"/>
              <w:left w:val="nil"/>
              <w:bottom w:val="nil"/>
              <w:right w:val="nil"/>
            </w:tcBorders>
            <w:shd w:val="clear" w:color="auto" w:fill="FFFFFF"/>
            <w:tcMar>
              <w:left w:w="67" w:type="dxa"/>
              <w:right w:w="67" w:type="dxa"/>
            </w:tcMar>
            <w:vAlign w:val="center"/>
          </w:tcPr>
          <w:p w14:paraId="3D79F3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1.40</w:t>
            </w:r>
          </w:p>
        </w:tc>
        <w:tc>
          <w:tcPr>
            <w:tcW w:w="567" w:type="dxa"/>
            <w:tcBorders>
              <w:top w:val="nil"/>
              <w:left w:val="nil"/>
              <w:bottom w:val="nil"/>
              <w:right w:val="nil"/>
            </w:tcBorders>
            <w:shd w:val="clear" w:color="auto" w:fill="FFFFFF"/>
            <w:tcMar>
              <w:left w:w="67" w:type="dxa"/>
              <w:right w:w="67" w:type="dxa"/>
            </w:tcMar>
            <w:vAlign w:val="center"/>
          </w:tcPr>
          <w:p w14:paraId="0A8B10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1763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0.2371</w:t>
            </w:r>
          </w:p>
        </w:tc>
      </w:tr>
      <w:tr w:rsidR="00B77EA3" w:rsidRPr="0082484A" w14:paraId="186E8B1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416C0D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27EFFC2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CAA13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0.0243</w:t>
            </w:r>
          </w:p>
        </w:tc>
        <w:tc>
          <w:tcPr>
            <w:tcW w:w="1134" w:type="dxa"/>
            <w:tcBorders>
              <w:top w:val="nil"/>
              <w:left w:val="nil"/>
              <w:bottom w:val="nil"/>
              <w:right w:val="nil"/>
            </w:tcBorders>
            <w:shd w:val="clear" w:color="auto" w:fill="FFFFFF"/>
            <w:tcMar>
              <w:left w:w="67" w:type="dxa"/>
              <w:right w:w="67" w:type="dxa"/>
            </w:tcMar>
            <w:vAlign w:val="center"/>
          </w:tcPr>
          <w:p w14:paraId="63C2B3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0.0137</w:t>
            </w:r>
          </w:p>
        </w:tc>
        <w:tc>
          <w:tcPr>
            <w:tcW w:w="1134" w:type="dxa"/>
            <w:tcBorders>
              <w:top w:val="nil"/>
              <w:left w:val="nil"/>
              <w:bottom w:val="nil"/>
              <w:right w:val="nil"/>
            </w:tcBorders>
            <w:shd w:val="clear" w:color="auto" w:fill="FFFFFF"/>
            <w:tcMar>
              <w:left w:w="67" w:type="dxa"/>
              <w:right w:w="67" w:type="dxa"/>
            </w:tcMar>
            <w:vAlign w:val="center"/>
          </w:tcPr>
          <w:p w14:paraId="3F6F66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1.0246</w:t>
            </w:r>
          </w:p>
        </w:tc>
        <w:tc>
          <w:tcPr>
            <w:tcW w:w="1134" w:type="dxa"/>
            <w:tcBorders>
              <w:top w:val="nil"/>
              <w:left w:val="nil"/>
              <w:bottom w:val="nil"/>
              <w:right w:val="nil"/>
            </w:tcBorders>
            <w:shd w:val="clear" w:color="auto" w:fill="FFFFFF"/>
            <w:tcMar>
              <w:left w:w="67" w:type="dxa"/>
              <w:right w:w="67" w:type="dxa"/>
            </w:tcMar>
            <w:vAlign w:val="center"/>
          </w:tcPr>
          <w:p w14:paraId="2FC083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0.9936</w:t>
            </w:r>
          </w:p>
        </w:tc>
        <w:tc>
          <w:tcPr>
            <w:tcW w:w="1134" w:type="dxa"/>
            <w:tcBorders>
              <w:top w:val="nil"/>
              <w:left w:val="nil"/>
              <w:bottom w:val="nil"/>
              <w:right w:val="nil"/>
            </w:tcBorders>
            <w:shd w:val="clear" w:color="auto" w:fill="FFFFFF"/>
            <w:tcMar>
              <w:left w:w="67" w:type="dxa"/>
              <w:right w:w="67" w:type="dxa"/>
            </w:tcMar>
            <w:vAlign w:val="center"/>
          </w:tcPr>
          <w:p w14:paraId="079214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1.0567</w:t>
            </w:r>
          </w:p>
        </w:tc>
        <w:tc>
          <w:tcPr>
            <w:tcW w:w="1134" w:type="dxa"/>
            <w:tcBorders>
              <w:top w:val="nil"/>
              <w:left w:val="nil"/>
              <w:bottom w:val="nil"/>
              <w:right w:val="nil"/>
            </w:tcBorders>
            <w:shd w:val="clear" w:color="auto" w:fill="FFFFFF"/>
            <w:tcMar>
              <w:left w:w="67" w:type="dxa"/>
              <w:right w:w="67" w:type="dxa"/>
            </w:tcMar>
            <w:vAlign w:val="center"/>
          </w:tcPr>
          <w:p w14:paraId="0A3136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3.14</w:t>
            </w:r>
          </w:p>
        </w:tc>
        <w:tc>
          <w:tcPr>
            <w:tcW w:w="567" w:type="dxa"/>
            <w:tcBorders>
              <w:top w:val="nil"/>
              <w:left w:val="nil"/>
              <w:bottom w:val="nil"/>
              <w:right w:val="nil"/>
            </w:tcBorders>
            <w:shd w:val="clear" w:color="auto" w:fill="FFFFFF"/>
            <w:tcMar>
              <w:left w:w="67" w:type="dxa"/>
              <w:right w:w="67" w:type="dxa"/>
            </w:tcMar>
            <w:vAlign w:val="center"/>
          </w:tcPr>
          <w:p w14:paraId="1CF26E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B975A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0.0763</w:t>
            </w:r>
          </w:p>
        </w:tc>
      </w:tr>
      <w:tr w:rsidR="00B77EA3" w:rsidRPr="0082484A" w14:paraId="631D0F0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3DAC785"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Overall QOF score</w:t>
            </w:r>
          </w:p>
        </w:tc>
        <w:tc>
          <w:tcPr>
            <w:tcW w:w="3969" w:type="dxa"/>
            <w:tcBorders>
              <w:top w:val="nil"/>
              <w:left w:val="nil"/>
              <w:bottom w:val="nil"/>
              <w:right w:val="nil"/>
            </w:tcBorders>
            <w:shd w:val="clear" w:color="auto" w:fill="FFFFFF"/>
            <w:tcMar>
              <w:left w:w="67" w:type="dxa"/>
              <w:right w:w="67" w:type="dxa"/>
            </w:tcMar>
            <w:vAlign w:val="center"/>
          </w:tcPr>
          <w:p w14:paraId="5B25352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D75BC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-0.0015</w:t>
            </w:r>
          </w:p>
        </w:tc>
        <w:tc>
          <w:tcPr>
            <w:tcW w:w="1134" w:type="dxa"/>
            <w:tcBorders>
              <w:top w:val="nil"/>
              <w:left w:val="nil"/>
              <w:bottom w:val="nil"/>
              <w:right w:val="nil"/>
            </w:tcBorders>
            <w:shd w:val="clear" w:color="auto" w:fill="FFFFFF"/>
            <w:tcMar>
              <w:left w:w="67" w:type="dxa"/>
              <w:right w:w="67" w:type="dxa"/>
            </w:tcMar>
            <w:vAlign w:val="center"/>
          </w:tcPr>
          <w:p w14:paraId="68CCE9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182C17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0.9985</w:t>
            </w:r>
          </w:p>
        </w:tc>
        <w:tc>
          <w:tcPr>
            <w:tcW w:w="1134" w:type="dxa"/>
            <w:tcBorders>
              <w:top w:val="nil"/>
              <w:left w:val="nil"/>
              <w:bottom w:val="nil"/>
              <w:right w:val="nil"/>
            </w:tcBorders>
            <w:shd w:val="clear" w:color="auto" w:fill="FFFFFF"/>
            <w:tcMar>
              <w:left w:w="67" w:type="dxa"/>
              <w:right w:w="67" w:type="dxa"/>
            </w:tcMar>
            <w:vAlign w:val="center"/>
          </w:tcPr>
          <w:p w14:paraId="6E8BFB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0.9902</w:t>
            </w:r>
          </w:p>
        </w:tc>
        <w:tc>
          <w:tcPr>
            <w:tcW w:w="1134" w:type="dxa"/>
            <w:tcBorders>
              <w:top w:val="nil"/>
              <w:left w:val="nil"/>
              <w:bottom w:val="nil"/>
              <w:right w:val="nil"/>
            </w:tcBorders>
            <w:shd w:val="clear" w:color="auto" w:fill="FFFFFF"/>
            <w:tcMar>
              <w:left w:w="67" w:type="dxa"/>
              <w:right w:w="67" w:type="dxa"/>
            </w:tcMar>
            <w:vAlign w:val="center"/>
          </w:tcPr>
          <w:p w14:paraId="0B4AB8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1.0067</w:t>
            </w:r>
          </w:p>
        </w:tc>
        <w:tc>
          <w:tcPr>
            <w:tcW w:w="1134" w:type="dxa"/>
            <w:tcBorders>
              <w:top w:val="nil"/>
              <w:left w:val="nil"/>
              <w:bottom w:val="nil"/>
              <w:right w:val="nil"/>
            </w:tcBorders>
            <w:shd w:val="clear" w:color="auto" w:fill="FFFFFF"/>
            <w:tcMar>
              <w:left w:w="67" w:type="dxa"/>
              <w:right w:w="67" w:type="dxa"/>
            </w:tcMar>
            <w:vAlign w:val="center"/>
          </w:tcPr>
          <w:p w14:paraId="4C972D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5EB0C2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2D18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0.6748</w:t>
            </w:r>
          </w:p>
        </w:tc>
      </w:tr>
      <w:tr w:rsidR="00B77EA3" w:rsidRPr="0082484A" w14:paraId="6C7CCB02"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CD6F707"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DCFC62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6F25E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B3074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0.0827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D009A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0.9690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20F0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0.8050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9A52A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1.1664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0551C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C4180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7F491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0.7033</w:t>
            </w:r>
          </w:p>
        </w:tc>
      </w:tr>
    </w:tbl>
    <w:p w14:paraId="0A84EA97" w14:textId="77777777" w:rsidR="00B77EA3" w:rsidRPr="0082484A" w:rsidRDefault="00B77EA3" w:rsidP="00B77EA3">
      <w:pPr>
        <w:spacing w:before="0" w:after="160" w:line="259" w:lineRule="auto"/>
        <w:rPr>
          <w:sz w:val="22"/>
          <w:szCs w:val="22"/>
        </w:rPr>
      </w:pPr>
      <w:r w:rsidRPr="0082484A">
        <w:rPr>
          <w:sz w:val="22"/>
          <w:szCs w:val="22"/>
        </w:rPr>
        <w:t xml:space="preserve">The estimated number needed to treat for one eligible patient to have their blood pressure measured in the previous 12 months is -112 </w:t>
      </w:r>
      <w:r w:rsidRPr="0082484A">
        <w:rPr>
          <w:sz w:val="22"/>
          <w:szCs w:val="22"/>
        </w:rPr>
        <w:br w:type="page"/>
      </w:r>
    </w:p>
    <w:p w14:paraId="282854D6" w14:textId="5EEAA718" w:rsidR="00B77EA3" w:rsidRPr="0082484A" w:rsidRDefault="00B77EA3" w:rsidP="00B77EA3">
      <w:pPr>
        <w:spacing w:before="0" w:line="240" w:lineRule="auto"/>
        <w:rPr>
          <w:bCs/>
          <w:sz w:val="22"/>
          <w:szCs w:val="22"/>
        </w:rPr>
      </w:pPr>
      <w:bookmarkStart w:id="173" w:name="_Ref502917884"/>
      <w:bookmarkStart w:id="174" w:name="_Toc8728121"/>
      <w:bookmarkStart w:id="175" w:name="_Toc19526776"/>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47</w:t>
      </w:r>
      <w:r w:rsidRPr="0082484A">
        <w:rPr>
          <w:bCs/>
          <w:noProof/>
          <w:sz w:val="22"/>
          <w:szCs w:val="22"/>
        </w:rPr>
        <w:fldChar w:fldCharType="end"/>
      </w:r>
      <w:bookmarkEnd w:id="173"/>
      <w:r w:rsidRPr="0082484A">
        <w:rPr>
          <w:bCs/>
          <w:sz w:val="22"/>
          <w:szCs w:val="22"/>
        </w:rPr>
        <w:t>: Secondary outcome for Trial 2: The proportion of men with atrial fibrillation and a CHA</w:t>
      </w:r>
      <w:r w:rsidRPr="0082484A">
        <w:rPr>
          <w:bCs/>
          <w:sz w:val="22"/>
          <w:szCs w:val="22"/>
          <w:vertAlign w:val="subscript"/>
        </w:rPr>
        <w:t>2</w:t>
      </w:r>
      <w:r w:rsidRPr="0082484A">
        <w:rPr>
          <w:bCs/>
          <w:sz w:val="22"/>
          <w:szCs w:val="22"/>
        </w:rPr>
        <w:t>DS</w:t>
      </w:r>
      <w:r w:rsidRPr="0082484A">
        <w:rPr>
          <w:bCs/>
          <w:sz w:val="22"/>
          <w:szCs w:val="22"/>
          <w:vertAlign w:val="subscript"/>
        </w:rPr>
        <w:t>2</w:t>
      </w:r>
      <w:r w:rsidRPr="0082484A">
        <w:rPr>
          <w:bCs/>
          <w:sz w:val="22"/>
          <w:szCs w:val="22"/>
        </w:rPr>
        <w:t>-VASc score of 1 prescribed anticoagulation therapy (WP4A)</w:t>
      </w:r>
      <w:bookmarkEnd w:id="174"/>
      <w:bookmarkEnd w:id="175"/>
    </w:p>
    <w:tbl>
      <w:tblPr>
        <w:tblW w:w="15705" w:type="dxa"/>
        <w:jc w:val="center"/>
        <w:tblLayout w:type="fixed"/>
        <w:tblCellMar>
          <w:left w:w="0" w:type="dxa"/>
          <w:right w:w="0" w:type="dxa"/>
        </w:tblCellMar>
        <w:tblLook w:val="0000" w:firstRow="0" w:lastRow="0" w:firstColumn="0" w:lastColumn="0" w:noHBand="0" w:noVBand="0"/>
      </w:tblPr>
      <w:tblGrid>
        <w:gridCol w:w="3118"/>
        <w:gridCol w:w="4082"/>
        <w:gridCol w:w="1134"/>
        <w:gridCol w:w="1134"/>
        <w:gridCol w:w="1134"/>
        <w:gridCol w:w="1134"/>
        <w:gridCol w:w="1134"/>
        <w:gridCol w:w="1134"/>
        <w:gridCol w:w="567"/>
        <w:gridCol w:w="1134"/>
      </w:tblGrid>
      <w:tr w:rsidR="00B77EA3" w:rsidRPr="0082484A" w14:paraId="6D8F6A96"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2E4B4F23"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408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A27D0CD"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4820F3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C8E29B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4E3139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672837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229FAE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8BD3E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4DFAA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496859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387247D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1F8E4F2"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4082" w:type="dxa"/>
            <w:tcBorders>
              <w:top w:val="nil"/>
              <w:left w:val="nil"/>
              <w:bottom w:val="nil"/>
              <w:right w:val="nil"/>
            </w:tcBorders>
            <w:shd w:val="clear" w:color="auto" w:fill="FFFFFF"/>
            <w:tcMar>
              <w:left w:w="67" w:type="dxa"/>
              <w:right w:w="67" w:type="dxa"/>
            </w:tcMar>
            <w:vAlign w:val="center"/>
          </w:tcPr>
          <w:p w14:paraId="3473D37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5A84FF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-0.3973</w:t>
            </w:r>
          </w:p>
        </w:tc>
        <w:tc>
          <w:tcPr>
            <w:tcW w:w="1134" w:type="dxa"/>
            <w:tcBorders>
              <w:top w:val="nil"/>
              <w:left w:val="nil"/>
              <w:bottom w:val="nil"/>
              <w:right w:val="nil"/>
            </w:tcBorders>
            <w:shd w:val="clear" w:color="auto" w:fill="FFFFFF"/>
            <w:tcMar>
              <w:left w:w="67" w:type="dxa"/>
              <w:right w:w="67" w:type="dxa"/>
            </w:tcMar>
            <w:vAlign w:val="center"/>
          </w:tcPr>
          <w:p w14:paraId="3B38BE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0.2663</w:t>
            </w:r>
          </w:p>
        </w:tc>
        <w:tc>
          <w:tcPr>
            <w:tcW w:w="1134" w:type="dxa"/>
            <w:tcBorders>
              <w:top w:val="nil"/>
              <w:left w:val="nil"/>
              <w:bottom w:val="nil"/>
              <w:right w:val="nil"/>
            </w:tcBorders>
            <w:shd w:val="clear" w:color="auto" w:fill="FFFFFF"/>
            <w:tcMar>
              <w:left w:w="67" w:type="dxa"/>
              <w:right w:w="67" w:type="dxa"/>
            </w:tcMar>
            <w:vAlign w:val="center"/>
          </w:tcPr>
          <w:p w14:paraId="0AF42A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0.6721</w:t>
            </w:r>
          </w:p>
        </w:tc>
        <w:tc>
          <w:tcPr>
            <w:tcW w:w="1134" w:type="dxa"/>
            <w:tcBorders>
              <w:top w:val="nil"/>
              <w:left w:val="nil"/>
              <w:bottom w:val="nil"/>
              <w:right w:val="nil"/>
            </w:tcBorders>
            <w:shd w:val="clear" w:color="auto" w:fill="FFFFFF"/>
            <w:tcMar>
              <w:left w:w="67" w:type="dxa"/>
              <w:right w:w="67" w:type="dxa"/>
            </w:tcMar>
            <w:vAlign w:val="center"/>
          </w:tcPr>
          <w:p w14:paraId="540D73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0.3694</w:t>
            </w:r>
          </w:p>
        </w:tc>
        <w:tc>
          <w:tcPr>
            <w:tcW w:w="1134" w:type="dxa"/>
            <w:tcBorders>
              <w:top w:val="nil"/>
              <w:left w:val="nil"/>
              <w:bottom w:val="nil"/>
              <w:right w:val="nil"/>
            </w:tcBorders>
            <w:shd w:val="clear" w:color="auto" w:fill="FFFFFF"/>
            <w:tcMar>
              <w:left w:w="67" w:type="dxa"/>
              <w:right w:w="67" w:type="dxa"/>
            </w:tcMar>
            <w:vAlign w:val="center"/>
          </w:tcPr>
          <w:p w14:paraId="2308EA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1.2229</w:t>
            </w:r>
          </w:p>
        </w:tc>
        <w:tc>
          <w:tcPr>
            <w:tcW w:w="1134" w:type="dxa"/>
            <w:tcBorders>
              <w:top w:val="nil"/>
              <w:left w:val="nil"/>
              <w:bottom w:val="nil"/>
              <w:right w:val="nil"/>
            </w:tcBorders>
            <w:shd w:val="clear" w:color="auto" w:fill="FFFFFF"/>
            <w:tcMar>
              <w:left w:w="67" w:type="dxa"/>
              <w:right w:w="67" w:type="dxa"/>
            </w:tcMar>
            <w:vAlign w:val="center"/>
          </w:tcPr>
          <w:p w14:paraId="281835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2.23</w:t>
            </w:r>
          </w:p>
        </w:tc>
        <w:tc>
          <w:tcPr>
            <w:tcW w:w="567" w:type="dxa"/>
            <w:tcBorders>
              <w:top w:val="nil"/>
              <w:left w:val="nil"/>
              <w:bottom w:val="nil"/>
              <w:right w:val="nil"/>
            </w:tcBorders>
            <w:shd w:val="clear" w:color="auto" w:fill="FFFFFF"/>
            <w:tcMar>
              <w:left w:w="67" w:type="dxa"/>
              <w:right w:w="67" w:type="dxa"/>
            </w:tcMar>
            <w:vAlign w:val="center"/>
          </w:tcPr>
          <w:p w14:paraId="43D0AC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6F00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0.1363</w:t>
            </w:r>
          </w:p>
        </w:tc>
      </w:tr>
      <w:tr w:rsidR="00B77EA3" w:rsidRPr="0082484A" w14:paraId="0C3DA4B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33B2F85"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4082" w:type="dxa"/>
            <w:tcBorders>
              <w:top w:val="nil"/>
              <w:left w:val="nil"/>
              <w:bottom w:val="nil"/>
              <w:right w:val="nil"/>
            </w:tcBorders>
            <w:shd w:val="clear" w:color="auto" w:fill="FFFFFF"/>
            <w:tcMar>
              <w:left w:w="67" w:type="dxa"/>
              <w:right w:w="67" w:type="dxa"/>
            </w:tcMar>
            <w:vAlign w:val="center"/>
          </w:tcPr>
          <w:p w14:paraId="609AB31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D484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0.0541</w:t>
            </w:r>
          </w:p>
        </w:tc>
        <w:tc>
          <w:tcPr>
            <w:tcW w:w="1134" w:type="dxa"/>
            <w:tcBorders>
              <w:top w:val="nil"/>
              <w:left w:val="nil"/>
              <w:bottom w:val="nil"/>
              <w:right w:val="nil"/>
            </w:tcBorders>
            <w:shd w:val="clear" w:color="auto" w:fill="FFFFFF"/>
            <w:tcMar>
              <w:left w:w="67" w:type="dxa"/>
              <w:right w:w="67" w:type="dxa"/>
            </w:tcMar>
            <w:vAlign w:val="center"/>
          </w:tcPr>
          <w:p w14:paraId="58E7DB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0.0114</w:t>
            </w:r>
          </w:p>
        </w:tc>
        <w:tc>
          <w:tcPr>
            <w:tcW w:w="1134" w:type="dxa"/>
            <w:tcBorders>
              <w:top w:val="nil"/>
              <w:left w:val="nil"/>
              <w:bottom w:val="nil"/>
              <w:right w:val="nil"/>
            </w:tcBorders>
            <w:shd w:val="clear" w:color="auto" w:fill="FFFFFF"/>
            <w:tcMar>
              <w:left w:w="67" w:type="dxa"/>
              <w:right w:w="67" w:type="dxa"/>
            </w:tcMar>
            <w:vAlign w:val="center"/>
          </w:tcPr>
          <w:p w14:paraId="51E726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1.0556</w:t>
            </w:r>
          </w:p>
        </w:tc>
        <w:tc>
          <w:tcPr>
            <w:tcW w:w="1134" w:type="dxa"/>
            <w:tcBorders>
              <w:top w:val="nil"/>
              <w:left w:val="nil"/>
              <w:bottom w:val="nil"/>
              <w:right w:val="nil"/>
            </w:tcBorders>
            <w:shd w:val="clear" w:color="auto" w:fill="FFFFFF"/>
            <w:tcMar>
              <w:left w:w="67" w:type="dxa"/>
              <w:right w:w="67" w:type="dxa"/>
            </w:tcMar>
            <w:vAlign w:val="center"/>
          </w:tcPr>
          <w:p w14:paraId="2BCC3B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1.0287</w:t>
            </w:r>
          </w:p>
        </w:tc>
        <w:tc>
          <w:tcPr>
            <w:tcW w:w="1134" w:type="dxa"/>
            <w:tcBorders>
              <w:top w:val="nil"/>
              <w:left w:val="nil"/>
              <w:bottom w:val="nil"/>
              <w:right w:val="nil"/>
            </w:tcBorders>
            <w:shd w:val="clear" w:color="auto" w:fill="FFFFFF"/>
            <w:tcMar>
              <w:left w:w="67" w:type="dxa"/>
              <w:right w:w="67" w:type="dxa"/>
            </w:tcMar>
            <w:vAlign w:val="center"/>
          </w:tcPr>
          <w:p w14:paraId="552466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1.0831</w:t>
            </w:r>
          </w:p>
        </w:tc>
        <w:tc>
          <w:tcPr>
            <w:tcW w:w="1134" w:type="dxa"/>
            <w:tcBorders>
              <w:top w:val="nil"/>
              <w:left w:val="nil"/>
              <w:bottom w:val="nil"/>
              <w:right w:val="nil"/>
            </w:tcBorders>
            <w:shd w:val="clear" w:color="auto" w:fill="FFFFFF"/>
            <w:tcMar>
              <w:left w:w="67" w:type="dxa"/>
              <w:right w:w="67" w:type="dxa"/>
            </w:tcMar>
            <w:vAlign w:val="center"/>
          </w:tcPr>
          <w:p w14:paraId="706D5C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22.30</w:t>
            </w:r>
          </w:p>
        </w:tc>
        <w:tc>
          <w:tcPr>
            <w:tcW w:w="567" w:type="dxa"/>
            <w:tcBorders>
              <w:top w:val="nil"/>
              <w:left w:val="nil"/>
              <w:bottom w:val="nil"/>
              <w:right w:val="nil"/>
            </w:tcBorders>
            <w:shd w:val="clear" w:color="auto" w:fill="FFFFFF"/>
            <w:tcMar>
              <w:left w:w="67" w:type="dxa"/>
              <w:right w:w="67" w:type="dxa"/>
            </w:tcMar>
            <w:vAlign w:val="center"/>
          </w:tcPr>
          <w:p w14:paraId="2E831D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71C1A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0401B73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3E58DD9"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4082" w:type="dxa"/>
            <w:tcBorders>
              <w:top w:val="nil"/>
              <w:left w:val="nil"/>
              <w:bottom w:val="nil"/>
              <w:right w:val="nil"/>
            </w:tcBorders>
            <w:shd w:val="clear" w:color="auto" w:fill="FFFFFF"/>
            <w:tcMar>
              <w:left w:w="67" w:type="dxa"/>
              <w:right w:w="67" w:type="dxa"/>
            </w:tcMar>
            <w:vAlign w:val="center"/>
          </w:tcPr>
          <w:p w14:paraId="087F979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1E793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-0.0064</w:t>
            </w:r>
          </w:p>
        </w:tc>
        <w:tc>
          <w:tcPr>
            <w:tcW w:w="1134" w:type="dxa"/>
            <w:tcBorders>
              <w:top w:val="nil"/>
              <w:left w:val="nil"/>
              <w:bottom w:val="nil"/>
              <w:right w:val="nil"/>
            </w:tcBorders>
            <w:shd w:val="clear" w:color="auto" w:fill="FFFFFF"/>
            <w:tcMar>
              <w:left w:w="67" w:type="dxa"/>
              <w:right w:w="67" w:type="dxa"/>
            </w:tcMar>
            <w:vAlign w:val="center"/>
          </w:tcPr>
          <w:p w14:paraId="4C0A35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3EA141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0.9937</w:t>
            </w:r>
          </w:p>
        </w:tc>
        <w:tc>
          <w:tcPr>
            <w:tcW w:w="1134" w:type="dxa"/>
            <w:tcBorders>
              <w:top w:val="nil"/>
              <w:left w:val="nil"/>
              <w:bottom w:val="nil"/>
              <w:right w:val="nil"/>
            </w:tcBorders>
            <w:shd w:val="clear" w:color="auto" w:fill="FFFFFF"/>
            <w:tcMar>
              <w:left w:w="67" w:type="dxa"/>
              <w:right w:w="67" w:type="dxa"/>
            </w:tcMar>
            <w:vAlign w:val="center"/>
          </w:tcPr>
          <w:p w14:paraId="4B647E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0.9854</w:t>
            </w:r>
          </w:p>
        </w:tc>
        <w:tc>
          <w:tcPr>
            <w:tcW w:w="1134" w:type="dxa"/>
            <w:tcBorders>
              <w:top w:val="nil"/>
              <w:left w:val="nil"/>
              <w:bottom w:val="nil"/>
              <w:right w:val="nil"/>
            </w:tcBorders>
            <w:shd w:val="clear" w:color="auto" w:fill="FFFFFF"/>
            <w:tcMar>
              <w:left w:w="67" w:type="dxa"/>
              <w:right w:w="67" w:type="dxa"/>
            </w:tcMar>
            <w:vAlign w:val="center"/>
          </w:tcPr>
          <w:p w14:paraId="695F6C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1.0020</w:t>
            </w:r>
          </w:p>
        </w:tc>
        <w:tc>
          <w:tcPr>
            <w:tcW w:w="1134" w:type="dxa"/>
            <w:tcBorders>
              <w:top w:val="nil"/>
              <w:left w:val="nil"/>
              <w:bottom w:val="nil"/>
              <w:right w:val="nil"/>
            </w:tcBorders>
            <w:shd w:val="clear" w:color="auto" w:fill="FFFFFF"/>
            <w:tcMar>
              <w:left w:w="67" w:type="dxa"/>
              <w:right w:w="67" w:type="dxa"/>
            </w:tcMar>
            <w:vAlign w:val="center"/>
          </w:tcPr>
          <w:p w14:paraId="0CCBD7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2.95</w:t>
            </w:r>
          </w:p>
        </w:tc>
        <w:tc>
          <w:tcPr>
            <w:tcW w:w="567" w:type="dxa"/>
            <w:tcBorders>
              <w:top w:val="nil"/>
              <w:left w:val="nil"/>
              <w:bottom w:val="nil"/>
              <w:right w:val="nil"/>
            </w:tcBorders>
            <w:shd w:val="clear" w:color="auto" w:fill="FFFFFF"/>
            <w:tcMar>
              <w:left w:w="67" w:type="dxa"/>
              <w:right w:w="67" w:type="dxa"/>
            </w:tcMar>
            <w:vAlign w:val="center"/>
          </w:tcPr>
          <w:p w14:paraId="032605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4B161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0.0867</w:t>
            </w:r>
          </w:p>
        </w:tc>
      </w:tr>
      <w:tr w:rsidR="00B77EA3" w:rsidRPr="0082484A" w14:paraId="4732DCE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0DD826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5CDFAA3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B90E3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0.5634</w:t>
            </w:r>
          </w:p>
        </w:tc>
        <w:tc>
          <w:tcPr>
            <w:tcW w:w="1134" w:type="dxa"/>
            <w:tcBorders>
              <w:top w:val="nil"/>
              <w:left w:val="nil"/>
              <w:bottom w:val="nil"/>
              <w:right w:val="nil"/>
            </w:tcBorders>
            <w:shd w:val="clear" w:color="auto" w:fill="FFFFFF"/>
            <w:tcMar>
              <w:left w:w="67" w:type="dxa"/>
              <w:right w:w="67" w:type="dxa"/>
            </w:tcMar>
            <w:vAlign w:val="center"/>
          </w:tcPr>
          <w:p w14:paraId="506D08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0.4918</w:t>
            </w:r>
          </w:p>
        </w:tc>
        <w:tc>
          <w:tcPr>
            <w:tcW w:w="1134" w:type="dxa"/>
            <w:tcBorders>
              <w:top w:val="nil"/>
              <w:left w:val="nil"/>
              <w:bottom w:val="nil"/>
              <w:right w:val="nil"/>
            </w:tcBorders>
            <w:shd w:val="clear" w:color="auto" w:fill="FFFFFF"/>
            <w:tcMar>
              <w:left w:w="67" w:type="dxa"/>
              <w:right w:w="67" w:type="dxa"/>
            </w:tcMar>
            <w:vAlign w:val="center"/>
          </w:tcPr>
          <w:p w14:paraId="01E9C0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1.7567</w:t>
            </w:r>
          </w:p>
        </w:tc>
        <w:tc>
          <w:tcPr>
            <w:tcW w:w="1134" w:type="dxa"/>
            <w:tcBorders>
              <w:top w:val="nil"/>
              <w:left w:val="nil"/>
              <w:bottom w:val="nil"/>
              <w:right w:val="nil"/>
            </w:tcBorders>
            <w:shd w:val="clear" w:color="auto" w:fill="FFFFFF"/>
            <w:tcMar>
              <w:left w:w="67" w:type="dxa"/>
              <w:right w:w="67" w:type="dxa"/>
            </w:tcMar>
            <w:vAlign w:val="center"/>
          </w:tcPr>
          <w:p w14:paraId="7F89D1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0.5816</w:t>
            </w:r>
          </w:p>
        </w:tc>
        <w:tc>
          <w:tcPr>
            <w:tcW w:w="1134" w:type="dxa"/>
            <w:tcBorders>
              <w:top w:val="nil"/>
              <w:left w:val="nil"/>
              <w:bottom w:val="nil"/>
              <w:right w:val="nil"/>
            </w:tcBorders>
            <w:shd w:val="clear" w:color="auto" w:fill="FFFFFF"/>
            <w:tcMar>
              <w:left w:w="67" w:type="dxa"/>
              <w:right w:w="67" w:type="dxa"/>
            </w:tcMar>
            <w:vAlign w:val="center"/>
          </w:tcPr>
          <w:p w14:paraId="653ACD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5.3059</w:t>
            </w:r>
          </w:p>
        </w:tc>
        <w:tc>
          <w:tcPr>
            <w:tcW w:w="1134" w:type="dxa"/>
            <w:tcBorders>
              <w:top w:val="nil"/>
              <w:left w:val="nil"/>
              <w:bottom w:val="nil"/>
              <w:right w:val="nil"/>
            </w:tcBorders>
            <w:shd w:val="clear" w:color="auto" w:fill="FFFFFF"/>
            <w:tcMar>
              <w:left w:w="67" w:type="dxa"/>
              <w:right w:w="67" w:type="dxa"/>
            </w:tcMar>
            <w:vAlign w:val="center"/>
          </w:tcPr>
          <w:p w14:paraId="1BDD11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w:t>
            </w:r>
          </w:p>
        </w:tc>
        <w:tc>
          <w:tcPr>
            <w:tcW w:w="567" w:type="dxa"/>
            <w:tcBorders>
              <w:top w:val="nil"/>
              <w:left w:val="nil"/>
              <w:bottom w:val="nil"/>
              <w:right w:val="nil"/>
            </w:tcBorders>
            <w:shd w:val="clear" w:color="auto" w:fill="FFFFFF"/>
            <w:tcMar>
              <w:left w:w="67" w:type="dxa"/>
              <w:right w:w="67" w:type="dxa"/>
            </w:tcMar>
            <w:vAlign w:val="center"/>
          </w:tcPr>
          <w:p w14:paraId="0AEAE9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1B81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0.4937</w:t>
            </w:r>
          </w:p>
        </w:tc>
      </w:tr>
      <w:tr w:rsidR="00B77EA3" w:rsidRPr="0082484A" w14:paraId="28142BC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550D26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08A4560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85A6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0.7151</w:t>
            </w:r>
          </w:p>
        </w:tc>
        <w:tc>
          <w:tcPr>
            <w:tcW w:w="1134" w:type="dxa"/>
            <w:tcBorders>
              <w:top w:val="nil"/>
              <w:left w:val="nil"/>
              <w:bottom w:val="nil"/>
              <w:right w:val="nil"/>
            </w:tcBorders>
            <w:shd w:val="clear" w:color="auto" w:fill="FFFFFF"/>
            <w:tcMar>
              <w:left w:w="67" w:type="dxa"/>
              <w:right w:w="67" w:type="dxa"/>
            </w:tcMar>
            <w:vAlign w:val="center"/>
          </w:tcPr>
          <w:p w14:paraId="5949F5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0.8097</w:t>
            </w:r>
          </w:p>
        </w:tc>
        <w:tc>
          <w:tcPr>
            <w:tcW w:w="1134" w:type="dxa"/>
            <w:tcBorders>
              <w:top w:val="nil"/>
              <w:left w:val="nil"/>
              <w:bottom w:val="nil"/>
              <w:right w:val="nil"/>
            </w:tcBorders>
            <w:shd w:val="clear" w:color="auto" w:fill="FFFFFF"/>
            <w:tcMar>
              <w:left w:w="67" w:type="dxa"/>
              <w:right w:w="67" w:type="dxa"/>
            </w:tcMar>
            <w:vAlign w:val="center"/>
          </w:tcPr>
          <w:p w14:paraId="0549B6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2.0443</w:t>
            </w:r>
          </w:p>
        </w:tc>
        <w:tc>
          <w:tcPr>
            <w:tcW w:w="1134" w:type="dxa"/>
            <w:tcBorders>
              <w:top w:val="nil"/>
              <w:left w:val="nil"/>
              <w:bottom w:val="nil"/>
              <w:right w:val="nil"/>
            </w:tcBorders>
            <w:shd w:val="clear" w:color="auto" w:fill="FFFFFF"/>
            <w:tcMar>
              <w:left w:w="67" w:type="dxa"/>
              <w:right w:w="67" w:type="dxa"/>
            </w:tcMar>
            <w:vAlign w:val="center"/>
          </w:tcPr>
          <w:p w14:paraId="77E0C1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0.3313</w:t>
            </w:r>
          </w:p>
        </w:tc>
        <w:tc>
          <w:tcPr>
            <w:tcW w:w="1134" w:type="dxa"/>
            <w:tcBorders>
              <w:top w:val="nil"/>
              <w:left w:val="nil"/>
              <w:bottom w:val="nil"/>
              <w:right w:val="nil"/>
            </w:tcBorders>
            <w:shd w:val="clear" w:color="auto" w:fill="FFFFFF"/>
            <w:tcMar>
              <w:left w:w="67" w:type="dxa"/>
              <w:right w:w="67" w:type="dxa"/>
            </w:tcMar>
            <w:vAlign w:val="center"/>
          </w:tcPr>
          <w:p w14:paraId="045D3A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12.6157</w:t>
            </w:r>
          </w:p>
        </w:tc>
        <w:tc>
          <w:tcPr>
            <w:tcW w:w="1134" w:type="dxa"/>
            <w:tcBorders>
              <w:top w:val="nil"/>
              <w:left w:val="nil"/>
              <w:bottom w:val="nil"/>
              <w:right w:val="nil"/>
            </w:tcBorders>
            <w:shd w:val="clear" w:color="auto" w:fill="FFFFFF"/>
            <w:tcMar>
              <w:left w:w="67" w:type="dxa"/>
              <w:right w:w="67" w:type="dxa"/>
            </w:tcMar>
            <w:vAlign w:val="center"/>
          </w:tcPr>
          <w:p w14:paraId="079BCB9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EDDA18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78A1A0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1C9B7D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8E0002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471CA7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C7198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1.0700</w:t>
            </w:r>
          </w:p>
        </w:tc>
        <w:tc>
          <w:tcPr>
            <w:tcW w:w="1134" w:type="dxa"/>
            <w:tcBorders>
              <w:top w:val="nil"/>
              <w:left w:val="nil"/>
              <w:bottom w:val="nil"/>
              <w:right w:val="nil"/>
            </w:tcBorders>
            <w:shd w:val="clear" w:color="auto" w:fill="FFFFFF"/>
            <w:tcMar>
              <w:left w:w="67" w:type="dxa"/>
              <w:right w:w="67" w:type="dxa"/>
            </w:tcMar>
            <w:vAlign w:val="center"/>
          </w:tcPr>
          <w:p w14:paraId="7CE1A8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0.5718</w:t>
            </w:r>
          </w:p>
        </w:tc>
        <w:tc>
          <w:tcPr>
            <w:tcW w:w="1134" w:type="dxa"/>
            <w:tcBorders>
              <w:top w:val="nil"/>
              <w:left w:val="nil"/>
              <w:bottom w:val="nil"/>
              <w:right w:val="nil"/>
            </w:tcBorders>
            <w:shd w:val="clear" w:color="auto" w:fill="FFFFFF"/>
            <w:tcMar>
              <w:left w:w="67" w:type="dxa"/>
              <w:right w:w="67" w:type="dxa"/>
            </w:tcMar>
            <w:vAlign w:val="center"/>
          </w:tcPr>
          <w:p w14:paraId="780233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2.9154</w:t>
            </w:r>
          </w:p>
        </w:tc>
        <w:tc>
          <w:tcPr>
            <w:tcW w:w="1134" w:type="dxa"/>
            <w:tcBorders>
              <w:top w:val="nil"/>
              <w:left w:val="nil"/>
              <w:bottom w:val="nil"/>
              <w:right w:val="nil"/>
            </w:tcBorders>
            <w:shd w:val="clear" w:color="auto" w:fill="FFFFFF"/>
            <w:tcMar>
              <w:left w:w="67" w:type="dxa"/>
              <w:right w:w="67" w:type="dxa"/>
            </w:tcMar>
            <w:vAlign w:val="center"/>
          </w:tcPr>
          <w:p w14:paraId="076EDE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0.8064</w:t>
            </w:r>
          </w:p>
        </w:tc>
        <w:tc>
          <w:tcPr>
            <w:tcW w:w="1134" w:type="dxa"/>
            <w:tcBorders>
              <w:top w:val="nil"/>
              <w:left w:val="nil"/>
              <w:bottom w:val="nil"/>
              <w:right w:val="nil"/>
            </w:tcBorders>
            <w:shd w:val="clear" w:color="auto" w:fill="FFFFFF"/>
            <w:tcMar>
              <w:left w:w="67" w:type="dxa"/>
              <w:right w:w="67" w:type="dxa"/>
            </w:tcMar>
            <w:vAlign w:val="center"/>
          </w:tcPr>
          <w:p w14:paraId="435263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10.5405</w:t>
            </w:r>
          </w:p>
        </w:tc>
        <w:tc>
          <w:tcPr>
            <w:tcW w:w="1134" w:type="dxa"/>
            <w:tcBorders>
              <w:top w:val="nil"/>
              <w:left w:val="nil"/>
              <w:bottom w:val="nil"/>
              <w:right w:val="nil"/>
            </w:tcBorders>
            <w:shd w:val="clear" w:color="auto" w:fill="FFFFFF"/>
            <w:tcMar>
              <w:left w:w="67" w:type="dxa"/>
              <w:right w:w="67" w:type="dxa"/>
            </w:tcMar>
            <w:vAlign w:val="center"/>
          </w:tcPr>
          <w:p w14:paraId="4ACA60D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0F1337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50AB5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9DA089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29DA1E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458A74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8164D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-0.0996</w:t>
            </w:r>
          </w:p>
        </w:tc>
        <w:tc>
          <w:tcPr>
            <w:tcW w:w="1134" w:type="dxa"/>
            <w:tcBorders>
              <w:top w:val="nil"/>
              <w:left w:val="nil"/>
              <w:bottom w:val="nil"/>
              <w:right w:val="nil"/>
            </w:tcBorders>
            <w:shd w:val="clear" w:color="auto" w:fill="FFFFFF"/>
            <w:tcMar>
              <w:left w:w="67" w:type="dxa"/>
              <w:right w:w="67" w:type="dxa"/>
            </w:tcMar>
            <w:vAlign w:val="center"/>
          </w:tcPr>
          <w:p w14:paraId="0AB920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0.5899</w:t>
            </w:r>
          </w:p>
        </w:tc>
        <w:tc>
          <w:tcPr>
            <w:tcW w:w="1134" w:type="dxa"/>
            <w:tcBorders>
              <w:top w:val="nil"/>
              <w:left w:val="nil"/>
              <w:bottom w:val="nil"/>
              <w:right w:val="nil"/>
            </w:tcBorders>
            <w:shd w:val="clear" w:color="auto" w:fill="FFFFFF"/>
            <w:tcMar>
              <w:left w:w="67" w:type="dxa"/>
              <w:right w:w="67" w:type="dxa"/>
            </w:tcMar>
            <w:vAlign w:val="center"/>
          </w:tcPr>
          <w:p w14:paraId="7B120B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0.9052</w:t>
            </w:r>
          </w:p>
        </w:tc>
        <w:tc>
          <w:tcPr>
            <w:tcW w:w="1134" w:type="dxa"/>
            <w:tcBorders>
              <w:top w:val="nil"/>
              <w:left w:val="nil"/>
              <w:bottom w:val="nil"/>
              <w:right w:val="nil"/>
            </w:tcBorders>
            <w:shd w:val="clear" w:color="auto" w:fill="FFFFFF"/>
            <w:tcMar>
              <w:left w:w="67" w:type="dxa"/>
              <w:right w:w="67" w:type="dxa"/>
            </w:tcMar>
            <w:vAlign w:val="center"/>
          </w:tcPr>
          <w:p w14:paraId="7E549B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0.2404</w:t>
            </w:r>
          </w:p>
        </w:tc>
        <w:tc>
          <w:tcPr>
            <w:tcW w:w="1134" w:type="dxa"/>
            <w:tcBorders>
              <w:top w:val="nil"/>
              <w:left w:val="nil"/>
              <w:bottom w:val="nil"/>
              <w:right w:val="nil"/>
            </w:tcBorders>
            <w:shd w:val="clear" w:color="auto" w:fill="FFFFFF"/>
            <w:tcMar>
              <w:left w:w="67" w:type="dxa"/>
              <w:right w:w="67" w:type="dxa"/>
            </w:tcMar>
            <w:vAlign w:val="center"/>
          </w:tcPr>
          <w:p w14:paraId="0EE79E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3.4085</w:t>
            </w:r>
          </w:p>
        </w:tc>
        <w:tc>
          <w:tcPr>
            <w:tcW w:w="1134" w:type="dxa"/>
            <w:tcBorders>
              <w:top w:val="nil"/>
              <w:left w:val="nil"/>
              <w:bottom w:val="nil"/>
              <w:right w:val="nil"/>
            </w:tcBorders>
            <w:shd w:val="clear" w:color="auto" w:fill="FFFFFF"/>
            <w:tcMar>
              <w:left w:w="67" w:type="dxa"/>
              <w:right w:w="67" w:type="dxa"/>
            </w:tcMar>
            <w:vAlign w:val="center"/>
          </w:tcPr>
          <w:p w14:paraId="66C6723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61820A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A8EEB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C48895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C877DB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4EEA38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20562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0.3753</w:t>
            </w:r>
          </w:p>
        </w:tc>
        <w:tc>
          <w:tcPr>
            <w:tcW w:w="1134" w:type="dxa"/>
            <w:tcBorders>
              <w:top w:val="nil"/>
              <w:left w:val="nil"/>
              <w:bottom w:val="nil"/>
              <w:right w:val="nil"/>
            </w:tcBorders>
            <w:shd w:val="clear" w:color="auto" w:fill="FFFFFF"/>
            <w:tcMar>
              <w:left w:w="67" w:type="dxa"/>
              <w:right w:w="67" w:type="dxa"/>
            </w:tcMar>
            <w:vAlign w:val="center"/>
          </w:tcPr>
          <w:p w14:paraId="43AACD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0.5504</w:t>
            </w:r>
          </w:p>
        </w:tc>
        <w:tc>
          <w:tcPr>
            <w:tcW w:w="1134" w:type="dxa"/>
            <w:tcBorders>
              <w:top w:val="nil"/>
              <w:left w:val="nil"/>
              <w:bottom w:val="nil"/>
              <w:right w:val="nil"/>
            </w:tcBorders>
            <w:shd w:val="clear" w:color="auto" w:fill="FFFFFF"/>
            <w:tcMar>
              <w:left w:w="67" w:type="dxa"/>
              <w:right w:w="67" w:type="dxa"/>
            </w:tcMar>
            <w:vAlign w:val="center"/>
          </w:tcPr>
          <w:p w14:paraId="0A9788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1.4555</w:t>
            </w:r>
          </w:p>
        </w:tc>
        <w:tc>
          <w:tcPr>
            <w:tcW w:w="1134" w:type="dxa"/>
            <w:tcBorders>
              <w:top w:val="nil"/>
              <w:left w:val="nil"/>
              <w:bottom w:val="nil"/>
              <w:right w:val="nil"/>
            </w:tcBorders>
            <w:shd w:val="clear" w:color="auto" w:fill="FFFFFF"/>
            <w:tcMar>
              <w:left w:w="67" w:type="dxa"/>
              <w:right w:w="67" w:type="dxa"/>
            </w:tcMar>
            <w:vAlign w:val="center"/>
          </w:tcPr>
          <w:p w14:paraId="725759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0.4225</w:t>
            </w:r>
          </w:p>
        </w:tc>
        <w:tc>
          <w:tcPr>
            <w:tcW w:w="1134" w:type="dxa"/>
            <w:tcBorders>
              <w:top w:val="nil"/>
              <w:left w:val="nil"/>
              <w:bottom w:val="nil"/>
              <w:right w:val="nil"/>
            </w:tcBorders>
            <w:shd w:val="clear" w:color="auto" w:fill="FFFFFF"/>
            <w:tcMar>
              <w:left w:w="67" w:type="dxa"/>
              <w:right w:w="67" w:type="dxa"/>
            </w:tcMar>
            <w:vAlign w:val="center"/>
          </w:tcPr>
          <w:p w14:paraId="1C1973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5.0145</w:t>
            </w:r>
          </w:p>
        </w:tc>
        <w:tc>
          <w:tcPr>
            <w:tcW w:w="1134" w:type="dxa"/>
            <w:tcBorders>
              <w:top w:val="nil"/>
              <w:left w:val="nil"/>
              <w:bottom w:val="nil"/>
              <w:right w:val="nil"/>
            </w:tcBorders>
            <w:shd w:val="clear" w:color="auto" w:fill="FFFFFF"/>
            <w:tcMar>
              <w:left w:w="67" w:type="dxa"/>
              <w:right w:w="67" w:type="dxa"/>
            </w:tcMar>
            <w:vAlign w:val="center"/>
          </w:tcPr>
          <w:p w14:paraId="1774EF1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C04B01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E3B2A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878E6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5CA2AB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7D6AE5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1EB07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0.7777</w:t>
            </w:r>
          </w:p>
        </w:tc>
        <w:tc>
          <w:tcPr>
            <w:tcW w:w="1134" w:type="dxa"/>
            <w:tcBorders>
              <w:top w:val="nil"/>
              <w:left w:val="nil"/>
              <w:bottom w:val="nil"/>
              <w:right w:val="nil"/>
            </w:tcBorders>
            <w:shd w:val="clear" w:color="auto" w:fill="FFFFFF"/>
            <w:tcMar>
              <w:left w:w="67" w:type="dxa"/>
              <w:right w:w="67" w:type="dxa"/>
            </w:tcMar>
            <w:vAlign w:val="center"/>
          </w:tcPr>
          <w:p w14:paraId="609E3A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0.4775</w:t>
            </w:r>
          </w:p>
        </w:tc>
        <w:tc>
          <w:tcPr>
            <w:tcW w:w="1134" w:type="dxa"/>
            <w:tcBorders>
              <w:top w:val="nil"/>
              <w:left w:val="nil"/>
              <w:bottom w:val="nil"/>
              <w:right w:val="nil"/>
            </w:tcBorders>
            <w:shd w:val="clear" w:color="auto" w:fill="FFFFFF"/>
            <w:tcMar>
              <w:left w:w="67" w:type="dxa"/>
              <w:right w:w="67" w:type="dxa"/>
            </w:tcMar>
            <w:vAlign w:val="center"/>
          </w:tcPr>
          <w:p w14:paraId="312C50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2.1765</w:t>
            </w:r>
          </w:p>
        </w:tc>
        <w:tc>
          <w:tcPr>
            <w:tcW w:w="1134" w:type="dxa"/>
            <w:tcBorders>
              <w:top w:val="nil"/>
              <w:left w:val="nil"/>
              <w:bottom w:val="nil"/>
              <w:right w:val="nil"/>
            </w:tcBorders>
            <w:shd w:val="clear" w:color="auto" w:fill="FFFFFF"/>
            <w:tcMar>
              <w:left w:w="67" w:type="dxa"/>
              <w:right w:w="67" w:type="dxa"/>
            </w:tcMar>
            <w:vAlign w:val="center"/>
          </w:tcPr>
          <w:p w14:paraId="0C29AB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0.7442</w:t>
            </w:r>
          </w:p>
        </w:tc>
        <w:tc>
          <w:tcPr>
            <w:tcW w:w="1134" w:type="dxa"/>
            <w:tcBorders>
              <w:top w:val="nil"/>
              <w:left w:val="nil"/>
              <w:bottom w:val="nil"/>
              <w:right w:val="nil"/>
            </w:tcBorders>
            <w:shd w:val="clear" w:color="auto" w:fill="FFFFFF"/>
            <w:tcMar>
              <w:left w:w="67" w:type="dxa"/>
              <w:right w:w="67" w:type="dxa"/>
            </w:tcMar>
            <w:vAlign w:val="center"/>
          </w:tcPr>
          <w:p w14:paraId="35A357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6.3657</w:t>
            </w:r>
          </w:p>
        </w:tc>
        <w:tc>
          <w:tcPr>
            <w:tcW w:w="1134" w:type="dxa"/>
            <w:tcBorders>
              <w:top w:val="nil"/>
              <w:left w:val="nil"/>
              <w:bottom w:val="nil"/>
              <w:right w:val="nil"/>
            </w:tcBorders>
            <w:shd w:val="clear" w:color="auto" w:fill="FFFFFF"/>
            <w:tcMar>
              <w:left w:w="67" w:type="dxa"/>
              <w:right w:w="67" w:type="dxa"/>
            </w:tcMar>
            <w:vAlign w:val="center"/>
          </w:tcPr>
          <w:p w14:paraId="5667A68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16D17C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35519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D02840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C6E037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4388D3F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33860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0.7451</w:t>
            </w:r>
          </w:p>
        </w:tc>
        <w:tc>
          <w:tcPr>
            <w:tcW w:w="1134" w:type="dxa"/>
            <w:tcBorders>
              <w:top w:val="nil"/>
              <w:left w:val="nil"/>
              <w:bottom w:val="nil"/>
              <w:right w:val="nil"/>
            </w:tcBorders>
            <w:shd w:val="clear" w:color="auto" w:fill="FFFFFF"/>
            <w:tcMar>
              <w:left w:w="67" w:type="dxa"/>
              <w:right w:w="67" w:type="dxa"/>
            </w:tcMar>
            <w:vAlign w:val="center"/>
          </w:tcPr>
          <w:p w14:paraId="54D645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0.4785</w:t>
            </w:r>
          </w:p>
        </w:tc>
        <w:tc>
          <w:tcPr>
            <w:tcW w:w="1134" w:type="dxa"/>
            <w:tcBorders>
              <w:top w:val="nil"/>
              <w:left w:val="nil"/>
              <w:bottom w:val="nil"/>
              <w:right w:val="nil"/>
            </w:tcBorders>
            <w:shd w:val="clear" w:color="auto" w:fill="FFFFFF"/>
            <w:tcMar>
              <w:left w:w="67" w:type="dxa"/>
              <w:right w:w="67" w:type="dxa"/>
            </w:tcMar>
            <w:vAlign w:val="center"/>
          </w:tcPr>
          <w:p w14:paraId="3B28A4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2.1065</w:t>
            </w:r>
          </w:p>
        </w:tc>
        <w:tc>
          <w:tcPr>
            <w:tcW w:w="1134" w:type="dxa"/>
            <w:tcBorders>
              <w:top w:val="nil"/>
              <w:left w:val="nil"/>
              <w:bottom w:val="nil"/>
              <w:right w:val="nil"/>
            </w:tcBorders>
            <w:shd w:val="clear" w:color="auto" w:fill="FFFFFF"/>
            <w:tcMar>
              <w:left w:w="67" w:type="dxa"/>
              <w:right w:w="67" w:type="dxa"/>
            </w:tcMar>
            <w:vAlign w:val="center"/>
          </w:tcPr>
          <w:p w14:paraId="213770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0.7186</w:t>
            </w:r>
          </w:p>
        </w:tc>
        <w:tc>
          <w:tcPr>
            <w:tcW w:w="1134" w:type="dxa"/>
            <w:tcBorders>
              <w:top w:val="nil"/>
              <w:left w:val="nil"/>
              <w:bottom w:val="nil"/>
              <w:right w:val="nil"/>
            </w:tcBorders>
            <w:shd w:val="clear" w:color="auto" w:fill="FFFFFF"/>
            <w:tcMar>
              <w:left w:w="67" w:type="dxa"/>
              <w:right w:w="67" w:type="dxa"/>
            </w:tcMar>
            <w:vAlign w:val="center"/>
          </w:tcPr>
          <w:p w14:paraId="66DF5A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6.1755</w:t>
            </w:r>
          </w:p>
        </w:tc>
        <w:tc>
          <w:tcPr>
            <w:tcW w:w="1134" w:type="dxa"/>
            <w:tcBorders>
              <w:top w:val="nil"/>
              <w:left w:val="nil"/>
              <w:bottom w:val="nil"/>
              <w:right w:val="nil"/>
            </w:tcBorders>
            <w:shd w:val="clear" w:color="auto" w:fill="FFFFFF"/>
            <w:tcMar>
              <w:left w:w="67" w:type="dxa"/>
              <w:right w:w="67" w:type="dxa"/>
            </w:tcMar>
            <w:vAlign w:val="center"/>
          </w:tcPr>
          <w:p w14:paraId="21A1FC9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E62E74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4F1C6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EFD5E6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490A34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7BD4388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8A52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0.8026</w:t>
            </w:r>
          </w:p>
        </w:tc>
        <w:tc>
          <w:tcPr>
            <w:tcW w:w="1134" w:type="dxa"/>
            <w:tcBorders>
              <w:top w:val="nil"/>
              <w:left w:val="nil"/>
              <w:bottom w:val="nil"/>
              <w:right w:val="nil"/>
            </w:tcBorders>
            <w:shd w:val="clear" w:color="auto" w:fill="FFFFFF"/>
            <w:tcMar>
              <w:left w:w="67" w:type="dxa"/>
              <w:right w:w="67" w:type="dxa"/>
            </w:tcMar>
            <w:vAlign w:val="center"/>
          </w:tcPr>
          <w:p w14:paraId="3092FF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0.4710</w:t>
            </w:r>
          </w:p>
        </w:tc>
        <w:tc>
          <w:tcPr>
            <w:tcW w:w="1134" w:type="dxa"/>
            <w:tcBorders>
              <w:top w:val="nil"/>
              <w:left w:val="nil"/>
              <w:bottom w:val="nil"/>
              <w:right w:val="nil"/>
            </w:tcBorders>
            <w:shd w:val="clear" w:color="auto" w:fill="FFFFFF"/>
            <w:tcMar>
              <w:left w:w="67" w:type="dxa"/>
              <w:right w:w="67" w:type="dxa"/>
            </w:tcMar>
            <w:vAlign w:val="center"/>
          </w:tcPr>
          <w:p w14:paraId="125842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2.2313</w:t>
            </w:r>
          </w:p>
        </w:tc>
        <w:tc>
          <w:tcPr>
            <w:tcW w:w="1134" w:type="dxa"/>
            <w:tcBorders>
              <w:top w:val="nil"/>
              <w:left w:val="nil"/>
              <w:bottom w:val="nil"/>
              <w:right w:val="nil"/>
            </w:tcBorders>
            <w:shd w:val="clear" w:color="auto" w:fill="FFFFFF"/>
            <w:tcMar>
              <w:left w:w="67" w:type="dxa"/>
              <w:right w:w="67" w:type="dxa"/>
            </w:tcMar>
            <w:vAlign w:val="center"/>
          </w:tcPr>
          <w:p w14:paraId="5F049D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0.7742</w:t>
            </w:r>
          </w:p>
        </w:tc>
        <w:tc>
          <w:tcPr>
            <w:tcW w:w="1134" w:type="dxa"/>
            <w:tcBorders>
              <w:top w:val="nil"/>
              <w:left w:val="nil"/>
              <w:bottom w:val="nil"/>
              <w:right w:val="nil"/>
            </w:tcBorders>
            <w:shd w:val="clear" w:color="auto" w:fill="FFFFFF"/>
            <w:tcMar>
              <w:left w:w="67" w:type="dxa"/>
              <w:right w:w="67" w:type="dxa"/>
            </w:tcMar>
            <w:vAlign w:val="center"/>
          </w:tcPr>
          <w:p w14:paraId="4F21FA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6.4314</w:t>
            </w:r>
          </w:p>
        </w:tc>
        <w:tc>
          <w:tcPr>
            <w:tcW w:w="1134" w:type="dxa"/>
            <w:tcBorders>
              <w:top w:val="nil"/>
              <w:left w:val="nil"/>
              <w:bottom w:val="nil"/>
              <w:right w:val="nil"/>
            </w:tcBorders>
            <w:shd w:val="clear" w:color="auto" w:fill="FFFFFF"/>
            <w:tcMar>
              <w:left w:w="67" w:type="dxa"/>
              <w:right w:w="67" w:type="dxa"/>
            </w:tcMar>
            <w:vAlign w:val="center"/>
          </w:tcPr>
          <w:p w14:paraId="658CFB0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C86E9D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C60D6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F87212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91C1094"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4082" w:type="dxa"/>
            <w:tcBorders>
              <w:top w:val="nil"/>
              <w:left w:val="nil"/>
              <w:bottom w:val="nil"/>
              <w:right w:val="nil"/>
            </w:tcBorders>
            <w:shd w:val="clear" w:color="auto" w:fill="FFFFFF"/>
            <w:tcMar>
              <w:left w:w="67" w:type="dxa"/>
              <w:right w:w="67" w:type="dxa"/>
            </w:tcMar>
            <w:vAlign w:val="center"/>
          </w:tcPr>
          <w:p w14:paraId="04B4D23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7F130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0.0273</w:t>
            </w:r>
          </w:p>
        </w:tc>
        <w:tc>
          <w:tcPr>
            <w:tcW w:w="1134" w:type="dxa"/>
            <w:tcBorders>
              <w:top w:val="nil"/>
              <w:left w:val="nil"/>
              <w:bottom w:val="nil"/>
              <w:right w:val="nil"/>
            </w:tcBorders>
            <w:shd w:val="clear" w:color="auto" w:fill="FFFFFF"/>
            <w:tcMar>
              <w:left w:w="67" w:type="dxa"/>
              <w:right w:w="67" w:type="dxa"/>
            </w:tcMar>
            <w:vAlign w:val="center"/>
          </w:tcPr>
          <w:p w14:paraId="6AD67C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0.0178</w:t>
            </w:r>
          </w:p>
        </w:tc>
        <w:tc>
          <w:tcPr>
            <w:tcW w:w="1134" w:type="dxa"/>
            <w:tcBorders>
              <w:top w:val="nil"/>
              <w:left w:val="nil"/>
              <w:bottom w:val="nil"/>
              <w:right w:val="nil"/>
            </w:tcBorders>
            <w:shd w:val="clear" w:color="auto" w:fill="FFFFFF"/>
            <w:tcMar>
              <w:left w:w="67" w:type="dxa"/>
              <w:right w:w="67" w:type="dxa"/>
            </w:tcMar>
            <w:vAlign w:val="center"/>
          </w:tcPr>
          <w:p w14:paraId="4170FB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1.0277</w:t>
            </w:r>
          </w:p>
        </w:tc>
        <w:tc>
          <w:tcPr>
            <w:tcW w:w="1134" w:type="dxa"/>
            <w:tcBorders>
              <w:top w:val="nil"/>
              <w:left w:val="nil"/>
              <w:bottom w:val="nil"/>
              <w:right w:val="nil"/>
            </w:tcBorders>
            <w:shd w:val="clear" w:color="auto" w:fill="FFFFFF"/>
            <w:tcMar>
              <w:left w:w="67" w:type="dxa"/>
              <w:right w:w="67" w:type="dxa"/>
            </w:tcMar>
            <w:vAlign w:val="center"/>
          </w:tcPr>
          <w:p w14:paraId="265B1E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0.9874</w:t>
            </w:r>
          </w:p>
        </w:tc>
        <w:tc>
          <w:tcPr>
            <w:tcW w:w="1134" w:type="dxa"/>
            <w:tcBorders>
              <w:top w:val="nil"/>
              <w:left w:val="nil"/>
              <w:bottom w:val="nil"/>
              <w:right w:val="nil"/>
            </w:tcBorders>
            <w:shd w:val="clear" w:color="auto" w:fill="FFFFFF"/>
            <w:tcMar>
              <w:left w:w="67" w:type="dxa"/>
              <w:right w:w="67" w:type="dxa"/>
            </w:tcMar>
            <w:vAlign w:val="center"/>
          </w:tcPr>
          <w:p w14:paraId="10B492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1.0697</w:t>
            </w:r>
          </w:p>
        </w:tc>
        <w:tc>
          <w:tcPr>
            <w:tcW w:w="1134" w:type="dxa"/>
            <w:tcBorders>
              <w:top w:val="nil"/>
              <w:left w:val="nil"/>
              <w:bottom w:val="nil"/>
              <w:right w:val="nil"/>
            </w:tcBorders>
            <w:shd w:val="clear" w:color="auto" w:fill="FFFFFF"/>
            <w:tcMar>
              <w:left w:w="67" w:type="dxa"/>
              <w:right w:w="67" w:type="dxa"/>
            </w:tcMar>
            <w:vAlign w:val="center"/>
          </w:tcPr>
          <w:p w14:paraId="7A5AFB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2.36</w:t>
            </w:r>
          </w:p>
        </w:tc>
        <w:tc>
          <w:tcPr>
            <w:tcW w:w="567" w:type="dxa"/>
            <w:tcBorders>
              <w:top w:val="nil"/>
              <w:left w:val="nil"/>
              <w:bottom w:val="nil"/>
              <w:right w:val="nil"/>
            </w:tcBorders>
            <w:shd w:val="clear" w:color="auto" w:fill="FFFFFF"/>
            <w:tcMar>
              <w:left w:w="67" w:type="dxa"/>
              <w:right w:w="67" w:type="dxa"/>
            </w:tcMar>
            <w:vAlign w:val="center"/>
          </w:tcPr>
          <w:p w14:paraId="0F660F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7383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0.1253</w:t>
            </w:r>
          </w:p>
        </w:tc>
      </w:tr>
      <w:tr w:rsidR="00B77EA3" w:rsidRPr="0082484A" w14:paraId="56E5114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E0ED1F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4082" w:type="dxa"/>
            <w:tcBorders>
              <w:top w:val="nil"/>
              <w:left w:val="nil"/>
              <w:bottom w:val="nil"/>
              <w:right w:val="nil"/>
            </w:tcBorders>
            <w:shd w:val="clear" w:color="auto" w:fill="FFFFFF"/>
            <w:tcMar>
              <w:left w:w="67" w:type="dxa"/>
              <w:right w:w="67" w:type="dxa"/>
            </w:tcMar>
            <w:vAlign w:val="center"/>
          </w:tcPr>
          <w:p w14:paraId="5999EEE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16F35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-0.0286</w:t>
            </w:r>
          </w:p>
        </w:tc>
        <w:tc>
          <w:tcPr>
            <w:tcW w:w="1134" w:type="dxa"/>
            <w:tcBorders>
              <w:top w:val="nil"/>
              <w:left w:val="nil"/>
              <w:bottom w:val="nil"/>
              <w:right w:val="nil"/>
            </w:tcBorders>
            <w:shd w:val="clear" w:color="auto" w:fill="FFFFFF"/>
            <w:tcMar>
              <w:left w:w="67" w:type="dxa"/>
              <w:right w:w="67" w:type="dxa"/>
            </w:tcMar>
            <w:vAlign w:val="center"/>
          </w:tcPr>
          <w:p w14:paraId="227700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0.0237</w:t>
            </w:r>
          </w:p>
        </w:tc>
        <w:tc>
          <w:tcPr>
            <w:tcW w:w="1134" w:type="dxa"/>
            <w:tcBorders>
              <w:top w:val="nil"/>
              <w:left w:val="nil"/>
              <w:bottom w:val="nil"/>
              <w:right w:val="nil"/>
            </w:tcBorders>
            <w:shd w:val="clear" w:color="auto" w:fill="FFFFFF"/>
            <w:tcMar>
              <w:left w:w="67" w:type="dxa"/>
              <w:right w:w="67" w:type="dxa"/>
            </w:tcMar>
            <w:vAlign w:val="center"/>
          </w:tcPr>
          <w:p w14:paraId="4A5A32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0.9718</w:t>
            </w:r>
          </w:p>
        </w:tc>
        <w:tc>
          <w:tcPr>
            <w:tcW w:w="1134" w:type="dxa"/>
            <w:tcBorders>
              <w:top w:val="nil"/>
              <w:left w:val="nil"/>
              <w:bottom w:val="nil"/>
              <w:right w:val="nil"/>
            </w:tcBorders>
            <w:shd w:val="clear" w:color="auto" w:fill="FFFFFF"/>
            <w:tcMar>
              <w:left w:w="67" w:type="dxa"/>
              <w:right w:w="67" w:type="dxa"/>
            </w:tcMar>
            <w:vAlign w:val="center"/>
          </w:tcPr>
          <w:p w14:paraId="015B7F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0.9214</w:t>
            </w:r>
          </w:p>
        </w:tc>
        <w:tc>
          <w:tcPr>
            <w:tcW w:w="1134" w:type="dxa"/>
            <w:tcBorders>
              <w:top w:val="nil"/>
              <w:left w:val="nil"/>
              <w:bottom w:val="nil"/>
              <w:right w:val="nil"/>
            </w:tcBorders>
            <w:shd w:val="clear" w:color="auto" w:fill="FFFFFF"/>
            <w:tcMar>
              <w:left w:w="67" w:type="dxa"/>
              <w:right w:w="67" w:type="dxa"/>
            </w:tcMar>
            <w:vAlign w:val="center"/>
          </w:tcPr>
          <w:p w14:paraId="2E31B3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1.0249</w:t>
            </w:r>
          </w:p>
        </w:tc>
        <w:tc>
          <w:tcPr>
            <w:tcW w:w="1134" w:type="dxa"/>
            <w:tcBorders>
              <w:top w:val="nil"/>
              <w:left w:val="nil"/>
              <w:bottom w:val="nil"/>
              <w:right w:val="nil"/>
            </w:tcBorders>
            <w:shd w:val="clear" w:color="auto" w:fill="FFFFFF"/>
            <w:tcMar>
              <w:left w:w="67" w:type="dxa"/>
              <w:right w:w="67" w:type="dxa"/>
            </w:tcMar>
            <w:vAlign w:val="center"/>
          </w:tcPr>
          <w:p w14:paraId="43CF89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1.46</w:t>
            </w:r>
          </w:p>
        </w:tc>
        <w:tc>
          <w:tcPr>
            <w:tcW w:w="567" w:type="dxa"/>
            <w:tcBorders>
              <w:top w:val="nil"/>
              <w:left w:val="nil"/>
              <w:bottom w:val="nil"/>
              <w:right w:val="nil"/>
            </w:tcBorders>
            <w:shd w:val="clear" w:color="auto" w:fill="FFFFFF"/>
            <w:tcMar>
              <w:left w:w="67" w:type="dxa"/>
              <w:right w:w="67" w:type="dxa"/>
            </w:tcMar>
            <w:vAlign w:val="center"/>
          </w:tcPr>
          <w:p w14:paraId="0BE262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F3ED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0.2273</w:t>
            </w:r>
          </w:p>
        </w:tc>
      </w:tr>
      <w:tr w:rsidR="00B77EA3" w:rsidRPr="0082484A" w14:paraId="1A9C8E0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CD48F23"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Overall QOF score</w:t>
            </w:r>
          </w:p>
        </w:tc>
        <w:tc>
          <w:tcPr>
            <w:tcW w:w="4082" w:type="dxa"/>
            <w:tcBorders>
              <w:top w:val="nil"/>
              <w:left w:val="nil"/>
              <w:bottom w:val="nil"/>
              <w:right w:val="nil"/>
            </w:tcBorders>
            <w:shd w:val="clear" w:color="auto" w:fill="FFFFFF"/>
            <w:tcMar>
              <w:left w:w="67" w:type="dxa"/>
              <w:right w:w="67" w:type="dxa"/>
            </w:tcMar>
            <w:vAlign w:val="center"/>
          </w:tcPr>
          <w:p w14:paraId="7183E9F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CB452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0.0067</w:t>
            </w:r>
          </w:p>
        </w:tc>
        <w:tc>
          <w:tcPr>
            <w:tcW w:w="1134" w:type="dxa"/>
            <w:tcBorders>
              <w:top w:val="nil"/>
              <w:left w:val="nil"/>
              <w:bottom w:val="nil"/>
              <w:right w:val="nil"/>
            </w:tcBorders>
            <w:shd w:val="clear" w:color="auto" w:fill="FFFFFF"/>
            <w:tcMar>
              <w:left w:w="67" w:type="dxa"/>
              <w:right w:w="67" w:type="dxa"/>
            </w:tcMar>
            <w:vAlign w:val="center"/>
          </w:tcPr>
          <w:p w14:paraId="5CC226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0.0069</w:t>
            </w:r>
          </w:p>
        </w:tc>
        <w:tc>
          <w:tcPr>
            <w:tcW w:w="1134" w:type="dxa"/>
            <w:tcBorders>
              <w:top w:val="nil"/>
              <w:left w:val="nil"/>
              <w:bottom w:val="nil"/>
              <w:right w:val="nil"/>
            </w:tcBorders>
            <w:shd w:val="clear" w:color="auto" w:fill="FFFFFF"/>
            <w:tcMar>
              <w:left w:w="67" w:type="dxa"/>
              <w:right w:w="67" w:type="dxa"/>
            </w:tcMar>
            <w:vAlign w:val="center"/>
          </w:tcPr>
          <w:p w14:paraId="1F4BCA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1.0067</w:t>
            </w:r>
          </w:p>
        </w:tc>
        <w:tc>
          <w:tcPr>
            <w:tcW w:w="1134" w:type="dxa"/>
            <w:tcBorders>
              <w:top w:val="nil"/>
              <w:left w:val="nil"/>
              <w:bottom w:val="nil"/>
              <w:right w:val="nil"/>
            </w:tcBorders>
            <w:shd w:val="clear" w:color="auto" w:fill="FFFFFF"/>
            <w:tcMar>
              <w:left w:w="67" w:type="dxa"/>
              <w:right w:w="67" w:type="dxa"/>
            </w:tcMar>
            <w:vAlign w:val="center"/>
          </w:tcPr>
          <w:p w14:paraId="399EAD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0.9911</w:t>
            </w:r>
          </w:p>
        </w:tc>
        <w:tc>
          <w:tcPr>
            <w:tcW w:w="1134" w:type="dxa"/>
            <w:tcBorders>
              <w:top w:val="nil"/>
              <w:left w:val="nil"/>
              <w:bottom w:val="nil"/>
              <w:right w:val="nil"/>
            </w:tcBorders>
            <w:shd w:val="clear" w:color="auto" w:fill="FFFFFF"/>
            <w:tcMar>
              <w:left w:w="67" w:type="dxa"/>
              <w:right w:w="67" w:type="dxa"/>
            </w:tcMar>
            <w:vAlign w:val="center"/>
          </w:tcPr>
          <w:p w14:paraId="1784E3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1.0225</w:t>
            </w:r>
          </w:p>
        </w:tc>
        <w:tc>
          <w:tcPr>
            <w:tcW w:w="1134" w:type="dxa"/>
            <w:tcBorders>
              <w:top w:val="nil"/>
              <w:left w:val="nil"/>
              <w:bottom w:val="nil"/>
              <w:right w:val="nil"/>
            </w:tcBorders>
            <w:shd w:val="clear" w:color="auto" w:fill="FFFFFF"/>
            <w:tcMar>
              <w:left w:w="67" w:type="dxa"/>
              <w:right w:w="67" w:type="dxa"/>
            </w:tcMar>
            <w:vAlign w:val="center"/>
          </w:tcPr>
          <w:p w14:paraId="601F42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w:t>
            </w:r>
          </w:p>
        </w:tc>
        <w:tc>
          <w:tcPr>
            <w:tcW w:w="567" w:type="dxa"/>
            <w:tcBorders>
              <w:top w:val="nil"/>
              <w:left w:val="nil"/>
              <w:bottom w:val="nil"/>
              <w:right w:val="nil"/>
            </w:tcBorders>
            <w:shd w:val="clear" w:color="auto" w:fill="FFFFFF"/>
            <w:tcMar>
              <w:left w:w="67" w:type="dxa"/>
              <w:right w:w="67" w:type="dxa"/>
            </w:tcMar>
            <w:vAlign w:val="center"/>
          </w:tcPr>
          <w:p w14:paraId="2A54B1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3176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0.3357</w:t>
            </w:r>
          </w:p>
        </w:tc>
      </w:tr>
      <w:tr w:rsidR="00B77EA3" w:rsidRPr="0082484A" w14:paraId="260C934A"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030187DA"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4082" w:type="dxa"/>
            <w:tcBorders>
              <w:top w:val="nil"/>
              <w:left w:val="nil"/>
              <w:bottom w:val="single" w:sz="11" w:space="0" w:color="000000"/>
              <w:right w:val="nil"/>
            </w:tcBorders>
            <w:shd w:val="clear" w:color="auto" w:fill="FFFFFF"/>
            <w:tcMar>
              <w:left w:w="67" w:type="dxa"/>
              <w:right w:w="67" w:type="dxa"/>
            </w:tcMar>
            <w:vAlign w:val="center"/>
          </w:tcPr>
          <w:p w14:paraId="6CC5597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06D9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3C33F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0.1813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46C58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1.0486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B8576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0.6976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2923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1.5761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75316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98C84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EBCA4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0.7936</w:t>
            </w:r>
          </w:p>
        </w:tc>
      </w:tr>
    </w:tbl>
    <w:p w14:paraId="4B7B46F0" w14:textId="77777777" w:rsidR="00B77EA3" w:rsidRPr="0082484A" w:rsidRDefault="00B77EA3" w:rsidP="00B77EA3">
      <w:pPr>
        <w:spacing w:before="0" w:after="160" w:line="259" w:lineRule="auto"/>
        <w:rPr>
          <w:sz w:val="22"/>
          <w:szCs w:val="22"/>
        </w:rPr>
      </w:pPr>
      <w:r w:rsidRPr="0082484A">
        <w:rPr>
          <w:sz w:val="22"/>
          <w:szCs w:val="22"/>
        </w:rPr>
        <w:t xml:space="preserve">The estimated number needed to treat for one male patient with atrial fibrillation and a CHA2DS2-VASc score of 1 to be prescribed anticoagulation therapy is -11 </w:t>
      </w:r>
      <w:r w:rsidRPr="0082484A">
        <w:rPr>
          <w:sz w:val="22"/>
          <w:szCs w:val="22"/>
        </w:rPr>
        <w:br w:type="page"/>
      </w:r>
    </w:p>
    <w:p w14:paraId="535D42D9" w14:textId="5CE9B327" w:rsidR="00B77EA3" w:rsidRPr="0082484A" w:rsidRDefault="00B77EA3" w:rsidP="00B77EA3">
      <w:pPr>
        <w:spacing w:before="0" w:line="240" w:lineRule="auto"/>
        <w:rPr>
          <w:bCs/>
          <w:sz w:val="22"/>
          <w:szCs w:val="22"/>
        </w:rPr>
      </w:pPr>
      <w:bookmarkStart w:id="176" w:name="_Ref502917886"/>
      <w:bookmarkStart w:id="177" w:name="_Toc8728122"/>
      <w:bookmarkStart w:id="178" w:name="_Toc19526777"/>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48</w:t>
      </w:r>
      <w:r w:rsidRPr="0082484A">
        <w:rPr>
          <w:bCs/>
          <w:noProof/>
          <w:sz w:val="22"/>
          <w:szCs w:val="22"/>
        </w:rPr>
        <w:fldChar w:fldCharType="end"/>
      </w:r>
      <w:bookmarkEnd w:id="176"/>
      <w:r w:rsidRPr="0082484A">
        <w:rPr>
          <w:bCs/>
          <w:sz w:val="22"/>
          <w:szCs w:val="22"/>
        </w:rPr>
        <w:t>: Secondary outcome for Trial 2: The proportion of all patients with atrial fibrillation and a CHA</w:t>
      </w:r>
      <w:r w:rsidRPr="0082484A">
        <w:rPr>
          <w:bCs/>
          <w:sz w:val="22"/>
          <w:szCs w:val="22"/>
          <w:vertAlign w:val="subscript"/>
        </w:rPr>
        <w:t>2</w:t>
      </w:r>
      <w:r w:rsidRPr="0082484A">
        <w:rPr>
          <w:bCs/>
          <w:sz w:val="22"/>
          <w:szCs w:val="22"/>
        </w:rPr>
        <w:t>DS</w:t>
      </w:r>
      <w:r w:rsidRPr="0082484A">
        <w:rPr>
          <w:bCs/>
          <w:sz w:val="22"/>
          <w:szCs w:val="22"/>
          <w:vertAlign w:val="subscript"/>
        </w:rPr>
        <w:t>2</w:t>
      </w:r>
      <w:r w:rsidRPr="0082484A">
        <w:rPr>
          <w:bCs/>
          <w:sz w:val="22"/>
          <w:szCs w:val="22"/>
        </w:rPr>
        <w:t>-VASc score of 2 or above prescribed anticoagulation therapy (WP4A)</w:t>
      </w:r>
      <w:bookmarkEnd w:id="177"/>
      <w:bookmarkEnd w:id="178"/>
    </w:p>
    <w:tbl>
      <w:tblPr>
        <w:tblW w:w="15705" w:type="dxa"/>
        <w:jc w:val="center"/>
        <w:tblLayout w:type="fixed"/>
        <w:tblCellMar>
          <w:left w:w="0" w:type="dxa"/>
          <w:right w:w="0" w:type="dxa"/>
        </w:tblCellMar>
        <w:tblLook w:val="0000" w:firstRow="0" w:lastRow="0" w:firstColumn="0" w:lastColumn="0" w:noHBand="0" w:noVBand="0"/>
      </w:tblPr>
      <w:tblGrid>
        <w:gridCol w:w="3118"/>
        <w:gridCol w:w="4082"/>
        <w:gridCol w:w="1134"/>
        <w:gridCol w:w="1134"/>
        <w:gridCol w:w="1134"/>
        <w:gridCol w:w="1134"/>
        <w:gridCol w:w="1134"/>
        <w:gridCol w:w="1134"/>
        <w:gridCol w:w="567"/>
        <w:gridCol w:w="1134"/>
      </w:tblGrid>
      <w:tr w:rsidR="00B77EA3" w:rsidRPr="0082484A" w14:paraId="440047D2"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BDA5A9F"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408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2D34CCB"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F35E91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3B7C3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F19C6B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AE927C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DA8F51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5CE179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6BDF3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B5EEEE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879C5D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9D021B3"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4082" w:type="dxa"/>
            <w:tcBorders>
              <w:top w:val="nil"/>
              <w:left w:val="nil"/>
              <w:bottom w:val="nil"/>
              <w:right w:val="nil"/>
            </w:tcBorders>
            <w:shd w:val="clear" w:color="auto" w:fill="FFFFFF"/>
            <w:tcMar>
              <w:left w:w="67" w:type="dxa"/>
              <w:right w:w="67" w:type="dxa"/>
            </w:tcMar>
            <w:vAlign w:val="center"/>
          </w:tcPr>
          <w:p w14:paraId="20A9A4C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272304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-0.0466</w:t>
            </w:r>
          </w:p>
        </w:tc>
        <w:tc>
          <w:tcPr>
            <w:tcW w:w="1134" w:type="dxa"/>
            <w:tcBorders>
              <w:top w:val="nil"/>
              <w:left w:val="nil"/>
              <w:bottom w:val="nil"/>
              <w:right w:val="nil"/>
            </w:tcBorders>
            <w:shd w:val="clear" w:color="auto" w:fill="FFFFFF"/>
            <w:tcMar>
              <w:left w:w="67" w:type="dxa"/>
              <w:right w:w="67" w:type="dxa"/>
            </w:tcMar>
            <w:vAlign w:val="center"/>
          </w:tcPr>
          <w:p w14:paraId="0561B1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0.0860</w:t>
            </w:r>
          </w:p>
        </w:tc>
        <w:tc>
          <w:tcPr>
            <w:tcW w:w="1134" w:type="dxa"/>
            <w:tcBorders>
              <w:top w:val="nil"/>
              <w:left w:val="nil"/>
              <w:bottom w:val="nil"/>
              <w:right w:val="nil"/>
            </w:tcBorders>
            <w:shd w:val="clear" w:color="auto" w:fill="FFFFFF"/>
            <w:tcMar>
              <w:left w:w="67" w:type="dxa"/>
              <w:right w:w="67" w:type="dxa"/>
            </w:tcMar>
            <w:vAlign w:val="center"/>
          </w:tcPr>
          <w:p w14:paraId="0FE7AF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0.9544</w:t>
            </w:r>
          </w:p>
        </w:tc>
        <w:tc>
          <w:tcPr>
            <w:tcW w:w="1134" w:type="dxa"/>
            <w:tcBorders>
              <w:top w:val="nil"/>
              <w:left w:val="nil"/>
              <w:bottom w:val="nil"/>
              <w:right w:val="nil"/>
            </w:tcBorders>
            <w:shd w:val="clear" w:color="auto" w:fill="FFFFFF"/>
            <w:tcMar>
              <w:left w:w="67" w:type="dxa"/>
              <w:right w:w="67" w:type="dxa"/>
            </w:tcMar>
            <w:vAlign w:val="center"/>
          </w:tcPr>
          <w:p w14:paraId="463719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0.7871</w:t>
            </w:r>
          </w:p>
        </w:tc>
        <w:tc>
          <w:tcPr>
            <w:tcW w:w="1134" w:type="dxa"/>
            <w:tcBorders>
              <w:top w:val="nil"/>
              <w:left w:val="nil"/>
              <w:bottom w:val="nil"/>
              <w:right w:val="nil"/>
            </w:tcBorders>
            <w:shd w:val="clear" w:color="auto" w:fill="FFFFFF"/>
            <w:tcMar>
              <w:left w:w="67" w:type="dxa"/>
              <w:right w:w="67" w:type="dxa"/>
            </w:tcMar>
            <w:vAlign w:val="center"/>
          </w:tcPr>
          <w:p w14:paraId="4AE779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1.1574</w:t>
            </w:r>
          </w:p>
        </w:tc>
        <w:tc>
          <w:tcPr>
            <w:tcW w:w="1134" w:type="dxa"/>
            <w:tcBorders>
              <w:top w:val="nil"/>
              <w:left w:val="nil"/>
              <w:bottom w:val="nil"/>
              <w:right w:val="nil"/>
            </w:tcBorders>
            <w:shd w:val="clear" w:color="auto" w:fill="FFFFFF"/>
            <w:tcMar>
              <w:left w:w="67" w:type="dxa"/>
              <w:right w:w="67" w:type="dxa"/>
            </w:tcMar>
            <w:vAlign w:val="center"/>
          </w:tcPr>
          <w:p w14:paraId="2D3BF4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w:t>
            </w:r>
          </w:p>
        </w:tc>
        <w:tc>
          <w:tcPr>
            <w:tcW w:w="567" w:type="dxa"/>
            <w:tcBorders>
              <w:top w:val="nil"/>
              <w:left w:val="nil"/>
              <w:bottom w:val="nil"/>
              <w:right w:val="nil"/>
            </w:tcBorders>
            <w:shd w:val="clear" w:color="auto" w:fill="FFFFFF"/>
            <w:tcMar>
              <w:left w:w="67" w:type="dxa"/>
              <w:right w:w="67" w:type="dxa"/>
            </w:tcMar>
            <w:vAlign w:val="center"/>
          </w:tcPr>
          <w:p w14:paraId="701CAF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792DE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0.5877</w:t>
            </w:r>
          </w:p>
        </w:tc>
      </w:tr>
      <w:tr w:rsidR="00B77EA3" w:rsidRPr="0082484A" w14:paraId="5193DCA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2A6EC57"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4082" w:type="dxa"/>
            <w:tcBorders>
              <w:top w:val="nil"/>
              <w:left w:val="nil"/>
              <w:bottom w:val="nil"/>
              <w:right w:val="nil"/>
            </w:tcBorders>
            <w:shd w:val="clear" w:color="auto" w:fill="FFFFFF"/>
            <w:tcMar>
              <w:left w:w="67" w:type="dxa"/>
              <w:right w:w="67" w:type="dxa"/>
            </w:tcMar>
            <w:vAlign w:val="center"/>
          </w:tcPr>
          <w:p w14:paraId="08C5CAE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2705DF2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-0.1818</w:t>
            </w:r>
          </w:p>
        </w:tc>
        <w:tc>
          <w:tcPr>
            <w:tcW w:w="1134" w:type="dxa"/>
            <w:tcBorders>
              <w:top w:val="nil"/>
              <w:left w:val="nil"/>
              <w:bottom w:val="nil"/>
              <w:right w:val="nil"/>
            </w:tcBorders>
            <w:shd w:val="clear" w:color="auto" w:fill="FFFFFF"/>
            <w:tcMar>
              <w:left w:w="67" w:type="dxa"/>
              <w:right w:w="67" w:type="dxa"/>
            </w:tcMar>
            <w:vAlign w:val="center"/>
          </w:tcPr>
          <w:p w14:paraId="274EAF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0.0595</w:t>
            </w:r>
          </w:p>
        </w:tc>
        <w:tc>
          <w:tcPr>
            <w:tcW w:w="1134" w:type="dxa"/>
            <w:tcBorders>
              <w:top w:val="nil"/>
              <w:left w:val="nil"/>
              <w:bottom w:val="nil"/>
              <w:right w:val="nil"/>
            </w:tcBorders>
            <w:shd w:val="clear" w:color="auto" w:fill="FFFFFF"/>
            <w:tcMar>
              <w:left w:w="67" w:type="dxa"/>
              <w:right w:w="67" w:type="dxa"/>
            </w:tcMar>
            <w:vAlign w:val="center"/>
          </w:tcPr>
          <w:p w14:paraId="10BC88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0.8337</w:t>
            </w:r>
          </w:p>
        </w:tc>
        <w:tc>
          <w:tcPr>
            <w:tcW w:w="1134" w:type="dxa"/>
            <w:tcBorders>
              <w:top w:val="nil"/>
              <w:left w:val="nil"/>
              <w:bottom w:val="nil"/>
              <w:right w:val="nil"/>
            </w:tcBorders>
            <w:shd w:val="clear" w:color="auto" w:fill="FFFFFF"/>
            <w:tcMar>
              <w:left w:w="67" w:type="dxa"/>
              <w:right w:w="67" w:type="dxa"/>
            </w:tcMar>
            <w:vAlign w:val="center"/>
          </w:tcPr>
          <w:p w14:paraId="2BC69A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0.7296</w:t>
            </w:r>
          </w:p>
        </w:tc>
        <w:tc>
          <w:tcPr>
            <w:tcW w:w="1134" w:type="dxa"/>
            <w:tcBorders>
              <w:top w:val="nil"/>
              <w:left w:val="nil"/>
              <w:bottom w:val="nil"/>
              <w:right w:val="nil"/>
            </w:tcBorders>
            <w:shd w:val="clear" w:color="auto" w:fill="FFFFFF"/>
            <w:tcMar>
              <w:left w:w="67" w:type="dxa"/>
              <w:right w:w="67" w:type="dxa"/>
            </w:tcMar>
            <w:vAlign w:val="center"/>
          </w:tcPr>
          <w:p w14:paraId="7D34B6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0.9528</w:t>
            </w:r>
          </w:p>
        </w:tc>
        <w:tc>
          <w:tcPr>
            <w:tcW w:w="1134" w:type="dxa"/>
            <w:tcBorders>
              <w:top w:val="nil"/>
              <w:left w:val="nil"/>
              <w:bottom w:val="nil"/>
              <w:right w:val="nil"/>
            </w:tcBorders>
            <w:shd w:val="clear" w:color="auto" w:fill="FFFFFF"/>
            <w:tcMar>
              <w:left w:w="67" w:type="dxa"/>
              <w:right w:w="67" w:type="dxa"/>
            </w:tcMar>
            <w:vAlign w:val="center"/>
          </w:tcPr>
          <w:p w14:paraId="6A4FD6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9.33</w:t>
            </w:r>
          </w:p>
        </w:tc>
        <w:tc>
          <w:tcPr>
            <w:tcW w:w="567" w:type="dxa"/>
            <w:tcBorders>
              <w:top w:val="nil"/>
              <w:left w:val="nil"/>
              <w:bottom w:val="nil"/>
              <w:right w:val="nil"/>
            </w:tcBorders>
            <w:shd w:val="clear" w:color="auto" w:fill="FFFFFF"/>
            <w:tcMar>
              <w:left w:w="67" w:type="dxa"/>
              <w:right w:w="67" w:type="dxa"/>
            </w:tcMar>
            <w:vAlign w:val="center"/>
          </w:tcPr>
          <w:p w14:paraId="13F2F7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0C4A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w:t>
            </w:r>
          </w:p>
        </w:tc>
      </w:tr>
      <w:tr w:rsidR="00B77EA3" w:rsidRPr="0082484A" w14:paraId="363C80E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084FB1D"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4082" w:type="dxa"/>
            <w:tcBorders>
              <w:top w:val="nil"/>
              <w:left w:val="nil"/>
              <w:bottom w:val="nil"/>
              <w:right w:val="nil"/>
            </w:tcBorders>
            <w:shd w:val="clear" w:color="auto" w:fill="FFFFFF"/>
            <w:tcMar>
              <w:left w:w="67" w:type="dxa"/>
              <w:right w:w="67" w:type="dxa"/>
            </w:tcMar>
            <w:vAlign w:val="center"/>
          </w:tcPr>
          <w:p w14:paraId="78A25874"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72860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-0.0349</w:t>
            </w:r>
          </w:p>
        </w:tc>
        <w:tc>
          <w:tcPr>
            <w:tcW w:w="1134" w:type="dxa"/>
            <w:tcBorders>
              <w:top w:val="nil"/>
              <w:left w:val="nil"/>
              <w:bottom w:val="nil"/>
              <w:right w:val="nil"/>
            </w:tcBorders>
            <w:shd w:val="clear" w:color="auto" w:fill="FFFFFF"/>
            <w:tcMar>
              <w:left w:w="67" w:type="dxa"/>
              <w:right w:w="67" w:type="dxa"/>
            </w:tcMar>
            <w:vAlign w:val="center"/>
          </w:tcPr>
          <w:p w14:paraId="331BA8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4715BA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0.9657</w:t>
            </w:r>
          </w:p>
        </w:tc>
        <w:tc>
          <w:tcPr>
            <w:tcW w:w="1134" w:type="dxa"/>
            <w:tcBorders>
              <w:top w:val="nil"/>
              <w:left w:val="nil"/>
              <w:bottom w:val="nil"/>
              <w:right w:val="nil"/>
            </w:tcBorders>
            <w:shd w:val="clear" w:color="auto" w:fill="FFFFFF"/>
            <w:tcMar>
              <w:left w:w="67" w:type="dxa"/>
              <w:right w:w="67" w:type="dxa"/>
            </w:tcMar>
            <w:vAlign w:val="center"/>
          </w:tcPr>
          <w:p w14:paraId="2795BB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0.9583</w:t>
            </w:r>
          </w:p>
        </w:tc>
        <w:tc>
          <w:tcPr>
            <w:tcW w:w="1134" w:type="dxa"/>
            <w:tcBorders>
              <w:top w:val="nil"/>
              <w:left w:val="nil"/>
              <w:bottom w:val="nil"/>
              <w:right w:val="nil"/>
            </w:tcBorders>
            <w:shd w:val="clear" w:color="auto" w:fill="FFFFFF"/>
            <w:tcMar>
              <w:left w:w="67" w:type="dxa"/>
              <w:right w:w="67" w:type="dxa"/>
            </w:tcMar>
            <w:vAlign w:val="center"/>
          </w:tcPr>
          <w:p w14:paraId="3635D1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0.9732</w:t>
            </w:r>
          </w:p>
        </w:tc>
        <w:tc>
          <w:tcPr>
            <w:tcW w:w="1134" w:type="dxa"/>
            <w:tcBorders>
              <w:top w:val="nil"/>
              <w:left w:val="nil"/>
              <w:bottom w:val="nil"/>
              <w:right w:val="nil"/>
            </w:tcBorders>
            <w:shd w:val="clear" w:color="auto" w:fill="FFFFFF"/>
            <w:tcMar>
              <w:left w:w="67" w:type="dxa"/>
              <w:right w:w="67" w:type="dxa"/>
            </w:tcMar>
            <w:vAlign w:val="center"/>
          </w:tcPr>
          <w:p w14:paraId="49A80F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101.77</w:t>
            </w:r>
          </w:p>
        </w:tc>
        <w:tc>
          <w:tcPr>
            <w:tcW w:w="567" w:type="dxa"/>
            <w:tcBorders>
              <w:top w:val="nil"/>
              <w:left w:val="nil"/>
              <w:bottom w:val="nil"/>
              <w:right w:val="nil"/>
            </w:tcBorders>
            <w:shd w:val="clear" w:color="auto" w:fill="FFFFFF"/>
            <w:tcMar>
              <w:left w:w="67" w:type="dxa"/>
              <w:right w:w="67" w:type="dxa"/>
            </w:tcMar>
            <w:vAlign w:val="center"/>
          </w:tcPr>
          <w:p w14:paraId="4F6BAB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98F0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9ED07D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A29E147"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4082" w:type="dxa"/>
            <w:tcBorders>
              <w:top w:val="nil"/>
              <w:left w:val="nil"/>
              <w:bottom w:val="nil"/>
              <w:right w:val="nil"/>
            </w:tcBorders>
            <w:shd w:val="clear" w:color="auto" w:fill="FFFFFF"/>
            <w:tcMar>
              <w:left w:w="67" w:type="dxa"/>
              <w:right w:w="67" w:type="dxa"/>
            </w:tcMar>
            <w:vAlign w:val="center"/>
          </w:tcPr>
          <w:p w14:paraId="43B445F2"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5EC36F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0206A5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540A3F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1.0005</w:t>
            </w:r>
          </w:p>
        </w:tc>
        <w:tc>
          <w:tcPr>
            <w:tcW w:w="1134" w:type="dxa"/>
            <w:tcBorders>
              <w:top w:val="nil"/>
              <w:left w:val="nil"/>
              <w:bottom w:val="nil"/>
              <w:right w:val="nil"/>
            </w:tcBorders>
            <w:shd w:val="clear" w:color="auto" w:fill="FFFFFF"/>
            <w:tcMar>
              <w:left w:w="67" w:type="dxa"/>
              <w:right w:w="67" w:type="dxa"/>
            </w:tcMar>
            <w:vAlign w:val="center"/>
          </w:tcPr>
          <w:p w14:paraId="282E63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0.9978</w:t>
            </w:r>
          </w:p>
        </w:tc>
        <w:tc>
          <w:tcPr>
            <w:tcW w:w="1134" w:type="dxa"/>
            <w:tcBorders>
              <w:top w:val="nil"/>
              <w:left w:val="nil"/>
              <w:bottom w:val="nil"/>
              <w:right w:val="nil"/>
            </w:tcBorders>
            <w:shd w:val="clear" w:color="auto" w:fill="FFFFFF"/>
            <w:tcMar>
              <w:left w:w="67" w:type="dxa"/>
              <w:right w:w="67" w:type="dxa"/>
            </w:tcMar>
            <w:vAlign w:val="center"/>
          </w:tcPr>
          <w:p w14:paraId="16B2C2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1.0032</w:t>
            </w:r>
          </w:p>
        </w:tc>
        <w:tc>
          <w:tcPr>
            <w:tcW w:w="1134" w:type="dxa"/>
            <w:tcBorders>
              <w:top w:val="nil"/>
              <w:left w:val="nil"/>
              <w:bottom w:val="nil"/>
              <w:right w:val="nil"/>
            </w:tcBorders>
            <w:shd w:val="clear" w:color="auto" w:fill="FFFFFF"/>
            <w:tcMar>
              <w:left w:w="67" w:type="dxa"/>
              <w:right w:w="67" w:type="dxa"/>
            </w:tcMar>
            <w:vAlign w:val="center"/>
          </w:tcPr>
          <w:p w14:paraId="62EA31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w:t>
            </w:r>
          </w:p>
        </w:tc>
        <w:tc>
          <w:tcPr>
            <w:tcW w:w="567" w:type="dxa"/>
            <w:tcBorders>
              <w:top w:val="nil"/>
              <w:left w:val="nil"/>
              <w:bottom w:val="nil"/>
              <w:right w:val="nil"/>
            </w:tcBorders>
            <w:shd w:val="clear" w:color="auto" w:fill="FFFFFF"/>
            <w:tcMar>
              <w:left w:w="67" w:type="dxa"/>
              <w:right w:w="67" w:type="dxa"/>
            </w:tcMar>
            <w:vAlign w:val="center"/>
          </w:tcPr>
          <w:p w14:paraId="4D80F6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77E0E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0.6770</w:t>
            </w:r>
          </w:p>
        </w:tc>
      </w:tr>
      <w:tr w:rsidR="00B77EA3" w:rsidRPr="0082484A" w14:paraId="1E404D3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552D97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66E5918"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25CA8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-0.1386</w:t>
            </w:r>
          </w:p>
        </w:tc>
        <w:tc>
          <w:tcPr>
            <w:tcW w:w="1134" w:type="dxa"/>
            <w:tcBorders>
              <w:top w:val="nil"/>
              <w:left w:val="nil"/>
              <w:bottom w:val="nil"/>
              <w:right w:val="nil"/>
            </w:tcBorders>
            <w:shd w:val="clear" w:color="auto" w:fill="FFFFFF"/>
            <w:tcMar>
              <w:left w:w="67" w:type="dxa"/>
              <w:right w:w="67" w:type="dxa"/>
            </w:tcMar>
            <w:vAlign w:val="center"/>
          </w:tcPr>
          <w:p w14:paraId="57BA80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0.1629</w:t>
            </w:r>
          </w:p>
        </w:tc>
        <w:tc>
          <w:tcPr>
            <w:tcW w:w="1134" w:type="dxa"/>
            <w:tcBorders>
              <w:top w:val="nil"/>
              <w:left w:val="nil"/>
              <w:bottom w:val="nil"/>
              <w:right w:val="nil"/>
            </w:tcBorders>
            <w:shd w:val="clear" w:color="auto" w:fill="FFFFFF"/>
            <w:tcMar>
              <w:left w:w="67" w:type="dxa"/>
              <w:right w:w="67" w:type="dxa"/>
            </w:tcMar>
            <w:vAlign w:val="center"/>
          </w:tcPr>
          <w:p w14:paraId="28D390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0.8706</w:t>
            </w:r>
          </w:p>
        </w:tc>
        <w:tc>
          <w:tcPr>
            <w:tcW w:w="1134" w:type="dxa"/>
            <w:tcBorders>
              <w:top w:val="nil"/>
              <w:left w:val="nil"/>
              <w:bottom w:val="nil"/>
              <w:right w:val="nil"/>
            </w:tcBorders>
            <w:shd w:val="clear" w:color="auto" w:fill="FFFFFF"/>
            <w:tcMar>
              <w:left w:w="67" w:type="dxa"/>
              <w:right w:w="67" w:type="dxa"/>
            </w:tcMar>
            <w:vAlign w:val="center"/>
          </w:tcPr>
          <w:p w14:paraId="575825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0.6042</w:t>
            </w:r>
          </w:p>
        </w:tc>
        <w:tc>
          <w:tcPr>
            <w:tcW w:w="1134" w:type="dxa"/>
            <w:tcBorders>
              <w:top w:val="nil"/>
              <w:left w:val="nil"/>
              <w:bottom w:val="nil"/>
              <w:right w:val="nil"/>
            </w:tcBorders>
            <w:shd w:val="clear" w:color="auto" w:fill="FFFFFF"/>
            <w:tcMar>
              <w:left w:w="67" w:type="dxa"/>
              <w:right w:w="67" w:type="dxa"/>
            </w:tcMar>
            <w:vAlign w:val="center"/>
          </w:tcPr>
          <w:p w14:paraId="6BA178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1.2543</w:t>
            </w:r>
          </w:p>
        </w:tc>
        <w:tc>
          <w:tcPr>
            <w:tcW w:w="1134" w:type="dxa"/>
            <w:tcBorders>
              <w:top w:val="nil"/>
              <w:left w:val="nil"/>
              <w:bottom w:val="nil"/>
              <w:right w:val="nil"/>
            </w:tcBorders>
            <w:shd w:val="clear" w:color="auto" w:fill="FFFFFF"/>
            <w:tcMar>
              <w:left w:w="67" w:type="dxa"/>
              <w:right w:w="67" w:type="dxa"/>
            </w:tcMar>
            <w:vAlign w:val="center"/>
          </w:tcPr>
          <w:p w14:paraId="2C9F85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w:t>
            </w:r>
          </w:p>
        </w:tc>
        <w:tc>
          <w:tcPr>
            <w:tcW w:w="567" w:type="dxa"/>
            <w:tcBorders>
              <w:top w:val="nil"/>
              <w:left w:val="nil"/>
              <w:bottom w:val="nil"/>
              <w:right w:val="nil"/>
            </w:tcBorders>
            <w:shd w:val="clear" w:color="auto" w:fill="FFFFFF"/>
            <w:tcMar>
              <w:left w:w="67" w:type="dxa"/>
              <w:right w:w="67" w:type="dxa"/>
            </w:tcMar>
            <w:vAlign w:val="center"/>
          </w:tcPr>
          <w:p w14:paraId="7EC2F5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4806F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0.3734</w:t>
            </w:r>
          </w:p>
        </w:tc>
      </w:tr>
      <w:tr w:rsidR="00B77EA3" w:rsidRPr="0082484A" w14:paraId="1C90776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3DEC06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388C4B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0EFF7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-0.5646</w:t>
            </w:r>
          </w:p>
        </w:tc>
        <w:tc>
          <w:tcPr>
            <w:tcW w:w="1134" w:type="dxa"/>
            <w:tcBorders>
              <w:top w:val="nil"/>
              <w:left w:val="nil"/>
              <w:bottom w:val="nil"/>
              <w:right w:val="nil"/>
            </w:tcBorders>
            <w:shd w:val="clear" w:color="auto" w:fill="FFFFFF"/>
            <w:tcMar>
              <w:left w:w="67" w:type="dxa"/>
              <w:right w:w="67" w:type="dxa"/>
            </w:tcMar>
            <w:vAlign w:val="center"/>
          </w:tcPr>
          <w:p w14:paraId="30E676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0.2315</w:t>
            </w:r>
          </w:p>
        </w:tc>
        <w:tc>
          <w:tcPr>
            <w:tcW w:w="1134" w:type="dxa"/>
            <w:tcBorders>
              <w:top w:val="nil"/>
              <w:left w:val="nil"/>
              <w:bottom w:val="nil"/>
              <w:right w:val="nil"/>
            </w:tcBorders>
            <w:shd w:val="clear" w:color="auto" w:fill="FFFFFF"/>
            <w:tcMar>
              <w:left w:w="67" w:type="dxa"/>
              <w:right w:w="67" w:type="dxa"/>
            </w:tcMar>
            <w:vAlign w:val="center"/>
          </w:tcPr>
          <w:p w14:paraId="144ED5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0.5686</w:t>
            </w:r>
          </w:p>
        </w:tc>
        <w:tc>
          <w:tcPr>
            <w:tcW w:w="1134" w:type="dxa"/>
            <w:tcBorders>
              <w:top w:val="nil"/>
              <w:left w:val="nil"/>
              <w:bottom w:val="nil"/>
              <w:right w:val="nil"/>
            </w:tcBorders>
            <w:shd w:val="clear" w:color="auto" w:fill="FFFFFF"/>
            <w:tcMar>
              <w:left w:w="67" w:type="dxa"/>
              <w:right w:w="67" w:type="dxa"/>
            </w:tcMar>
            <w:vAlign w:val="center"/>
          </w:tcPr>
          <w:p w14:paraId="2F5650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0.3383</w:t>
            </w:r>
          </w:p>
        </w:tc>
        <w:tc>
          <w:tcPr>
            <w:tcW w:w="1134" w:type="dxa"/>
            <w:tcBorders>
              <w:top w:val="nil"/>
              <w:left w:val="nil"/>
              <w:bottom w:val="nil"/>
              <w:right w:val="nil"/>
            </w:tcBorders>
            <w:shd w:val="clear" w:color="auto" w:fill="FFFFFF"/>
            <w:tcMar>
              <w:left w:w="67" w:type="dxa"/>
              <w:right w:w="67" w:type="dxa"/>
            </w:tcMar>
            <w:vAlign w:val="center"/>
          </w:tcPr>
          <w:p w14:paraId="1D66E7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0.9554</w:t>
            </w:r>
          </w:p>
        </w:tc>
        <w:tc>
          <w:tcPr>
            <w:tcW w:w="1134" w:type="dxa"/>
            <w:tcBorders>
              <w:top w:val="nil"/>
              <w:left w:val="nil"/>
              <w:bottom w:val="nil"/>
              <w:right w:val="nil"/>
            </w:tcBorders>
            <w:shd w:val="clear" w:color="auto" w:fill="FFFFFF"/>
            <w:tcMar>
              <w:left w:w="67" w:type="dxa"/>
              <w:right w:w="67" w:type="dxa"/>
            </w:tcMar>
            <w:vAlign w:val="center"/>
          </w:tcPr>
          <w:p w14:paraId="0FB9922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D285B6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48311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E0940D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D40A24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639E2FB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9898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-0.0896</w:t>
            </w:r>
          </w:p>
        </w:tc>
        <w:tc>
          <w:tcPr>
            <w:tcW w:w="1134" w:type="dxa"/>
            <w:tcBorders>
              <w:top w:val="nil"/>
              <w:left w:val="nil"/>
              <w:bottom w:val="nil"/>
              <w:right w:val="nil"/>
            </w:tcBorders>
            <w:shd w:val="clear" w:color="auto" w:fill="FFFFFF"/>
            <w:tcMar>
              <w:left w:w="67" w:type="dxa"/>
              <w:right w:w="67" w:type="dxa"/>
            </w:tcMar>
            <w:vAlign w:val="center"/>
          </w:tcPr>
          <w:p w14:paraId="67233D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0.1816</w:t>
            </w:r>
          </w:p>
        </w:tc>
        <w:tc>
          <w:tcPr>
            <w:tcW w:w="1134" w:type="dxa"/>
            <w:tcBorders>
              <w:top w:val="nil"/>
              <w:left w:val="nil"/>
              <w:bottom w:val="nil"/>
              <w:right w:val="nil"/>
            </w:tcBorders>
            <w:shd w:val="clear" w:color="auto" w:fill="FFFFFF"/>
            <w:tcMar>
              <w:left w:w="67" w:type="dxa"/>
              <w:right w:w="67" w:type="dxa"/>
            </w:tcMar>
            <w:vAlign w:val="center"/>
          </w:tcPr>
          <w:p w14:paraId="4DEB59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0.9143</w:t>
            </w:r>
          </w:p>
        </w:tc>
        <w:tc>
          <w:tcPr>
            <w:tcW w:w="1134" w:type="dxa"/>
            <w:tcBorders>
              <w:top w:val="nil"/>
              <w:left w:val="nil"/>
              <w:bottom w:val="nil"/>
              <w:right w:val="nil"/>
            </w:tcBorders>
            <w:shd w:val="clear" w:color="auto" w:fill="FFFFFF"/>
            <w:tcMar>
              <w:left w:w="67" w:type="dxa"/>
              <w:right w:w="67" w:type="dxa"/>
            </w:tcMar>
            <w:vAlign w:val="center"/>
          </w:tcPr>
          <w:p w14:paraId="58D440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0.6085</w:t>
            </w:r>
          </w:p>
        </w:tc>
        <w:tc>
          <w:tcPr>
            <w:tcW w:w="1134" w:type="dxa"/>
            <w:tcBorders>
              <w:top w:val="nil"/>
              <w:left w:val="nil"/>
              <w:bottom w:val="nil"/>
              <w:right w:val="nil"/>
            </w:tcBorders>
            <w:shd w:val="clear" w:color="auto" w:fill="FFFFFF"/>
            <w:tcMar>
              <w:left w:w="67" w:type="dxa"/>
              <w:right w:w="67" w:type="dxa"/>
            </w:tcMar>
            <w:vAlign w:val="center"/>
          </w:tcPr>
          <w:p w14:paraId="61C26F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1.3737</w:t>
            </w:r>
          </w:p>
        </w:tc>
        <w:tc>
          <w:tcPr>
            <w:tcW w:w="1134" w:type="dxa"/>
            <w:tcBorders>
              <w:top w:val="nil"/>
              <w:left w:val="nil"/>
              <w:bottom w:val="nil"/>
              <w:right w:val="nil"/>
            </w:tcBorders>
            <w:shd w:val="clear" w:color="auto" w:fill="FFFFFF"/>
            <w:tcMar>
              <w:left w:w="67" w:type="dxa"/>
              <w:right w:w="67" w:type="dxa"/>
            </w:tcMar>
            <w:vAlign w:val="center"/>
          </w:tcPr>
          <w:p w14:paraId="7B3FAA8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47ED3F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9778F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C77136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409B4D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36BD7F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B486D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-0.0935</w:t>
            </w:r>
          </w:p>
        </w:tc>
        <w:tc>
          <w:tcPr>
            <w:tcW w:w="1134" w:type="dxa"/>
            <w:tcBorders>
              <w:top w:val="nil"/>
              <w:left w:val="nil"/>
              <w:bottom w:val="nil"/>
              <w:right w:val="nil"/>
            </w:tcBorders>
            <w:shd w:val="clear" w:color="auto" w:fill="FFFFFF"/>
            <w:tcMar>
              <w:left w:w="67" w:type="dxa"/>
              <w:right w:w="67" w:type="dxa"/>
            </w:tcMar>
            <w:vAlign w:val="center"/>
          </w:tcPr>
          <w:p w14:paraId="349DBA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0.1825</w:t>
            </w:r>
          </w:p>
        </w:tc>
        <w:tc>
          <w:tcPr>
            <w:tcW w:w="1134" w:type="dxa"/>
            <w:tcBorders>
              <w:top w:val="nil"/>
              <w:left w:val="nil"/>
              <w:bottom w:val="nil"/>
              <w:right w:val="nil"/>
            </w:tcBorders>
            <w:shd w:val="clear" w:color="auto" w:fill="FFFFFF"/>
            <w:tcMar>
              <w:left w:w="67" w:type="dxa"/>
              <w:right w:w="67" w:type="dxa"/>
            </w:tcMar>
            <w:vAlign w:val="center"/>
          </w:tcPr>
          <w:p w14:paraId="2211CC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0.9107</w:t>
            </w:r>
          </w:p>
        </w:tc>
        <w:tc>
          <w:tcPr>
            <w:tcW w:w="1134" w:type="dxa"/>
            <w:tcBorders>
              <w:top w:val="nil"/>
              <w:left w:val="nil"/>
              <w:bottom w:val="nil"/>
              <w:right w:val="nil"/>
            </w:tcBorders>
            <w:shd w:val="clear" w:color="auto" w:fill="FFFFFF"/>
            <w:tcMar>
              <w:left w:w="67" w:type="dxa"/>
              <w:right w:w="67" w:type="dxa"/>
            </w:tcMar>
            <w:vAlign w:val="center"/>
          </w:tcPr>
          <w:p w14:paraId="1FDCAE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0.6050</w:t>
            </w:r>
          </w:p>
        </w:tc>
        <w:tc>
          <w:tcPr>
            <w:tcW w:w="1134" w:type="dxa"/>
            <w:tcBorders>
              <w:top w:val="nil"/>
              <w:left w:val="nil"/>
              <w:bottom w:val="nil"/>
              <w:right w:val="nil"/>
            </w:tcBorders>
            <w:shd w:val="clear" w:color="auto" w:fill="FFFFFF"/>
            <w:tcMar>
              <w:left w:w="67" w:type="dxa"/>
              <w:right w:w="67" w:type="dxa"/>
            </w:tcMar>
            <w:vAlign w:val="center"/>
          </w:tcPr>
          <w:p w14:paraId="70108F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1.3710</w:t>
            </w:r>
          </w:p>
        </w:tc>
        <w:tc>
          <w:tcPr>
            <w:tcW w:w="1134" w:type="dxa"/>
            <w:tcBorders>
              <w:top w:val="nil"/>
              <w:left w:val="nil"/>
              <w:bottom w:val="nil"/>
              <w:right w:val="nil"/>
            </w:tcBorders>
            <w:shd w:val="clear" w:color="auto" w:fill="FFFFFF"/>
            <w:tcMar>
              <w:left w:w="67" w:type="dxa"/>
              <w:right w:w="67" w:type="dxa"/>
            </w:tcMar>
            <w:vAlign w:val="center"/>
          </w:tcPr>
          <w:p w14:paraId="464C39D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552CFF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01ADD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56B0B7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F3051B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BBD0BD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7C0F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0.1332</w:t>
            </w:r>
          </w:p>
        </w:tc>
        <w:tc>
          <w:tcPr>
            <w:tcW w:w="1134" w:type="dxa"/>
            <w:tcBorders>
              <w:top w:val="nil"/>
              <w:left w:val="nil"/>
              <w:bottom w:val="nil"/>
              <w:right w:val="nil"/>
            </w:tcBorders>
            <w:shd w:val="clear" w:color="auto" w:fill="FFFFFF"/>
            <w:tcMar>
              <w:left w:w="67" w:type="dxa"/>
              <w:right w:w="67" w:type="dxa"/>
            </w:tcMar>
            <w:vAlign w:val="center"/>
          </w:tcPr>
          <w:p w14:paraId="487AA7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0.1809</w:t>
            </w:r>
          </w:p>
        </w:tc>
        <w:tc>
          <w:tcPr>
            <w:tcW w:w="1134" w:type="dxa"/>
            <w:tcBorders>
              <w:top w:val="nil"/>
              <w:left w:val="nil"/>
              <w:bottom w:val="nil"/>
              <w:right w:val="nil"/>
            </w:tcBorders>
            <w:shd w:val="clear" w:color="auto" w:fill="FFFFFF"/>
            <w:tcMar>
              <w:left w:w="67" w:type="dxa"/>
              <w:right w:w="67" w:type="dxa"/>
            </w:tcMar>
            <w:vAlign w:val="center"/>
          </w:tcPr>
          <w:p w14:paraId="2474BA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1.1424</w:t>
            </w:r>
          </w:p>
        </w:tc>
        <w:tc>
          <w:tcPr>
            <w:tcW w:w="1134" w:type="dxa"/>
            <w:tcBorders>
              <w:top w:val="nil"/>
              <w:left w:val="nil"/>
              <w:bottom w:val="nil"/>
              <w:right w:val="nil"/>
            </w:tcBorders>
            <w:shd w:val="clear" w:color="auto" w:fill="FFFFFF"/>
            <w:tcMar>
              <w:left w:w="67" w:type="dxa"/>
              <w:right w:w="67" w:type="dxa"/>
            </w:tcMar>
            <w:vAlign w:val="center"/>
          </w:tcPr>
          <w:p w14:paraId="2D203D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0.7616</w:t>
            </w:r>
          </w:p>
        </w:tc>
        <w:tc>
          <w:tcPr>
            <w:tcW w:w="1134" w:type="dxa"/>
            <w:tcBorders>
              <w:top w:val="nil"/>
              <w:left w:val="nil"/>
              <w:bottom w:val="nil"/>
              <w:right w:val="nil"/>
            </w:tcBorders>
            <w:shd w:val="clear" w:color="auto" w:fill="FFFFFF"/>
            <w:tcMar>
              <w:left w:w="67" w:type="dxa"/>
              <w:right w:w="67" w:type="dxa"/>
            </w:tcMar>
            <w:vAlign w:val="center"/>
          </w:tcPr>
          <w:p w14:paraId="48E3BB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1.7137</w:t>
            </w:r>
          </w:p>
        </w:tc>
        <w:tc>
          <w:tcPr>
            <w:tcW w:w="1134" w:type="dxa"/>
            <w:tcBorders>
              <w:top w:val="nil"/>
              <w:left w:val="nil"/>
              <w:bottom w:val="nil"/>
              <w:right w:val="nil"/>
            </w:tcBorders>
            <w:shd w:val="clear" w:color="auto" w:fill="FFFFFF"/>
            <w:tcMar>
              <w:left w:w="67" w:type="dxa"/>
              <w:right w:w="67" w:type="dxa"/>
            </w:tcMar>
            <w:vAlign w:val="center"/>
          </w:tcPr>
          <w:p w14:paraId="638DB45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4CCDB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7CCA5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B6DDD3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6A31C4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7A7FF5E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A0893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-0.1304</w:t>
            </w:r>
          </w:p>
        </w:tc>
        <w:tc>
          <w:tcPr>
            <w:tcW w:w="1134" w:type="dxa"/>
            <w:tcBorders>
              <w:top w:val="nil"/>
              <w:left w:val="nil"/>
              <w:bottom w:val="nil"/>
              <w:right w:val="nil"/>
            </w:tcBorders>
            <w:shd w:val="clear" w:color="auto" w:fill="FFFFFF"/>
            <w:tcMar>
              <w:left w:w="67" w:type="dxa"/>
              <w:right w:w="67" w:type="dxa"/>
            </w:tcMar>
            <w:vAlign w:val="center"/>
          </w:tcPr>
          <w:p w14:paraId="561A07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0.1607</w:t>
            </w:r>
          </w:p>
        </w:tc>
        <w:tc>
          <w:tcPr>
            <w:tcW w:w="1134" w:type="dxa"/>
            <w:tcBorders>
              <w:top w:val="nil"/>
              <w:left w:val="nil"/>
              <w:bottom w:val="nil"/>
              <w:right w:val="nil"/>
            </w:tcBorders>
            <w:shd w:val="clear" w:color="auto" w:fill="FFFFFF"/>
            <w:tcMar>
              <w:left w:w="67" w:type="dxa"/>
              <w:right w:w="67" w:type="dxa"/>
            </w:tcMar>
            <w:vAlign w:val="center"/>
          </w:tcPr>
          <w:p w14:paraId="3F9C65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0.8778</w:t>
            </w:r>
          </w:p>
        </w:tc>
        <w:tc>
          <w:tcPr>
            <w:tcW w:w="1134" w:type="dxa"/>
            <w:tcBorders>
              <w:top w:val="nil"/>
              <w:left w:val="nil"/>
              <w:bottom w:val="nil"/>
              <w:right w:val="nil"/>
            </w:tcBorders>
            <w:shd w:val="clear" w:color="auto" w:fill="FFFFFF"/>
            <w:tcMar>
              <w:left w:w="67" w:type="dxa"/>
              <w:right w:w="67" w:type="dxa"/>
            </w:tcMar>
            <w:vAlign w:val="center"/>
          </w:tcPr>
          <w:p w14:paraId="6DE325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0.6122</w:t>
            </w:r>
          </w:p>
        </w:tc>
        <w:tc>
          <w:tcPr>
            <w:tcW w:w="1134" w:type="dxa"/>
            <w:tcBorders>
              <w:top w:val="nil"/>
              <w:left w:val="nil"/>
              <w:bottom w:val="nil"/>
              <w:right w:val="nil"/>
            </w:tcBorders>
            <w:shd w:val="clear" w:color="auto" w:fill="FFFFFF"/>
            <w:tcMar>
              <w:left w:w="67" w:type="dxa"/>
              <w:right w:w="67" w:type="dxa"/>
            </w:tcMar>
            <w:vAlign w:val="center"/>
          </w:tcPr>
          <w:p w14:paraId="3E274B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1.2586</w:t>
            </w:r>
          </w:p>
        </w:tc>
        <w:tc>
          <w:tcPr>
            <w:tcW w:w="1134" w:type="dxa"/>
            <w:tcBorders>
              <w:top w:val="nil"/>
              <w:left w:val="nil"/>
              <w:bottom w:val="nil"/>
              <w:right w:val="nil"/>
            </w:tcBorders>
            <w:shd w:val="clear" w:color="auto" w:fill="FFFFFF"/>
            <w:tcMar>
              <w:left w:w="67" w:type="dxa"/>
              <w:right w:w="67" w:type="dxa"/>
            </w:tcMar>
            <w:vAlign w:val="center"/>
          </w:tcPr>
          <w:p w14:paraId="048D5DE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57DE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EF6E7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82749D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0CB745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83B421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4642C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-0.0401</w:t>
            </w:r>
          </w:p>
        </w:tc>
        <w:tc>
          <w:tcPr>
            <w:tcW w:w="1134" w:type="dxa"/>
            <w:tcBorders>
              <w:top w:val="nil"/>
              <w:left w:val="nil"/>
              <w:bottom w:val="nil"/>
              <w:right w:val="nil"/>
            </w:tcBorders>
            <w:shd w:val="clear" w:color="auto" w:fill="FFFFFF"/>
            <w:tcMar>
              <w:left w:w="67" w:type="dxa"/>
              <w:right w:w="67" w:type="dxa"/>
            </w:tcMar>
            <w:vAlign w:val="center"/>
          </w:tcPr>
          <w:p w14:paraId="02187B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0.1555</w:t>
            </w:r>
          </w:p>
        </w:tc>
        <w:tc>
          <w:tcPr>
            <w:tcW w:w="1134" w:type="dxa"/>
            <w:tcBorders>
              <w:top w:val="nil"/>
              <w:left w:val="nil"/>
              <w:bottom w:val="nil"/>
              <w:right w:val="nil"/>
            </w:tcBorders>
            <w:shd w:val="clear" w:color="auto" w:fill="FFFFFF"/>
            <w:tcMar>
              <w:left w:w="67" w:type="dxa"/>
              <w:right w:w="67" w:type="dxa"/>
            </w:tcMar>
            <w:vAlign w:val="center"/>
          </w:tcPr>
          <w:p w14:paraId="003DFB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0.9607</w:t>
            </w:r>
          </w:p>
        </w:tc>
        <w:tc>
          <w:tcPr>
            <w:tcW w:w="1134" w:type="dxa"/>
            <w:tcBorders>
              <w:top w:val="nil"/>
              <w:left w:val="nil"/>
              <w:bottom w:val="nil"/>
              <w:right w:val="nil"/>
            </w:tcBorders>
            <w:shd w:val="clear" w:color="auto" w:fill="FFFFFF"/>
            <w:tcMar>
              <w:left w:w="67" w:type="dxa"/>
              <w:right w:w="67" w:type="dxa"/>
            </w:tcMar>
            <w:vAlign w:val="center"/>
          </w:tcPr>
          <w:p w14:paraId="64EF78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0.6779</w:t>
            </w:r>
          </w:p>
        </w:tc>
        <w:tc>
          <w:tcPr>
            <w:tcW w:w="1134" w:type="dxa"/>
            <w:tcBorders>
              <w:top w:val="nil"/>
              <w:left w:val="nil"/>
              <w:bottom w:val="nil"/>
              <w:right w:val="nil"/>
            </w:tcBorders>
            <w:shd w:val="clear" w:color="auto" w:fill="FFFFFF"/>
            <w:tcMar>
              <w:left w:w="67" w:type="dxa"/>
              <w:right w:w="67" w:type="dxa"/>
            </w:tcMar>
            <w:vAlign w:val="center"/>
          </w:tcPr>
          <w:p w14:paraId="51FE63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1.3615</w:t>
            </w:r>
          </w:p>
        </w:tc>
        <w:tc>
          <w:tcPr>
            <w:tcW w:w="1134" w:type="dxa"/>
            <w:tcBorders>
              <w:top w:val="nil"/>
              <w:left w:val="nil"/>
              <w:bottom w:val="nil"/>
              <w:right w:val="nil"/>
            </w:tcBorders>
            <w:shd w:val="clear" w:color="auto" w:fill="FFFFFF"/>
            <w:tcMar>
              <w:left w:w="67" w:type="dxa"/>
              <w:right w:w="67" w:type="dxa"/>
            </w:tcMar>
            <w:vAlign w:val="center"/>
          </w:tcPr>
          <w:p w14:paraId="2738802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D99E75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4C8F6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3AAB26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648F05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738D94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AF532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-0.0386</w:t>
            </w:r>
          </w:p>
        </w:tc>
        <w:tc>
          <w:tcPr>
            <w:tcW w:w="1134" w:type="dxa"/>
            <w:tcBorders>
              <w:top w:val="nil"/>
              <w:left w:val="nil"/>
              <w:bottom w:val="nil"/>
              <w:right w:val="nil"/>
            </w:tcBorders>
            <w:shd w:val="clear" w:color="auto" w:fill="FFFFFF"/>
            <w:tcMar>
              <w:left w:w="67" w:type="dxa"/>
              <w:right w:w="67" w:type="dxa"/>
            </w:tcMar>
            <w:vAlign w:val="center"/>
          </w:tcPr>
          <w:p w14:paraId="3B9D00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0.1585</w:t>
            </w:r>
          </w:p>
        </w:tc>
        <w:tc>
          <w:tcPr>
            <w:tcW w:w="1134" w:type="dxa"/>
            <w:tcBorders>
              <w:top w:val="nil"/>
              <w:left w:val="nil"/>
              <w:bottom w:val="nil"/>
              <w:right w:val="nil"/>
            </w:tcBorders>
            <w:shd w:val="clear" w:color="auto" w:fill="FFFFFF"/>
            <w:tcMar>
              <w:left w:w="67" w:type="dxa"/>
              <w:right w:w="67" w:type="dxa"/>
            </w:tcMar>
            <w:vAlign w:val="center"/>
          </w:tcPr>
          <w:p w14:paraId="111E8F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0.9621</w:t>
            </w:r>
          </w:p>
        </w:tc>
        <w:tc>
          <w:tcPr>
            <w:tcW w:w="1134" w:type="dxa"/>
            <w:tcBorders>
              <w:top w:val="nil"/>
              <w:left w:val="nil"/>
              <w:bottom w:val="nil"/>
              <w:right w:val="nil"/>
            </w:tcBorders>
            <w:shd w:val="clear" w:color="auto" w:fill="FFFFFF"/>
            <w:tcMar>
              <w:left w:w="67" w:type="dxa"/>
              <w:right w:w="67" w:type="dxa"/>
            </w:tcMar>
            <w:vAlign w:val="center"/>
          </w:tcPr>
          <w:p w14:paraId="5C7336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0.6743</w:t>
            </w:r>
          </w:p>
        </w:tc>
        <w:tc>
          <w:tcPr>
            <w:tcW w:w="1134" w:type="dxa"/>
            <w:tcBorders>
              <w:top w:val="nil"/>
              <w:left w:val="nil"/>
              <w:bottom w:val="nil"/>
              <w:right w:val="nil"/>
            </w:tcBorders>
            <w:shd w:val="clear" w:color="auto" w:fill="FFFFFF"/>
            <w:tcMar>
              <w:left w:w="67" w:type="dxa"/>
              <w:right w:w="67" w:type="dxa"/>
            </w:tcMar>
            <w:vAlign w:val="center"/>
          </w:tcPr>
          <w:p w14:paraId="4AFBDE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1.3728</w:t>
            </w:r>
          </w:p>
        </w:tc>
        <w:tc>
          <w:tcPr>
            <w:tcW w:w="1134" w:type="dxa"/>
            <w:tcBorders>
              <w:top w:val="nil"/>
              <w:left w:val="nil"/>
              <w:bottom w:val="nil"/>
              <w:right w:val="nil"/>
            </w:tcBorders>
            <w:shd w:val="clear" w:color="auto" w:fill="FFFFFF"/>
            <w:tcMar>
              <w:left w:w="67" w:type="dxa"/>
              <w:right w:w="67" w:type="dxa"/>
            </w:tcMar>
            <w:vAlign w:val="center"/>
          </w:tcPr>
          <w:p w14:paraId="3B86168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21AC76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619C0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2D0D0F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68BADFA"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4082" w:type="dxa"/>
            <w:tcBorders>
              <w:top w:val="nil"/>
              <w:left w:val="nil"/>
              <w:bottom w:val="nil"/>
              <w:right w:val="nil"/>
            </w:tcBorders>
            <w:shd w:val="clear" w:color="auto" w:fill="FFFFFF"/>
            <w:tcMar>
              <w:left w:w="67" w:type="dxa"/>
              <w:right w:w="67" w:type="dxa"/>
            </w:tcMar>
            <w:vAlign w:val="center"/>
          </w:tcPr>
          <w:p w14:paraId="479E3A5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C320D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0.0372</w:t>
            </w:r>
          </w:p>
        </w:tc>
        <w:tc>
          <w:tcPr>
            <w:tcW w:w="1134" w:type="dxa"/>
            <w:tcBorders>
              <w:top w:val="nil"/>
              <w:left w:val="nil"/>
              <w:bottom w:val="nil"/>
              <w:right w:val="nil"/>
            </w:tcBorders>
            <w:shd w:val="clear" w:color="auto" w:fill="FFFFFF"/>
            <w:tcMar>
              <w:left w:w="67" w:type="dxa"/>
              <w:right w:w="67" w:type="dxa"/>
            </w:tcMar>
            <w:vAlign w:val="center"/>
          </w:tcPr>
          <w:p w14:paraId="473245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0.0058</w:t>
            </w:r>
          </w:p>
        </w:tc>
        <w:tc>
          <w:tcPr>
            <w:tcW w:w="1134" w:type="dxa"/>
            <w:tcBorders>
              <w:top w:val="nil"/>
              <w:left w:val="nil"/>
              <w:bottom w:val="nil"/>
              <w:right w:val="nil"/>
            </w:tcBorders>
            <w:shd w:val="clear" w:color="auto" w:fill="FFFFFF"/>
            <w:tcMar>
              <w:left w:w="67" w:type="dxa"/>
              <w:right w:w="67" w:type="dxa"/>
            </w:tcMar>
            <w:vAlign w:val="center"/>
          </w:tcPr>
          <w:p w14:paraId="6E94F1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1.0379</w:t>
            </w:r>
          </w:p>
        </w:tc>
        <w:tc>
          <w:tcPr>
            <w:tcW w:w="1134" w:type="dxa"/>
            <w:tcBorders>
              <w:top w:val="nil"/>
              <w:left w:val="nil"/>
              <w:bottom w:val="nil"/>
              <w:right w:val="nil"/>
            </w:tcBorders>
            <w:shd w:val="clear" w:color="auto" w:fill="FFFFFF"/>
            <w:tcMar>
              <w:left w:w="67" w:type="dxa"/>
              <w:right w:w="67" w:type="dxa"/>
            </w:tcMar>
            <w:vAlign w:val="center"/>
          </w:tcPr>
          <w:p w14:paraId="62F2EB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1.0244</w:t>
            </w:r>
          </w:p>
        </w:tc>
        <w:tc>
          <w:tcPr>
            <w:tcW w:w="1134" w:type="dxa"/>
            <w:tcBorders>
              <w:top w:val="nil"/>
              <w:left w:val="nil"/>
              <w:bottom w:val="nil"/>
              <w:right w:val="nil"/>
            </w:tcBorders>
            <w:shd w:val="clear" w:color="auto" w:fill="FFFFFF"/>
            <w:tcMar>
              <w:left w:w="67" w:type="dxa"/>
              <w:right w:w="67" w:type="dxa"/>
            </w:tcMar>
            <w:vAlign w:val="center"/>
          </w:tcPr>
          <w:p w14:paraId="1C52EA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1.0516</w:t>
            </w:r>
          </w:p>
        </w:tc>
        <w:tc>
          <w:tcPr>
            <w:tcW w:w="1134" w:type="dxa"/>
            <w:tcBorders>
              <w:top w:val="nil"/>
              <w:left w:val="nil"/>
              <w:bottom w:val="nil"/>
              <w:right w:val="nil"/>
            </w:tcBorders>
            <w:shd w:val="clear" w:color="auto" w:fill="FFFFFF"/>
            <w:tcMar>
              <w:left w:w="67" w:type="dxa"/>
              <w:right w:w="67" w:type="dxa"/>
            </w:tcMar>
            <w:vAlign w:val="center"/>
          </w:tcPr>
          <w:p w14:paraId="34048B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40.71</w:t>
            </w:r>
          </w:p>
        </w:tc>
        <w:tc>
          <w:tcPr>
            <w:tcW w:w="567" w:type="dxa"/>
            <w:tcBorders>
              <w:top w:val="nil"/>
              <w:left w:val="nil"/>
              <w:bottom w:val="nil"/>
              <w:right w:val="nil"/>
            </w:tcBorders>
            <w:shd w:val="clear" w:color="auto" w:fill="FFFFFF"/>
            <w:tcMar>
              <w:left w:w="67" w:type="dxa"/>
              <w:right w:w="67" w:type="dxa"/>
            </w:tcMar>
            <w:vAlign w:val="center"/>
          </w:tcPr>
          <w:p w14:paraId="2D7934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EF5D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2FC349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FECDA56"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4082" w:type="dxa"/>
            <w:tcBorders>
              <w:top w:val="nil"/>
              <w:left w:val="nil"/>
              <w:bottom w:val="nil"/>
              <w:right w:val="nil"/>
            </w:tcBorders>
            <w:shd w:val="clear" w:color="auto" w:fill="FFFFFF"/>
            <w:tcMar>
              <w:left w:w="67" w:type="dxa"/>
              <w:right w:w="67" w:type="dxa"/>
            </w:tcMar>
            <w:vAlign w:val="center"/>
          </w:tcPr>
          <w:p w14:paraId="5C80E9D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897AA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nil"/>
              <w:right w:val="nil"/>
            </w:tcBorders>
            <w:shd w:val="clear" w:color="auto" w:fill="FFFFFF"/>
            <w:tcMar>
              <w:left w:w="67" w:type="dxa"/>
              <w:right w:w="67" w:type="dxa"/>
            </w:tcMar>
            <w:vAlign w:val="center"/>
          </w:tcPr>
          <w:p w14:paraId="4D6F49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0.0073</w:t>
            </w:r>
          </w:p>
        </w:tc>
        <w:tc>
          <w:tcPr>
            <w:tcW w:w="1134" w:type="dxa"/>
            <w:tcBorders>
              <w:top w:val="nil"/>
              <w:left w:val="nil"/>
              <w:bottom w:val="nil"/>
              <w:right w:val="nil"/>
            </w:tcBorders>
            <w:shd w:val="clear" w:color="auto" w:fill="FFFFFF"/>
            <w:tcMar>
              <w:left w:w="67" w:type="dxa"/>
              <w:right w:w="67" w:type="dxa"/>
            </w:tcMar>
            <w:vAlign w:val="center"/>
          </w:tcPr>
          <w:p w14:paraId="415C5D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1.0043</w:t>
            </w:r>
          </w:p>
        </w:tc>
        <w:tc>
          <w:tcPr>
            <w:tcW w:w="1134" w:type="dxa"/>
            <w:tcBorders>
              <w:top w:val="nil"/>
              <w:left w:val="nil"/>
              <w:bottom w:val="nil"/>
              <w:right w:val="nil"/>
            </w:tcBorders>
            <w:shd w:val="clear" w:color="auto" w:fill="FFFFFF"/>
            <w:tcMar>
              <w:left w:w="67" w:type="dxa"/>
              <w:right w:w="67" w:type="dxa"/>
            </w:tcMar>
            <w:vAlign w:val="center"/>
          </w:tcPr>
          <w:p w14:paraId="0F723C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0.9880</w:t>
            </w:r>
          </w:p>
        </w:tc>
        <w:tc>
          <w:tcPr>
            <w:tcW w:w="1134" w:type="dxa"/>
            <w:tcBorders>
              <w:top w:val="nil"/>
              <w:left w:val="nil"/>
              <w:bottom w:val="nil"/>
              <w:right w:val="nil"/>
            </w:tcBorders>
            <w:shd w:val="clear" w:color="auto" w:fill="FFFFFF"/>
            <w:tcMar>
              <w:left w:w="67" w:type="dxa"/>
              <w:right w:w="67" w:type="dxa"/>
            </w:tcMar>
            <w:vAlign w:val="center"/>
          </w:tcPr>
          <w:p w14:paraId="2C7EB2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1.0209</w:t>
            </w:r>
          </w:p>
        </w:tc>
        <w:tc>
          <w:tcPr>
            <w:tcW w:w="1134" w:type="dxa"/>
            <w:tcBorders>
              <w:top w:val="nil"/>
              <w:left w:val="nil"/>
              <w:bottom w:val="nil"/>
              <w:right w:val="nil"/>
            </w:tcBorders>
            <w:shd w:val="clear" w:color="auto" w:fill="FFFFFF"/>
            <w:tcMar>
              <w:left w:w="67" w:type="dxa"/>
              <w:right w:w="67" w:type="dxa"/>
            </w:tcMar>
            <w:vAlign w:val="center"/>
          </w:tcPr>
          <w:p w14:paraId="138A22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w:t>
            </w:r>
          </w:p>
        </w:tc>
        <w:tc>
          <w:tcPr>
            <w:tcW w:w="567" w:type="dxa"/>
            <w:tcBorders>
              <w:top w:val="nil"/>
              <w:left w:val="nil"/>
              <w:bottom w:val="nil"/>
              <w:right w:val="nil"/>
            </w:tcBorders>
            <w:shd w:val="clear" w:color="auto" w:fill="FFFFFF"/>
            <w:tcMar>
              <w:left w:w="67" w:type="dxa"/>
              <w:right w:w="67" w:type="dxa"/>
            </w:tcMar>
            <w:vAlign w:val="center"/>
          </w:tcPr>
          <w:p w14:paraId="35646B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88D62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0.5577</w:t>
            </w:r>
          </w:p>
        </w:tc>
      </w:tr>
      <w:tr w:rsidR="00B77EA3" w:rsidRPr="0082484A" w14:paraId="55C236C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07A28F8"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4082" w:type="dxa"/>
            <w:tcBorders>
              <w:top w:val="nil"/>
              <w:left w:val="nil"/>
              <w:bottom w:val="nil"/>
              <w:right w:val="nil"/>
            </w:tcBorders>
            <w:shd w:val="clear" w:color="auto" w:fill="FFFFFF"/>
            <w:tcMar>
              <w:left w:w="67" w:type="dxa"/>
              <w:right w:w="67" w:type="dxa"/>
            </w:tcMar>
            <w:vAlign w:val="center"/>
          </w:tcPr>
          <w:p w14:paraId="1982A11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369BD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4A8863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w:t>
            </w:r>
          </w:p>
        </w:tc>
        <w:tc>
          <w:tcPr>
            <w:tcW w:w="1134" w:type="dxa"/>
            <w:tcBorders>
              <w:top w:val="nil"/>
              <w:left w:val="nil"/>
              <w:bottom w:val="nil"/>
              <w:right w:val="nil"/>
            </w:tcBorders>
            <w:shd w:val="clear" w:color="auto" w:fill="FFFFFF"/>
            <w:tcMar>
              <w:left w:w="67" w:type="dxa"/>
              <w:right w:w="67" w:type="dxa"/>
            </w:tcMar>
            <w:vAlign w:val="center"/>
          </w:tcPr>
          <w:p w14:paraId="6D6072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1.0021</w:t>
            </w:r>
          </w:p>
        </w:tc>
        <w:tc>
          <w:tcPr>
            <w:tcW w:w="1134" w:type="dxa"/>
            <w:tcBorders>
              <w:top w:val="nil"/>
              <w:left w:val="nil"/>
              <w:bottom w:val="nil"/>
              <w:right w:val="nil"/>
            </w:tcBorders>
            <w:shd w:val="clear" w:color="auto" w:fill="FFFFFF"/>
            <w:tcMar>
              <w:left w:w="67" w:type="dxa"/>
              <w:right w:w="67" w:type="dxa"/>
            </w:tcMar>
            <w:vAlign w:val="center"/>
          </w:tcPr>
          <w:p w14:paraId="280F44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0.9971</w:t>
            </w:r>
          </w:p>
        </w:tc>
        <w:tc>
          <w:tcPr>
            <w:tcW w:w="1134" w:type="dxa"/>
            <w:tcBorders>
              <w:top w:val="nil"/>
              <w:left w:val="nil"/>
              <w:bottom w:val="nil"/>
              <w:right w:val="nil"/>
            </w:tcBorders>
            <w:shd w:val="clear" w:color="auto" w:fill="FFFFFF"/>
            <w:tcMar>
              <w:left w:w="67" w:type="dxa"/>
              <w:right w:w="67" w:type="dxa"/>
            </w:tcMar>
            <w:vAlign w:val="center"/>
          </w:tcPr>
          <w:p w14:paraId="6CB390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1.0071</w:t>
            </w:r>
          </w:p>
        </w:tc>
        <w:tc>
          <w:tcPr>
            <w:tcW w:w="1134" w:type="dxa"/>
            <w:tcBorders>
              <w:top w:val="nil"/>
              <w:left w:val="nil"/>
              <w:bottom w:val="nil"/>
              <w:right w:val="nil"/>
            </w:tcBorders>
            <w:shd w:val="clear" w:color="auto" w:fill="FFFFFF"/>
            <w:tcMar>
              <w:left w:w="67" w:type="dxa"/>
              <w:right w:w="67" w:type="dxa"/>
            </w:tcMar>
            <w:vAlign w:val="center"/>
          </w:tcPr>
          <w:p w14:paraId="3FB790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w:t>
            </w:r>
          </w:p>
        </w:tc>
        <w:tc>
          <w:tcPr>
            <w:tcW w:w="567" w:type="dxa"/>
            <w:tcBorders>
              <w:top w:val="nil"/>
              <w:left w:val="nil"/>
              <w:bottom w:val="nil"/>
              <w:right w:val="nil"/>
            </w:tcBorders>
            <w:shd w:val="clear" w:color="auto" w:fill="FFFFFF"/>
            <w:tcMar>
              <w:left w:w="67" w:type="dxa"/>
              <w:right w:w="67" w:type="dxa"/>
            </w:tcMar>
            <w:vAlign w:val="center"/>
          </w:tcPr>
          <w:p w14:paraId="003A79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509D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0.3533</w:t>
            </w:r>
          </w:p>
        </w:tc>
      </w:tr>
      <w:tr w:rsidR="00B77EA3" w:rsidRPr="0082484A" w14:paraId="25B106B0"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6BB99AE"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4082" w:type="dxa"/>
            <w:tcBorders>
              <w:top w:val="nil"/>
              <w:left w:val="nil"/>
              <w:bottom w:val="single" w:sz="11" w:space="0" w:color="000000"/>
              <w:right w:val="nil"/>
            </w:tcBorders>
            <w:shd w:val="clear" w:color="auto" w:fill="FFFFFF"/>
            <w:tcMar>
              <w:left w:w="67" w:type="dxa"/>
              <w:right w:w="67" w:type="dxa"/>
            </w:tcMar>
            <w:vAlign w:val="center"/>
          </w:tcPr>
          <w:p w14:paraId="36035C9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A03BF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CC570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0.0563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8348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1.0316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08011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0.9091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C3839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1.1705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411DE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C8487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135B03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0.5815</w:t>
            </w:r>
          </w:p>
        </w:tc>
      </w:tr>
    </w:tbl>
    <w:p w14:paraId="135A6502" w14:textId="77777777" w:rsidR="00B77EA3" w:rsidRPr="0082484A" w:rsidRDefault="00B77EA3" w:rsidP="00B77EA3">
      <w:pPr>
        <w:spacing w:before="0" w:after="160" w:line="259" w:lineRule="auto"/>
        <w:rPr>
          <w:sz w:val="22"/>
          <w:szCs w:val="22"/>
        </w:rPr>
      </w:pPr>
      <w:r w:rsidRPr="0082484A">
        <w:rPr>
          <w:sz w:val="22"/>
          <w:szCs w:val="22"/>
        </w:rPr>
        <w:t>The estimated number needed to treat for one patient with atrial fibrillation and a CHA2DS2-VASc score of 2 or above to be prescribed anticoagulation therapy is -118</w:t>
      </w:r>
    </w:p>
    <w:p w14:paraId="0DE1B3C1" w14:textId="77777777" w:rsidR="00B77EA3" w:rsidRPr="0082484A" w:rsidRDefault="00B77EA3" w:rsidP="00B77EA3">
      <w:pPr>
        <w:spacing w:before="0" w:after="160" w:line="259" w:lineRule="auto"/>
        <w:rPr>
          <w:sz w:val="22"/>
          <w:szCs w:val="22"/>
        </w:rPr>
      </w:pPr>
      <w:r w:rsidRPr="0082484A">
        <w:rPr>
          <w:sz w:val="22"/>
          <w:szCs w:val="22"/>
        </w:rPr>
        <w:br w:type="page"/>
      </w:r>
    </w:p>
    <w:p w14:paraId="26B9A52B" w14:textId="132BE8AE" w:rsidR="00B77EA3" w:rsidRPr="0082484A" w:rsidRDefault="00B77EA3" w:rsidP="00B77EA3">
      <w:pPr>
        <w:spacing w:before="0" w:line="240" w:lineRule="auto"/>
        <w:rPr>
          <w:bCs/>
          <w:sz w:val="22"/>
          <w:szCs w:val="22"/>
        </w:rPr>
      </w:pPr>
      <w:bookmarkStart w:id="179" w:name="_Ref502917887"/>
      <w:bookmarkStart w:id="180" w:name="_Toc8728123"/>
      <w:bookmarkStart w:id="181" w:name="_Toc19526778"/>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49</w:t>
      </w:r>
      <w:r w:rsidRPr="0082484A">
        <w:rPr>
          <w:bCs/>
          <w:noProof/>
          <w:sz w:val="22"/>
          <w:szCs w:val="22"/>
        </w:rPr>
        <w:fldChar w:fldCharType="end"/>
      </w:r>
      <w:bookmarkEnd w:id="179"/>
      <w:r w:rsidRPr="0082484A">
        <w:rPr>
          <w:bCs/>
          <w:sz w:val="22"/>
          <w:szCs w:val="22"/>
        </w:rPr>
        <w:t>: Secondary outcome for Trial 2: The proportion of men with atrial fibrillation and a CHA</w:t>
      </w:r>
      <w:r w:rsidRPr="0082484A">
        <w:rPr>
          <w:bCs/>
          <w:sz w:val="22"/>
          <w:szCs w:val="22"/>
          <w:vertAlign w:val="subscript"/>
        </w:rPr>
        <w:t>2</w:t>
      </w:r>
      <w:r w:rsidRPr="0082484A">
        <w:rPr>
          <w:bCs/>
          <w:sz w:val="22"/>
          <w:szCs w:val="22"/>
        </w:rPr>
        <w:t>DS</w:t>
      </w:r>
      <w:r w:rsidRPr="0082484A">
        <w:rPr>
          <w:bCs/>
          <w:sz w:val="22"/>
          <w:szCs w:val="22"/>
          <w:vertAlign w:val="subscript"/>
        </w:rPr>
        <w:t>2</w:t>
      </w:r>
      <w:r w:rsidRPr="0082484A">
        <w:rPr>
          <w:bCs/>
          <w:sz w:val="22"/>
          <w:szCs w:val="22"/>
        </w:rPr>
        <w:t>-VASc score of 1 with contraindication for anti-coagulation and prescribed anti-coagulation (WP4A)</w:t>
      </w:r>
      <w:bookmarkEnd w:id="180"/>
      <w:bookmarkEnd w:id="181"/>
    </w:p>
    <w:tbl>
      <w:tblPr>
        <w:tblW w:w="15705" w:type="dxa"/>
        <w:jc w:val="center"/>
        <w:tblLayout w:type="fixed"/>
        <w:tblCellMar>
          <w:left w:w="0" w:type="dxa"/>
          <w:right w:w="0" w:type="dxa"/>
        </w:tblCellMar>
        <w:tblLook w:val="0000" w:firstRow="0" w:lastRow="0" w:firstColumn="0" w:lastColumn="0" w:noHBand="0" w:noVBand="0"/>
      </w:tblPr>
      <w:tblGrid>
        <w:gridCol w:w="3118"/>
        <w:gridCol w:w="4082"/>
        <w:gridCol w:w="1134"/>
        <w:gridCol w:w="1134"/>
        <w:gridCol w:w="1134"/>
        <w:gridCol w:w="1134"/>
        <w:gridCol w:w="1134"/>
        <w:gridCol w:w="1134"/>
        <w:gridCol w:w="567"/>
        <w:gridCol w:w="1134"/>
      </w:tblGrid>
      <w:tr w:rsidR="00B77EA3" w:rsidRPr="0082484A" w14:paraId="5FCFE325"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B0222FC"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408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C04F882"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BE80B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5C14F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F9D1B9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37BA1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E99B4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1F5E33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11B275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9C258A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8FAD34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549F289"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4082" w:type="dxa"/>
            <w:tcBorders>
              <w:top w:val="nil"/>
              <w:left w:val="nil"/>
              <w:bottom w:val="nil"/>
              <w:right w:val="nil"/>
            </w:tcBorders>
            <w:shd w:val="clear" w:color="auto" w:fill="FFFFFF"/>
            <w:tcMar>
              <w:left w:w="67" w:type="dxa"/>
              <w:right w:w="67" w:type="dxa"/>
            </w:tcMar>
            <w:vAlign w:val="center"/>
          </w:tcPr>
          <w:p w14:paraId="40EA416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75DC82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-0.3816</w:t>
            </w:r>
          </w:p>
        </w:tc>
        <w:tc>
          <w:tcPr>
            <w:tcW w:w="1134" w:type="dxa"/>
            <w:tcBorders>
              <w:top w:val="nil"/>
              <w:left w:val="nil"/>
              <w:bottom w:val="nil"/>
              <w:right w:val="nil"/>
            </w:tcBorders>
            <w:shd w:val="clear" w:color="auto" w:fill="FFFFFF"/>
            <w:tcMar>
              <w:left w:w="67" w:type="dxa"/>
              <w:right w:w="67" w:type="dxa"/>
            </w:tcMar>
            <w:vAlign w:val="center"/>
          </w:tcPr>
          <w:p w14:paraId="2797D5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0.2780</w:t>
            </w:r>
          </w:p>
        </w:tc>
        <w:tc>
          <w:tcPr>
            <w:tcW w:w="1134" w:type="dxa"/>
            <w:tcBorders>
              <w:top w:val="nil"/>
              <w:left w:val="nil"/>
              <w:bottom w:val="nil"/>
              <w:right w:val="nil"/>
            </w:tcBorders>
            <w:shd w:val="clear" w:color="auto" w:fill="FFFFFF"/>
            <w:tcMar>
              <w:left w:w="67" w:type="dxa"/>
              <w:right w:w="67" w:type="dxa"/>
            </w:tcMar>
            <w:vAlign w:val="center"/>
          </w:tcPr>
          <w:p w14:paraId="06DBFA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0.6827</w:t>
            </w:r>
          </w:p>
        </w:tc>
        <w:tc>
          <w:tcPr>
            <w:tcW w:w="1134" w:type="dxa"/>
            <w:tcBorders>
              <w:top w:val="nil"/>
              <w:left w:val="nil"/>
              <w:bottom w:val="nil"/>
              <w:right w:val="nil"/>
            </w:tcBorders>
            <w:shd w:val="clear" w:color="auto" w:fill="FFFFFF"/>
            <w:tcMar>
              <w:left w:w="67" w:type="dxa"/>
              <w:right w:w="67" w:type="dxa"/>
            </w:tcMar>
            <w:vAlign w:val="center"/>
          </w:tcPr>
          <w:p w14:paraId="401842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0.3655</w:t>
            </w:r>
          </w:p>
        </w:tc>
        <w:tc>
          <w:tcPr>
            <w:tcW w:w="1134" w:type="dxa"/>
            <w:tcBorders>
              <w:top w:val="nil"/>
              <w:left w:val="nil"/>
              <w:bottom w:val="nil"/>
              <w:right w:val="nil"/>
            </w:tcBorders>
            <w:shd w:val="clear" w:color="auto" w:fill="FFFFFF"/>
            <w:tcMar>
              <w:left w:w="67" w:type="dxa"/>
              <w:right w:w="67" w:type="dxa"/>
            </w:tcMar>
            <w:vAlign w:val="center"/>
          </w:tcPr>
          <w:p w14:paraId="7DC563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1.2753</w:t>
            </w:r>
          </w:p>
        </w:tc>
        <w:tc>
          <w:tcPr>
            <w:tcW w:w="1134" w:type="dxa"/>
            <w:tcBorders>
              <w:top w:val="nil"/>
              <w:left w:val="nil"/>
              <w:bottom w:val="nil"/>
              <w:right w:val="nil"/>
            </w:tcBorders>
            <w:shd w:val="clear" w:color="auto" w:fill="FFFFFF"/>
            <w:tcMar>
              <w:left w:w="67" w:type="dxa"/>
              <w:right w:w="67" w:type="dxa"/>
            </w:tcMar>
            <w:vAlign w:val="center"/>
          </w:tcPr>
          <w:p w14:paraId="187565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1.88</w:t>
            </w:r>
          </w:p>
        </w:tc>
        <w:tc>
          <w:tcPr>
            <w:tcW w:w="567" w:type="dxa"/>
            <w:tcBorders>
              <w:top w:val="nil"/>
              <w:left w:val="nil"/>
              <w:bottom w:val="nil"/>
              <w:right w:val="nil"/>
            </w:tcBorders>
            <w:shd w:val="clear" w:color="auto" w:fill="FFFFFF"/>
            <w:tcMar>
              <w:left w:w="67" w:type="dxa"/>
              <w:right w:w="67" w:type="dxa"/>
            </w:tcMar>
            <w:vAlign w:val="center"/>
          </w:tcPr>
          <w:p w14:paraId="6ACA7F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57DDF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0.1704</w:t>
            </w:r>
          </w:p>
        </w:tc>
      </w:tr>
      <w:tr w:rsidR="00B77EA3" w:rsidRPr="0082484A" w14:paraId="70954D4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9882621"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4082" w:type="dxa"/>
            <w:tcBorders>
              <w:top w:val="nil"/>
              <w:left w:val="nil"/>
              <w:bottom w:val="nil"/>
              <w:right w:val="nil"/>
            </w:tcBorders>
            <w:shd w:val="clear" w:color="auto" w:fill="FFFFFF"/>
            <w:tcMar>
              <w:left w:w="67" w:type="dxa"/>
              <w:right w:w="67" w:type="dxa"/>
            </w:tcMar>
            <w:vAlign w:val="center"/>
          </w:tcPr>
          <w:p w14:paraId="072BAA0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1260F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0.0558</w:t>
            </w:r>
          </w:p>
        </w:tc>
        <w:tc>
          <w:tcPr>
            <w:tcW w:w="1134" w:type="dxa"/>
            <w:tcBorders>
              <w:top w:val="nil"/>
              <w:left w:val="nil"/>
              <w:bottom w:val="nil"/>
              <w:right w:val="nil"/>
            </w:tcBorders>
            <w:shd w:val="clear" w:color="auto" w:fill="FFFFFF"/>
            <w:tcMar>
              <w:left w:w="67" w:type="dxa"/>
              <w:right w:w="67" w:type="dxa"/>
            </w:tcMar>
            <w:vAlign w:val="center"/>
          </w:tcPr>
          <w:p w14:paraId="1C3730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0.0115</w:t>
            </w:r>
          </w:p>
        </w:tc>
        <w:tc>
          <w:tcPr>
            <w:tcW w:w="1134" w:type="dxa"/>
            <w:tcBorders>
              <w:top w:val="nil"/>
              <w:left w:val="nil"/>
              <w:bottom w:val="nil"/>
              <w:right w:val="nil"/>
            </w:tcBorders>
            <w:shd w:val="clear" w:color="auto" w:fill="FFFFFF"/>
            <w:tcMar>
              <w:left w:w="67" w:type="dxa"/>
              <w:right w:w="67" w:type="dxa"/>
            </w:tcMar>
            <w:vAlign w:val="center"/>
          </w:tcPr>
          <w:p w14:paraId="0C54888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1.0574</w:t>
            </w:r>
          </w:p>
        </w:tc>
        <w:tc>
          <w:tcPr>
            <w:tcW w:w="1134" w:type="dxa"/>
            <w:tcBorders>
              <w:top w:val="nil"/>
              <w:left w:val="nil"/>
              <w:bottom w:val="nil"/>
              <w:right w:val="nil"/>
            </w:tcBorders>
            <w:shd w:val="clear" w:color="auto" w:fill="FFFFFF"/>
            <w:tcMar>
              <w:left w:w="67" w:type="dxa"/>
              <w:right w:w="67" w:type="dxa"/>
            </w:tcMar>
            <w:vAlign w:val="center"/>
          </w:tcPr>
          <w:p w14:paraId="2206E8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1.0304</w:t>
            </w:r>
          </w:p>
        </w:tc>
        <w:tc>
          <w:tcPr>
            <w:tcW w:w="1134" w:type="dxa"/>
            <w:tcBorders>
              <w:top w:val="nil"/>
              <w:left w:val="nil"/>
              <w:bottom w:val="nil"/>
              <w:right w:val="nil"/>
            </w:tcBorders>
            <w:shd w:val="clear" w:color="auto" w:fill="FFFFFF"/>
            <w:tcMar>
              <w:left w:w="67" w:type="dxa"/>
              <w:right w:w="67" w:type="dxa"/>
            </w:tcMar>
            <w:vAlign w:val="center"/>
          </w:tcPr>
          <w:p w14:paraId="7E1182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1.0850</w:t>
            </w:r>
          </w:p>
        </w:tc>
        <w:tc>
          <w:tcPr>
            <w:tcW w:w="1134" w:type="dxa"/>
            <w:tcBorders>
              <w:top w:val="nil"/>
              <w:left w:val="nil"/>
              <w:bottom w:val="nil"/>
              <w:right w:val="nil"/>
            </w:tcBorders>
            <w:shd w:val="clear" w:color="auto" w:fill="FFFFFF"/>
            <w:tcMar>
              <w:left w:w="67" w:type="dxa"/>
              <w:right w:w="67" w:type="dxa"/>
            </w:tcMar>
            <w:vAlign w:val="center"/>
          </w:tcPr>
          <w:p w14:paraId="00B76F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23.58</w:t>
            </w:r>
          </w:p>
        </w:tc>
        <w:tc>
          <w:tcPr>
            <w:tcW w:w="567" w:type="dxa"/>
            <w:tcBorders>
              <w:top w:val="nil"/>
              <w:left w:val="nil"/>
              <w:bottom w:val="nil"/>
              <w:right w:val="nil"/>
            </w:tcBorders>
            <w:shd w:val="clear" w:color="auto" w:fill="FFFFFF"/>
            <w:tcMar>
              <w:left w:w="67" w:type="dxa"/>
              <w:right w:w="67" w:type="dxa"/>
            </w:tcMar>
            <w:vAlign w:val="center"/>
          </w:tcPr>
          <w:p w14:paraId="18361F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5A26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2B309F8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AC24495"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4082" w:type="dxa"/>
            <w:tcBorders>
              <w:top w:val="nil"/>
              <w:left w:val="nil"/>
              <w:bottom w:val="nil"/>
              <w:right w:val="nil"/>
            </w:tcBorders>
            <w:shd w:val="clear" w:color="auto" w:fill="FFFFFF"/>
            <w:tcMar>
              <w:left w:w="67" w:type="dxa"/>
              <w:right w:w="67" w:type="dxa"/>
            </w:tcMar>
            <w:vAlign w:val="center"/>
          </w:tcPr>
          <w:p w14:paraId="79CDCCF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73DDC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-0.0047</w:t>
            </w:r>
          </w:p>
        </w:tc>
        <w:tc>
          <w:tcPr>
            <w:tcW w:w="1134" w:type="dxa"/>
            <w:tcBorders>
              <w:top w:val="nil"/>
              <w:left w:val="nil"/>
              <w:bottom w:val="nil"/>
              <w:right w:val="nil"/>
            </w:tcBorders>
            <w:shd w:val="clear" w:color="auto" w:fill="FFFFFF"/>
            <w:tcMar>
              <w:left w:w="67" w:type="dxa"/>
              <w:right w:w="67" w:type="dxa"/>
            </w:tcMar>
            <w:vAlign w:val="center"/>
          </w:tcPr>
          <w:p w14:paraId="4B533F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53B26C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0.9953</w:t>
            </w:r>
          </w:p>
        </w:tc>
        <w:tc>
          <w:tcPr>
            <w:tcW w:w="1134" w:type="dxa"/>
            <w:tcBorders>
              <w:top w:val="nil"/>
              <w:left w:val="nil"/>
              <w:bottom w:val="nil"/>
              <w:right w:val="nil"/>
            </w:tcBorders>
            <w:shd w:val="clear" w:color="auto" w:fill="FFFFFF"/>
            <w:tcMar>
              <w:left w:w="67" w:type="dxa"/>
              <w:right w:w="67" w:type="dxa"/>
            </w:tcMar>
            <w:vAlign w:val="center"/>
          </w:tcPr>
          <w:p w14:paraId="7EF5D6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0.9868</w:t>
            </w:r>
          </w:p>
        </w:tc>
        <w:tc>
          <w:tcPr>
            <w:tcW w:w="1134" w:type="dxa"/>
            <w:tcBorders>
              <w:top w:val="nil"/>
              <w:left w:val="nil"/>
              <w:bottom w:val="nil"/>
              <w:right w:val="nil"/>
            </w:tcBorders>
            <w:shd w:val="clear" w:color="auto" w:fill="FFFFFF"/>
            <w:tcMar>
              <w:left w:w="67" w:type="dxa"/>
              <w:right w:w="67" w:type="dxa"/>
            </w:tcMar>
            <w:vAlign w:val="center"/>
          </w:tcPr>
          <w:p w14:paraId="3837BA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1.0039</w:t>
            </w:r>
          </w:p>
        </w:tc>
        <w:tc>
          <w:tcPr>
            <w:tcW w:w="1134" w:type="dxa"/>
            <w:tcBorders>
              <w:top w:val="nil"/>
              <w:left w:val="nil"/>
              <w:bottom w:val="nil"/>
              <w:right w:val="nil"/>
            </w:tcBorders>
            <w:shd w:val="clear" w:color="auto" w:fill="FFFFFF"/>
            <w:tcMar>
              <w:left w:w="67" w:type="dxa"/>
              <w:right w:w="67" w:type="dxa"/>
            </w:tcMar>
            <w:vAlign w:val="center"/>
          </w:tcPr>
          <w:p w14:paraId="4CEF1C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1.51</w:t>
            </w:r>
          </w:p>
        </w:tc>
        <w:tc>
          <w:tcPr>
            <w:tcW w:w="567" w:type="dxa"/>
            <w:tcBorders>
              <w:top w:val="nil"/>
              <w:left w:val="nil"/>
              <w:bottom w:val="nil"/>
              <w:right w:val="nil"/>
            </w:tcBorders>
            <w:shd w:val="clear" w:color="auto" w:fill="FFFFFF"/>
            <w:tcMar>
              <w:left w:w="67" w:type="dxa"/>
              <w:right w:w="67" w:type="dxa"/>
            </w:tcMar>
            <w:vAlign w:val="center"/>
          </w:tcPr>
          <w:p w14:paraId="0C36A2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F54A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0.2194</w:t>
            </w:r>
          </w:p>
        </w:tc>
      </w:tr>
      <w:tr w:rsidR="00B77EA3" w:rsidRPr="0082484A" w14:paraId="27937FF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363D36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7B30C50"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AEC1B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0.7998</w:t>
            </w:r>
          </w:p>
        </w:tc>
        <w:tc>
          <w:tcPr>
            <w:tcW w:w="1134" w:type="dxa"/>
            <w:tcBorders>
              <w:top w:val="nil"/>
              <w:left w:val="nil"/>
              <w:bottom w:val="nil"/>
              <w:right w:val="nil"/>
            </w:tcBorders>
            <w:shd w:val="clear" w:color="auto" w:fill="FFFFFF"/>
            <w:tcMar>
              <w:left w:w="67" w:type="dxa"/>
              <w:right w:w="67" w:type="dxa"/>
            </w:tcMar>
            <w:vAlign w:val="center"/>
          </w:tcPr>
          <w:p w14:paraId="6EE302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0.5191</w:t>
            </w:r>
          </w:p>
        </w:tc>
        <w:tc>
          <w:tcPr>
            <w:tcW w:w="1134" w:type="dxa"/>
            <w:tcBorders>
              <w:top w:val="nil"/>
              <w:left w:val="nil"/>
              <w:bottom w:val="nil"/>
              <w:right w:val="nil"/>
            </w:tcBorders>
            <w:shd w:val="clear" w:color="auto" w:fill="FFFFFF"/>
            <w:tcMar>
              <w:left w:w="67" w:type="dxa"/>
              <w:right w:w="67" w:type="dxa"/>
            </w:tcMar>
            <w:vAlign w:val="center"/>
          </w:tcPr>
          <w:p w14:paraId="15D82D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2.2251</w:t>
            </w:r>
          </w:p>
        </w:tc>
        <w:tc>
          <w:tcPr>
            <w:tcW w:w="1134" w:type="dxa"/>
            <w:tcBorders>
              <w:top w:val="nil"/>
              <w:left w:val="nil"/>
              <w:bottom w:val="nil"/>
              <w:right w:val="nil"/>
            </w:tcBorders>
            <w:shd w:val="clear" w:color="auto" w:fill="FFFFFF"/>
            <w:tcMar>
              <w:left w:w="67" w:type="dxa"/>
              <w:right w:w="67" w:type="dxa"/>
            </w:tcMar>
            <w:vAlign w:val="center"/>
          </w:tcPr>
          <w:p w14:paraId="2159528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0.6928</w:t>
            </w:r>
          </w:p>
        </w:tc>
        <w:tc>
          <w:tcPr>
            <w:tcW w:w="1134" w:type="dxa"/>
            <w:tcBorders>
              <w:top w:val="nil"/>
              <w:left w:val="nil"/>
              <w:bottom w:val="nil"/>
              <w:right w:val="nil"/>
            </w:tcBorders>
            <w:shd w:val="clear" w:color="auto" w:fill="FFFFFF"/>
            <w:tcMar>
              <w:left w:w="67" w:type="dxa"/>
              <w:right w:w="67" w:type="dxa"/>
            </w:tcMar>
            <w:vAlign w:val="center"/>
          </w:tcPr>
          <w:p w14:paraId="7ABF84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7.1463</w:t>
            </w:r>
          </w:p>
        </w:tc>
        <w:tc>
          <w:tcPr>
            <w:tcW w:w="1134" w:type="dxa"/>
            <w:tcBorders>
              <w:top w:val="nil"/>
              <w:left w:val="nil"/>
              <w:bottom w:val="nil"/>
              <w:right w:val="nil"/>
            </w:tcBorders>
            <w:shd w:val="clear" w:color="auto" w:fill="FFFFFF"/>
            <w:tcMar>
              <w:left w:w="67" w:type="dxa"/>
              <w:right w:w="67" w:type="dxa"/>
            </w:tcMar>
            <w:vAlign w:val="center"/>
          </w:tcPr>
          <w:p w14:paraId="204312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w:t>
            </w:r>
          </w:p>
        </w:tc>
        <w:tc>
          <w:tcPr>
            <w:tcW w:w="567" w:type="dxa"/>
            <w:tcBorders>
              <w:top w:val="nil"/>
              <w:left w:val="nil"/>
              <w:bottom w:val="nil"/>
              <w:right w:val="nil"/>
            </w:tcBorders>
            <w:shd w:val="clear" w:color="auto" w:fill="FFFFFF"/>
            <w:tcMar>
              <w:left w:w="67" w:type="dxa"/>
              <w:right w:w="67" w:type="dxa"/>
            </w:tcMar>
            <w:vAlign w:val="center"/>
          </w:tcPr>
          <w:p w14:paraId="481B50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EF40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0.6033</w:t>
            </w:r>
          </w:p>
        </w:tc>
      </w:tr>
      <w:tr w:rsidR="00B77EA3" w:rsidRPr="0082484A" w14:paraId="3416986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0A19A8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2B2C8F3"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D3CE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0.7167</w:t>
            </w:r>
          </w:p>
        </w:tc>
        <w:tc>
          <w:tcPr>
            <w:tcW w:w="1134" w:type="dxa"/>
            <w:tcBorders>
              <w:top w:val="nil"/>
              <w:left w:val="nil"/>
              <w:bottom w:val="nil"/>
              <w:right w:val="nil"/>
            </w:tcBorders>
            <w:shd w:val="clear" w:color="auto" w:fill="FFFFFF"/>
            <w:tcMar>
              <w:left w:w="67" w:type="dxa"/>
              <w:right w:w="67" w:type="dxa"/>
            </w:tcMar>
            <w:vAlign w:val="center"/>
          </w:tcPr>
          <w:p w14:paraId="4BB21F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0.8245</w:t>
            </w:r>
          </w:p>
        </w:tc>
        <w:tc>
          <w:tcPr>
            <w:tcW w:w="1134" w:type="dxa"/>
            <w:tcBorders>
              <w:top w:val="nil"/>
              <w:left w:val="nil"/>
              <w:bottom w:val="nil"/>
              <w:right w:val="nil"/>
            </w:tcBorders>
            <w:shd w:val="clear" w:color="auto" w:fill="FFFFFF"/>
            <w:tcMar>
              <w:left w:w="67" w:type="dxa"/>
              <w:right w:w="67" w:type="dxa"/>
            </w:tcMar>
            <w:vAlign w:val="center"/>
          </w:tcPr>
          <w:p w14:paraId="0B615B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2.0476</w:t>
            </w:r>
          </w:p>
        </w:tc>
        <w:tc>
          <w:tcPr>
            <w:tcW w:w="1134" w:type="dxa"/>
            <w:tcBorders>
              <w:top w:val="nil"/>
              <w:left w:val="nil"/>
              <w:bottom w:val="nil"/>
              <w:right w:val="nil"/>
            </w:tcBorders>
            <w:shd w:val="clear" w:color="auto" w:fill="FFFFFF"/>
            <w:tcMar>
              <w:left w:w="67" w:type="dxa"/>
              <w:right w:w="67" w:type="dxa"/>
            </w:tcMar>
            <w:vAlign w:val="center"/>
          </w:tcPr>
          <w:p w14:paraId="30F3C8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0.3209</w:t>
            </w:r>
          </w:p>
        </w:tc>
        <w:tc>
          <w:tcPr>
            <w:tcW w:w="1134" w:type="dxa"/>
            <w:tcBorders>
              <w:top w:val="nil"/>
              <w:left w:val="nil"/>
              <w:bottom w:val="nil"/>
              <w:right w:val="nil"/>
            </w:tcBorders>
            <w:shd w:val="clear" w:color="auto" w:fill="FFFFFF"/>
            <w:tcMar>
              <w:left w:w="67" w:type="dxa"/>
              <w:right w:w="67" w:type="dxa"/>
            </w:tcMar>
            <w:vAlign w:val="center"/>
          </w:tcPr>
          <w:p w14:paraId="136F33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13.0630</w:t>
            </w:r>
          </w:p>
        </w:tc>
        <w:tc>
          <w:tcPr>
            <w:tcW w:w="1134" w:type="dxa"/>
            <w:tcBorders>
              <w:top w:val="nil"/>
              <w:left w:val="nil"/>
              <w:bottom w:val="nil"/>
              <w:right w:val="nil"/>
            </w:tcBorders>
            <w:shd w:val="clear" w:color="auto" w:fill="FFFFFF"/>
            <w:tcMar>
              <w:left w:w="67" w:type="dxa"/>
              <w:right w:w="67" w:type="dxa"/>
            </w:tcMar>
            <w:vAlign w:val="center"/>
          </w:tcPr>
          <w:p w14:paraId="2C27645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E41FAC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43EB0E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56CFBC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E2014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65915A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9FAA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1.0347</w:t>
            </w:r>
          </w:p>
        </w:tc>
        <w:tc>
          <w:tcPr>
            <w:tcW w:w="1134" w:type="dxa"/>
            <w:tcBorders>
              <w:top w:val="nil"/>
              <w:left w:val="nil"/>
              <w:bottom w:val="nil"/>
              <w:right w:val="nil"/>
            </w:tcBorders>
            <w:shd w:val="clear" w:color="auto" w:fill="FFFFFF"/>
            <w:tcMar>
              <w:left w:w="67" w:type="dxa"/>
              <w:right w:w="67" w:type="dxa"/>
            </w:tcMar>
            <w:vAlign w:val="center"/>
          </w:tcPr>
          <w:p w14:paraId="1269BC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0.5931</w:t>
            </w:r>
          </w:p>
        </w:tc>
        <w:tc>
          <w:tcPr>
            <w:tcW w:w="1134" w:type="dxa"/>
            <w:tcBorders>
              <w:top w:val="nil"/>
              <w:left w:val="nil"/>
              <w:bottom w:val="nil"/>
              <w:right w:val="nil"/>
            </w:tcBorders>
            <w:shd w:val="clear" w:color="auto" w:fill="FFFFFF"/>
            <w:tcMar>
              <w:left w:w="67" w:type="dxa"/>
              <w:right w:w="67" w:type="dxa"/>
            </w:tcMar>
            <w:vAlign w:val="center"/>
          </w:tcPr>
          <w:p w14:paraId="7D6E25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2.8142</w:t>
            </w:r>
          </w:p>
        </w:tc>
        <w:tc>
          <w:tcPr>
            <w:tcW w:w="1134" w:type="dxa"/>
            <w:tcBorders>
              <w:top w:val="nil"/>
              <w:left w:val="nil"/>
              <w:bottom w:val="nil"/>
              <w:right w:val="nil"/>
            </w:tcBorders>
            <w:shd w:val="clear" w:color="auto" w:fill="FFFFFF"/>
            <w:tcMar>
              <w:left w:w="67" w:type="dxa"/>
              <w:right w:w="67" w:type="dxa"/>
            </w:tcMar>
            <w:vAlign w:val="center"/>
          </w:tcPr>
          <w:p w14:paraId="0595BE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0.7420</w:t>
            </w:r>
          </w:p>
        </w:tc>
        <w:tc>
          <w:tcPr>
            <w:tcW w:w="1134" w:type="dxa"/>
            <w:tcBorders>
              <w:top w:val="nil"/>
              <w:left w:val="nil"/>
              <w:bottom w:val="nil"/>
              <w:right w:val="nil"/>
            </w:tcBorders>
            <w:shd w:val="clear" w:color="auto" w:fill="FFFFFF"/>
            <w:tcMar>
              <w:left w:w="67" w:type="dxa"/>
              <w:right w:w="67" w:type="dxa"/>
            </w:tcMar>
            <w:vAlign w:val="center"/>
          </w:tcPr>
          <w:p w14:paraId="5CAF0F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10.6738</w:t>
            </w:r>
          </w:p>
        </w:tc>
        <w:tc>
          <w:tcPr>
            <w:tcW w:w="1134" w:type="dxa"/>
            <w:tcBorders>
              <w:top w:val="nil"/>
              <w:left w:val="nil"/>
              <w:bottom w:val="nil"/>
              <w:right w:val="nil"/>
            </w:tcBorders>
            <w:shd w:val="clear" w:color="auto" w:fill="FFFFFF"/>
            <w:tcMar>
              <w:left w:w="67" w:type="dxa"/>
              <w:right w:w="67" w:type="dxa"/>
            </w:tcMar>
            <w:vAlign w:val="center"/>
          </w:tcPr>
          <w:p w14:paraId="42FB6B4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4F3D5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EFFA9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FFB3B9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103A61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7407549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44D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0.0931</w:t>
            </w:r>
          </w:p>
        </w:tc>
        <w:tc>
          <w:tcPr>
            <w:tcW w:w="1134" w:type="dxa"/>
            <w:tcBorders>
              <w:top w:val="nil"/>
              <w:left w:val="nil"/>
              <w:bottom w:val="nil"/>
              <w:right w:val="nil"/>
            </w:tcBorders>
            <w:shd w:val="clear" w:color="auto" w:fill="FFFFFF"/>
            <w:tcMar>
              <w:left w:w="67" w:type="dxa"/>
              <w:right w:w="67" w:type="dxa"/>
            </w:tcMar>
            <w:vAlign w:val="center"/>
          </w:tcPr>
          <w:p w14:paraId="646B43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0.6145</w:t>
            </w:r>
          </w:p>
        </w:tc>
        <w:tc>
          <w:tcPr>
            <w:tcW w:w="1134" w:type="dxa"/>
            <w:tcBorders>
              <w:top w:val="nil"/>
              <w:left w:val="nil"/>
              <w:bottom w:val="nil"/>
              <w:right w:val="nil"/>
            </w:tcBorders>
            <w:shd w:val="clear" w:color="auto" w:fill="FFFFFF"/>
            <w:tcMar>
              <w:left w:w="67" w:type="dxa"/>
              <w:right w:w="67" w:type="dxa"/>
            </w:tcMar>
            <w:vAlign w:val="center"/>
          </w:tcPr>
          <w:p w14:paraId="021422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1.0976</w:t>
            </w:r>
          </w:p>
        </w:tc>
        <w:tc>
          <w:tcPr>
            <w:tcW w:w="1134" w:type="dxa"/>
            <w:tcBorders>
              <w:top w:val="nil"/>
              <w:left w:val="nil"/>
              <w:bottom w:val="nil"/>
              <w:right w:val="nil"/>
            </w:tcBorders>
            <w:shd w:val="clear" w:color="auto" w:fill="FFFFFF"/>
            <w:tcMar>
              <w:left w:w="67" w:type="dxa"/>
              <w:right w:w="67" w:type="dxa"/>
            </w:tcMar>
            <w:vAlign w:val="center"/>
          </w:tcPr>
          <w:p w14:paraId="596C2B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0.2758</w:t>
            </w:r>
          </w:p>
        </w:tc>
        <w:tc>
          <w:tcPr>
            <w:tcW w:w="1134" w:type="dxa"/>
            <w:tcBorders>
              <w:top w:val="nil"/>
              <w:left w:val="nil"/>
              <w:bottom w:val="nil"/>
              <w:right w:val="nil"/>
            </w:tcBorders>
            <w:shd w:val="clear" w:color="auto" w:fill="FFFFFF"/>
            <w:tcMar>
              <w:left w:w="67" w:type="dxa"/>
              <w:right w:w="67" w:type="dxa"/>
            </w:tcMar>
            <w:vAlign w:val="center"/>
          </w:tcPr>
          <w:p w14:paraId="25D1F1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4.3674</w:t>
            </w:r>
          </w:p>
        </w:tc>
        <w:tc>
          <w:tcPr>
            <w:tcW w:w="1134" w:type="dxa"/>
            <w:tcBorders>
              <w:top w:val="nil"/>
              <w:left w:val="nil"/>
              <w:bottom w:val="nil"/>
              <w:right w:val="nil"/>
            </w:tcBorders>
            <w:shd w:val="clear" w:color="auto" w:fill="FFFFFF"/>
            <w:tcMar>
              <w:left w:w="67" w:type="dxa"/>
              <w:right w:w="67" w:type="dxa"/>
            </w:tcMar>
            <w:vAlign w:val="center"/>
          </w:tcPr>
          <w:p w14:paraId="0227560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A1B772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AB6C04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BC94E3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42AA50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309600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B58A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0.7064</w:t>
            </w:r>
          </w:p>
        </w:tc>
        <w:tc>
          <w:tcPr>
            <w:tcW w:w="1134" w:type="dxa"/>
            <w:tcBorders>
              <w:top w:val="nil"/>
              <w:left w:val="nil"/>
              <w:bottom w:val="nil"/>
              <w:right w:val="nil"/>
            </w:tcBorders>
            <w:shd w:val="clear" w:color="auto" w:fill="FFFFFF"/>
            <w:tcMar>
              <w:left w:w="67" w:type="dxa"/>
              <w:right w:w="67" w:type="dxa"/>
            </w:tcMar>
            <w:vAlign w:val="center"/>
          </w:tcPr>
          <w:p w14:paraId="148716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0.5810</w:t>
            </w:r>
          </w:p>
        </w:tc>
        <w:tc>
          <w:tcPr>
            <w:tcW w:w="1134" w:type="dxa"/>
            <w:tcBorders>
              <w:top w:val="nil"/>
              <w:left w:val="nil"/>
              <w:bottom w:val="nil"/>
              <w:right w:val="nil"/>
            </w:tcBorders>
            <w:shd w:val="clear" w:color="auto" w:fill="FFFFFF"/>
            <w:tcMar>
              <w:left w:w="67" w:type="dxa"/>
              <w:right w:w="67" w:type="dxa"/>
            </w:tcMar>
            <w:vAlign w:val="center"/>
          </w:tcPr>
          <w:p w14:paraId="1D89ED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2.0266</w:t>
            </w:r>
          </w:p>
        </w:tc>
        <w:tc>
          <w:tcPr>
            <w:tcW w:w="1134" w:type="dxa"/>
            <w:tcBorders>
              <w:top w:val="nil"/>
              <w:left w:val="nil"/>
              <w:bottom w:val="nil"/>
              <w:right w:val="nil"/>
            </w:tcBorders>
            <w:shd w:val="clear" w:color="auto" w:fill="FFFFFF"/>
            <w:tcMar>
              <w:left w:w="67" w:type="dxa"/>
              <w:right w:w="67" w:type="dxa"/>
            </w:tcMar>
            <w:vAlign w:val="center"/>
          </w:tcPr>
          <w:p w14:paraId="4F6968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0.5490</w:t>
            </w:r>
          </w:p>
        </w:tc>
        <w:tc>
          <w:tcPr>
            <w:tcW w:w="1134" w:type="dxa"/>
            <w:tcBorders>
              <w:top w:val="nil"/>
              <w:left w:val="nil"/>
              <w:bottom w:val="nil"/>
              <w:right w:val="nil"/>
            </w:tcBorders>
            <w:shd w:val="clear" w:color="auto" w:fill="FFFFFF"/>
            <w:tcMar>
              <w:left w:w="67" w:type="dxa"/>
              <w:right w:w="67" w:type="dxa"/>
            </w:tcMar>
            <w:vAlign w:val="center"/>
          </w:tcPr>
          <w:p w14:paraId="19E9FC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7.4806</w:t>
            </w:r>
          </w:p>
        </w:tc>
        <w:tc>
          <w:tcPr>
            <w:tcW w:w="1134" w:type="dxa"/>
            <w:tcBorders>
              <w:top w:val="nil"/>
              <w:left w:val="nil"/>
              <w:bottom w:val="nil"/>
              <w:right w:val="nil"/>
            </w:tcBorders>
            <w:shd w:val="clear" w:color="auto" w:fill="FFFFFF"/>
            <w:tcMar>
              <w:left w:w="67" w:type="dxa"/>
              <w:right w:w="67" w:type="dxa"/>
            </w:tcMar>
            <w:vAlign w:val="center"/>
          </w:tcPr>
          <w:p w14:paraId="4092FAC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1AB0BF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F5F51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77294A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4C9CD5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6CD6B80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45FAE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0.7720</w:t>
            </w:r>
          </w:p>
        </w:tc>
        <w:tc>
          <w:tcPr>
            <w:tcW w:w="1134" w:type="dxa"/>
            <w:tcBorders>
              <w:top w:val="nil"/>
              <w:left w:val="nil"/>
              <w:bottom w:val="nil"/>
              <w:right w:val="nil"/>
            </w:tcBorders>
            <w:shd w:val="clear" w:color="auto" w:fill="FFFFFF"/>
            <w:tcMar>
              <w:left w:w="67" w:type="dxa"/>
              <w:right w:w="67" w:type="dxa"/>
            </w:tcMar>
            <w:vAlign w:val="center"/>
          </w:tcPr>
          <w:p w14:paraId="65C2C8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0.4972</w:t>
            </w:r>
          </w:p>
        </w:tc>
        <w:tc>
          <w:tcPr>
            <w:tcW w:w="1134" w:type="dxa"/>
            <w:tcBorders>
              <w:top w:val="nil"/>
              <w:left w:val="nil"/>
              <w:bottom w:val="nil"/>
              <w:right w:val="nil"/>
            </w:tcBorders>
            <w:shd w:val="clear" w:color="auto" w:fill="FFFFFF"/>
            <w:tcMar>
              <w:left w:w="67" w:type="dxa"/>
              <w:right w:w="67" w:type="dxa"/>
            </w:tcMar>
            <w:vAlign w:val="center"/>
          </w:tcPr>
          <w:p w14:paraId="7C89BC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2.1640</w:t>
            </w:r>
          </w:p>
        </w:tc>
        <w:tc>
          <w:tcPr>
            <w:tcW w:w="1134" w:type="dxa"/>
            <w:tcBorders>
              <w:top w:val="nil"/>
              <w:left w:val="nil"/>
              <w:bottom w:val="nil"/>
              <w:right w:val="nil"/>
            </w:tcBorders>
            <w:shd w:val="clear" w:color="auto" w:fill="FFFFFF"/>
            <w:tcMar>
              <w:left w:w="67" w:type="dxa"/>
              <w:right w:w="67" w:type="dxa"/>
            </w:tcMar>
            <w:vAlign w:val="center"/>
          </w:tcPr>
          <w:p w14:paraId="4B22DE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0.7078</w:t>
            </w:r>
          </w:p>
        </w:tc>
        <w:tc>
          <w:tcPr>
            <w:tcW w:w="1134" w:type="dxa"/>
            <w:tcBorders>
              <w:top w:val="nil"/>
              <w:left w:val="nil"/>
              <w:bottom w:val="nil"/>
              <w:right w:val="nil"/>
            </w:tcBorders>
            <w:shd w:val="clear" w:color="auto" w:fill="FFFFFF"/>
            <w:tcMar>
              <w:left w:w="67" w:type="dxa"/>
              <w:right w:w="67" w:type="dxa"/>
            </w:tcMar>
            <w:vAlign w:val="center"/>
          </w:tcPr>
          <w:p w14:paraId="13B2D9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6.6165</w:t>
            </w:r>
          </w:p>
        </w:tc>
        <w:tc>
          <w:tcPr>
            <w:tcW w:w="1134" w:type="dxa"/>
            <w:tcBorders>
              <w:top w:val="nil"/>
              <w:left w:val="nil"/>
              <w:bottom w:val="nil"/>
              <w:right w:val="nil"/>
            </w:tcBorders>
            <w:shd w:val="clear" w:color="auto" w:fill="FFFFFF"/>
            <w:tcMar>
              <w:left w:w="67" w:type="dxa"/>
              <w:right w:w="67" w:type="dxa"/>
            </w:tcMar>
            <w:vAlign w:val="center"/>
          </w:tcPr>
          <w:p w14:paraId="4F5DBC5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A10595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40F7E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969B40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1BDDF0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0C21DBE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FDBD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0.7591</w:t>
            </w:r>
          </w:p>
        </w:tc>
        <w:tc>
          <w:tcPr>
            <w:tcW w:w="1134" w:type="dxa"/>
            <w:tcBorders>
              <w:top w:val="nil"/>
              <w:left w:val="nil"/>
              <w:bottom w:val="nil"/>
              <w:right w:val="nil"/>
            </w:tcBorders>
            <w:shd w:val="clear" w:color="auto" w:fill="FFFFFF"/>
            <w:tcMar>
              <w:left w:w="67" w:type="dxa"/>
              <w:right w:w="67" w:type="dxa"/>
            </w:tcMar>
            <w:vAlign w:val="center"/>
          </w:tcPr>
          <w:p w14:paraId="665DB0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0.4981</w:t>
            </w:r>
          </w:p>
        </w:tc>
        <w:tc>
          <w:tcPr>
            <w:tcW w:w="1134" w:type="dxa"/>
            <w:tcBorders>
              <w:top w:val="nil"/>
              <w:left w:val="nil"/>
              <w:bottom w:val="nil"/>
              <w:right w:val="nil"/>
            </w:tcBorders>
            <w:shd w:val="clear" w:color="auto" w:fill="FFFFFF"/>
            <w:tcMar>
              <w:left w:w="67" w:type="dxa"/>
              <w:right w:w="67" w:type="dxa"/>
            </w:tcMar>
            <w:vAlign w:val="center"/>
          </w:tcPr>
          <w:p w14:paraId="3348F6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2.1363</w:t>
            </w:r>
          </w:p>
        </w:tc>
        <w:tc>
          <w:tcPr>
            <w:tcW w:w="1134" w:type="dxa"/>
            <w:tcBorders>
              <w:top w:val="nil"/>
              <w:left w:val="nil"/>
              <w:bottom w:val="nil"/>
              <w:right w:val="nil"/>
            </w:tcBorders>
            <w:shd w:val="clear" w:color="auto" w:fill="FFFFFF"/>
            <w:tcMar>
              <w:left w:w="67" w:type="dxa"/>
              <w:right w:w="67" w:type="dxa"/>
            </w:tcMar>
            <w:vAlign w:val="center"/>
          </w:tcPr>
          <w:p w14:paraId="1112D7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0.6973</w:t>
            </w:r>
          </w:p>
        </w:tc>
        <w:tc>
          <w:tcPr>
            <w:tcW w:w="1134" w:type="dxa"/>
            <w:tcBorders>
              <w:top w:val="nil"/>
              <w:left w:val="nil"/>
              <w:bottom w:val="nil"/>
              <w:right w:val="nil"/>
            </w:tcBorders>
            <w:shd w:val="clear" w:color="auto" w:fill="FFFFFF"/>
            <w:tcMar>
              <w:left w:w="67" w:type="dxa"/>
              <w:right w:w="67" w:type="dxa"/>
            </w:tcMar>
            <w:vAlign w:val="center"/>
          </w:tcPr>
          <w:p w14:paraId="1AD9F1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6.5448</w:t>
            </w:r>
          </w:p>
        </w:tc>
        <w:tc>
          <w:tcPr>
            <w:tcW w:w="1134" w:type="dxa"/>
            <w:tcBorders>
              <w:top w:val="nil"/>
              <w:left w:val="nil"/>
              <w:bottom w:val="nil"/>
              <w:right w:val="nil"/>
            </w:tcBorders>
            <w:shd w:val="clear" w:color="auto" w:fill="FFFFFF"/>
            <w:tcMar>
              <w:left w:w="67" w:type="dxa"/>
              <w:right w:w="67" w:type="dxa"/>
            </w:tcMar>
            <w:vAlign w:val="center"/>
          </w:tcPr>
          <w:p w14:paraId="3615570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B7FA4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C09A77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7C090C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72C54C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ABDF14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DECC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0.9236</w:t>
            </w:r>
          </w:p>
        </w:tc>
        <w:tc>
          <w:tcPr>
            <w:tcW w:w="1134" w:type="dxa"/>
            <w:tcBorders>
              <w:top w:val="nil"/>
              <w:left w:val="nil"/>
              <w:bottom w:val="nil"/>
              <w:right w:val="nil"/>
            </w:tcBorders>
            <w:shd w:val="clear" w:color="auto" w:fill="FFFFFF"/>
            <w:tcMar>
              <w:left w:w="67" w:type="dxa"/>
              <w:right w:w="67" w:type="dxa"/>
            </w:tcMar>
            <w:vAlign w:val="center"/>
          </w:tcPr>
          <w:p w14:paraId="155CCB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0.4915</w:t>
            </w:r>
          </w:p>
        </w:tc>
        <w:tc>
          <w:tcPr>
            <w:tcW w:w="1134" w:type="dxa"/>
            <w:tcBorders>
              <w:top w:val="nil"/>
              <w:left w:val="nil"/>
              <w:bottom w:val="nil"/>
              <w:right w:val="nil"/>
            </w:tcBorders>
            <w:shd w:val="clear" w:color="auto" w:fill="FFFFFF"/>
            <w:tcMar>
              <w:left w:w="67" w:type="dxa"/>
              <w:right w:w="67" w:type="dxa"/>
            </w:tcMar>
            <w:vAlign w:val="center"/>
          </w:tcPr>
          <w:p w14:paraId="23FF670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2.5184</w:t>
            </w:r>
          </w:p>
        </w:tc>
        <w:tc>
          <w:tcPr>
            <w:tcW w:w="1134" w:type="dxa"/>
            <w:tcBorders>
              <w:top w:val="nil"/>
              <w:left w:val="nil"/>
              <w:bottom w:val="nil"/>
              <w:right w:val="nil"/>
            </w:tcBorders>
            <w:shd w:val="clear" w:color="auto" w:fill="FFFFFF"/>
            <w:tcMar>
              <w:left w:w="67" w:type="dxa"/>
              <w:right w:w="67" w:type="dxa"/>
            </w:tcMar>
            <w:vAlign w:val="center"/>
          </w:tcPr>
          <w:p w14:paraId="181F1D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0.8344</w:t>
            </w:r>
          </w:p>
        </w:tc>
        <w:tc>
          <w:tcPr>
            <w:tcW w:w="1134" w:type="dxa"/>
            <w:tcBorders>
              <w:top w:val="nil"/>
              <w:left w:val="nil"/>
              <w:bottom w:val="nil"/>
              <w:right w:val="nil"/>
            </w:tcBorders>
            <w:shd w:val="clear" w:color="auto" w:fill="FFFFFF"/>
            <w:tcMar>
              <w:left w:w="67" w:type="dxa"/>
              <w:right w:w="67" w:type="dxa"/>
            </w:tcMar>
            <w:vAlign w:val="center"/>
          </w:tcPr>
          <w:p w14:paraId="7CC441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7.6008</w:t>
            </w:r>
          </w:p>
        </w:tc>
        <w:tc>
          <w:tcPr>
            <w:tcW w:w="1134" w:type="dxa"/>
            <w:tcBorders>
              <w:top w:val="nil"/>
              <w:left w:val="nil"/>
              <w:bottom w:val="nil"/>
              <w:right w:val="nil"/>
            </w:tcBorders>
            <w:shd w:val="clear" w:color="auto" w:fill="FFFFFF"/>
            <w:tcMar>
              <w:left w:w="67" w:type="dxa"/>
              <w:right w:w="67" w:type="dxa"/>
            </w:tcMar>
            <w:vAlign w:val="center"/>
          </w:tcPr>
          <w:p w14:paraId="100969C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42B020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F9BC7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5F37AE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17EF0D2"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4082" w:type="dxa"/>
            <w:tcBorders>
              <w:top w:val="nil"/>
              <w:left w:val="nil"/>
              <w:bottom w:val="nil"/>
              <w:right w:val="nil"/>
            </w:tcBorders>
            <w:shd w:val="clear" w:color="auto" w:fill="FFFFFF"/>
            <w:tcMar>
              <w:left w:w="67" w:type="dxa"/>
              <w:right w:w="67" w:type="dxa"/>
            </w:tcMar>
            <w:vAlign w:val="center"/>
          </w:tcPr>
          <w:p w14:paraId="4DE9698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E8328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0.0278</w:t>
            </w:r>
          </w:p>
        </w:tc>
        <w:tc>
          <w:tcPr>
            <w:tcW w:w="1134" w:type="dxa"/>
            <w:tcBorders>
              <w:top w:val="nil"/>
              <w:left w:val="nil"/>
              <w:bottom w:val="nil"/>
              <w:right w:val="nil"/>
            </w:tcBorders>
            <w:shd w:val="clear" w:color="auto" w:fill="FFFFFF"/>
            <w:tcMar>
              <w:left w:w="67" w:type="dxa"/>
              <w:right w:w="67" w:type="dxa"/>
            </w:tcMar>
            <w:vAlign w:val="center"/>
          </w:tcPr>
          <w:p w14:paraId="58A569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0.0185</w:t>
            </w:r>
          </w:p>
        </w:tc>
        <w:tc>
          <w:tcPr>
            <w:tcW w:w="1134" w:type="dxa"/>
            <w:tcBorders>
              <w:top w:val="nil"/>
              <w:left w:val="nil"/>
              <w:bottom w:val="nil"/>
              <w:right w:val="nil"/>
            </w:tcBorders>
            <w:shd w:val="clear" w:color="auto" w:fill="FFFFFF"/>
            <w:tcMar>
              <w:left w:w="67" w:type="dxa"/>
              <w:right w:w="67" w:type="dxa"/>
            </w:tcMar>
            <w:vAlign w:val="center"/>
          </w:tcPr>
          <w:p w14:paraId="5CD2CB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1.0282</w:t>
            </w:r>
          </w:p>
        </w:tc>
        <w:tc>
          <w:tcPr>
            <w:tcW w:w="1134" w:type="dxa"/>
            <w:tcBorders>
              <w:top w:val="nil"/>
              <w:left w:val="nil"/>
              <w:bottom w:val="nil"/>
              <w:right w:val="nil"/>
            </w:tcBorders>
            <w:shd w:val="clear" w:color="auto" w:fill="FFFFFF"/>
            <w:tcMar>
              <w:left w:w="67" w:type="dxa"/>
              <w:right w:w="67" w:type="dxa"/>
            </w:tcMar>
            <w:vAlign w:val="center"/>
          </w:tcPr>
          <w:p w14:paraId="1DDEE1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0.9863</w:t>
            </w:r>
          </w:p>
        </w:tc>
        <w:tc>
          <w:tcPr>
            <w:tcW w:w="1134" w:type="dxa"/>
            <w:tcBorders>
              <w:top w:val="nil"/>
              <w:left w:val="nil"/>
              <w:bottom w:val="nil"/>
              <w:right w:val="nil"/>
            </w:tcBorders>
            <w:shd w:val="clear" w:color="auto" w:fill="FFFFFF"/>
            <w:tcMar>
              <w:left w:w="67" w:type="dxa"/>
              <w:right w:w="67" w:type="dxa"/>
            </w:tcMar>
            <w:vAlign w:val="center"/>
          </w:tcPr>
          <w:p w14:paraId="0A81F0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1.0719</w:t>
            </w:r>
          </w:p>
        </w:tc>
        <w:tc>
          <w:tcPr>
            <w:tcW w:w="1134" w:type="dxa"/>
            <w:tcBorders>
              <w:top w:val="nil"/>
              <w:left w:val="nil"/>
              <w:bottom w:val="nil"/>
              <w:right w:val="nil"/>
            </w:tcBorders>
            <w:shd w:val="clear" w:color="auto" w:fill="FFFFFF"/>
            <w:tcMar>
              <w:left w:w="67" w:type="dxa"/>
              <w:right w:w="67" w:type="dxa"/>
            </w:tcMar>
            <w:vAlign w:val="center"/>
          </w:tcPr>
          <w:p w14:paraId="35EA5A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2.25</w:t>
            </w:r>
          </w:p>
        </w:tc>
        <w:tc>
          <w:tcPr>
            <w:tcW w:w="567" w:type="dxa"/>
            <w:tcBorders>
              <w:top w:val="nil"/>
              <w:left w:val="nil"/>
              <w:bottom w:val="nil"/>
              <w:right w:val="nil"/>
            </w:tcBorders>
            <w:shd w:val="clear" w:color="auto" w:fill="FFFFFF"/>
            <w:tcMar>
              <w:left w:w="67" w:type="dxa"/>
              <w:right w:w="67" w:type="dxa"/>
            </w:tcMar>
            <w:vAlign w:val="center"/>
          </w:tcPr>
          <w:p w14:paraId="7AAA7A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2405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0.1340</w:t>
            </w:r>
          </w:p>
        </w:tc>
      </w:tr>
      <w:tr w:rsidR="00B77EA3" w:rsidRPr="0082484A" w14:paraId="684B2BA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8BFD34E"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4082" w:type="dxa"/>
            <w:tcBorders>
              <w:top w:val="nil"/>
              <w:left w:val="nil"/>
              <w:bottom w:val="nil"/>
              <w:right w:val="nil"/>
            </w:tcBorders>
            <w:shd w:val="clear" w:color="auto" w:fill="FFFFFF"/>
            <w:tcMar>
              <w:left w:w="67" w:type="dxa"/>
              <w:right w:w="67" w:type="dxa"/>
            </w:tcMar>
            <w:vAlign w:val="center"/>
          </w:tcPr>
          <w:p w14:paraId="121A1EE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F1FFC9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-0.0261</w:t>
            </w:r>
          </w:p>
        </w:tc>
        <w:tc>
          <w:tcPr>
            <w:tcW w:w="1134" w:type="dxa"/>
            <w:tcBorders>
              <w:top w:val="nil"/>
              <w:left w:val="nil"/>
              <w:bottom w:val="nil"/>
              <w:right w:val="nil"/>
            </w:tcBorders>
            <w:shd w:val="clear" w:color="auto" w:fill="FFFFFF"/>
            <w:tcMar>
              <w:left w:w="67" w:type="dxa"/>
              <w:right w:w="67" w:type="dxa"/>
            </w:tcMar>
            <w:vAlign w:val="center"/>
          </w:tcPr>
          <w:p w14:paraId="592974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0.0246</w:t>
            </w:r>
          </w:p>
        </w:tc>
        <w:tc>
          <w:tcPr>
            <w:tcW w:w="1134" w:type="dxa"/>
            <w:tcBorders>
              <w:top w:val="nil"/>
              <w:left w:val="nil"/>
              <w:bottom w:val="nil"/>
              <w:right w:val="nil"/>
            </w:tcBorders>
            <w:shd w:val="clear" w:color="auto" w:fill="FFFFFF"/>
            <w:tcMar>
              <w:left w:w="67" w:type="dxa"/>
              <w:right w:w="67" w:type="dxa"/>
            </w:tcMar>
            <w:vAlign w:val="center"/>
          </w:tcPr>
          <w:p w14:paraId="2675E8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0.9742</w:t>
            </w:r>
          </w:p>
        </w:tc>
        <w:tc>
          <w:tcPr>
            <w:tcW w:w="1134" w:type="dxa"/>
            <w:tcBorders>
              <w:top w:val="nil"/>
              <w:left w:val="nil"/>
              <w:bottom w:val="nil"/>
              <w:right w:val="nil"/>
            </w:tcBorders>
            <w:shd w:val="clear" w:color="auto" w:fill="FFFFFF"/>
            <w:tcMar>
              <w:left w:w="67" w:type="dxa"/>
              <w:right w:w="67" w:type="dxa"/>
            </w:tcMar>
            <w:vAlign w:val="center"/>
          </w:tcPr>
          <w:p w14:paraId="145249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0.9218</w:t>
            </w:r>
          </w:p>
        </w:tc>
        <w:tc>
          <w:tcPr>
            <w:tcW w:w="1134" w:type="dxa"/>
            <w:tcBorders>
              <w:top w:val="nil"/>
              <w:left w:val="nil"/>
              <w:bottom w:val="nil"/>
              <w:right w:val="nil"/>
            </w:tcBorders>
            <w:shd w:val="clear" w:color="auto" w:fill="FFFFFF"/>
            <w:tcMar>
              <w:left w:w="67" w:type="dxa"/>
              <w:right w:w="67" w:type="dxa"/>
            </w:tcMar>
            <w:vAlign w:val="center"/>
          </w:tcPr>
          <w:p w14:paraId="33D6C2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1.0295</w:t>
            </w:r>
          </w:p>
        </w:tc>
        <w:tc>
          <w:tcPr>
            <w:tcW w:w="1134" w:type="dxa"/>
            <w:tcBorders>
              <w:top w:val="nil"/>
              <w:left w:val="nil"/>
              <w:bottom w:val="nil"/>
              <w:right w:val="nil"/>
            </w:tcBorders>
            <w:shd w:val="clear" w:color="auto" w:fill="FFFFFF"/>
            <w:tcMar>
              <w:left w:w="67" w:type="dxa"/>
              <w:right w:w="67" w:type="dxa"/>
            </w:tcMar>
            <w:vAlign w:val="center"/>
          </w:tcPr>
          <w:p w14:paraId="50F03F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1.13</w:t>
            </w:r>
          </w:p>
        </w:tc>
        <w:tc>
          <w:tcPr>
            <w:tcW w:w="567" w:type="dxa"/>
            <w:tcBorders>
              <w:top w:val="nil"/>
              <w:left w:val="nil"/>
              <w:bottom w:val="nil"/>
              <w:right w:val="nil"/>
            </w:tcBorders>
            <w:shd w:val="clear" w:color="auto" w:fill="FFFFFF"/>
            <w:tcMar>
              <w:left w:w="67" w:type="dxa"/>
              <w:right w:w="67" w:type="dxa"/>
            </w:tcMar>
            <w:vAlign w:val="center"/>
          </w:tcPr>
          <w:p w14:paraId="2BD247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D1BA3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0.2881</w:t>
            </w:r>
          </w:p>
        </w:tc>
      </w:tr>
      <w:tr w:rsidR="00B77EA3" w:rsidRPr="0082484A" w14:paraId="6087B7E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6D657CC"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Overall QOF score</w:t>
            </w:r>
          </w:p>
        </w:tc>
        <w:tc>
          <w:tcPr>
            <w:tcW w:w="4082" w:type="dxa"/>
            <w:tcBorders>
              <w:top w:val="nil"/>
              <w:left w:val="nil"/>
              <w:bottom w:val="nil"/>
              <w:right w:val="nil"/>
            </w:tcBorders>
            <w:shd w:val="clear" w:color="auto" w:fill="FFFFFF"/>
            <w:tcMar>
              <w:left w:w="67" w:type="dxa"/>
              <w:right w:w="67" w:type="dxa"/>
            </w:tcMar>
            <w:vAlign w:val="center"/>
          </w:tcPr>
          <w:p w14:paraId="07F2F47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E9869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0.0048</w:t>
            </w:r>
          </w:p>
        </w:tc>
        <w:tc>
          <w:tcPr>
            <w:tcW w:w="1134" w:type="dxa"/>
            <w:tcBorders>
              <w:top w:val="nil"/>
              <w:left w:val="nil"/>
              <w:bottom w:val="nil"/>
              <w:right w:val="nil"/>
            </w:tcBorders>
            <w:shd w:val="clear" w:color="auto" w:fill="FFFFFF"/>
            <w:tcMar>
              <w:left w:w="67" w:type="dxa"/>
              <w:right w:w="67" w:type="dxa"/>
            </w:tcMar>
            <w:vAlign w:val="center"/>
          </w:tcPr>
          <w:p w14:paraId="08233D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0.0072</w:t>
            </w:r>
          </w:p>
        </w:tc>
        <w:tc>
          <w:tcPr>
            <w:tcW w:w="1134" w:type="dxa"/>
            <w:tcBorders>
              <w:top w:val="nil"/>
              <w:left w:val="nil"/>
              <w:bottom w:val="nil"/>
              <w:right w:val="nil"/>
            </w:tcBorders>
            <w:shd w:val="clear" w:color="auto" w:fill="FFFFFF"/>
            <w:tcMar>
              <w:left w:w="67" w:type="dxa"/>
              <w:right w:w="67" w:type="dxa"/>
            </w:tcMar>
            <w:vAlign w:val="center"/>
          </w:tcPr>
          <w:p w14:paraId="4B01D4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1.0048</w:t>
            </w:r>
          </w:p>
        </w:tc>
        <w:tc>
          <w:tcPr>
            <w:tcW w:w="1134" w:type="dxa"/>
            <w:tcBorders>
              <w:top w:val="nil"/>
              <w:left w:val="nil"/>
              <w:bottom w:val="nil"/>
              <w:right w:val="nil"/>
            </w:tcBorders>
            <w:shd w:val="clear" w:color="auto" w:fill="FFFFFF"/>
            <w:tcMar>
              <w:left w:w="67" w:type="dxa"/>
              <w:right w:w="67" w:type="dxa"/>
            </w:tcMar>
            <w:vAlign w:val="center"/>
          </w:tcPr>
          <w:p w14:paraId="2038F3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0.9888</w:t>
            </w:r>
          </w:p>
        </w:tc>
        <w:tc>
          <w:tcPr>
            <w:tcW w:w="1134" w:type="dxa"/>
            <w:tcBorders>
              <w:top w:val="nil"/>
              <w:left w:val="nil"/>
              <w:bottom w:val="nil"/>
              <w:right w:val="nil"/>
            </w:tcBorders>
            <w:shd w:val="clear" w:color="auto" w:fill="FFFFFF"/>
            <w:tcMar>
              <w:left w:w="67" w:type="dxa"/>
              <w:right w:w="67" w:type="dxa"/>
            </w:tcMar>
            <w:vAlign w:val="center"/>
          </w:tcPr>
          <w:p w14:paraId="43F34A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1.0212</w:t>
            </w:r>
          </w:p>
        </w:tc>
        <w:tc>
          <w:tcPr>
            <w:tcW w:w="1134" w:type="dxa"/>
            <w:tcBorders>
              <w:top w:val="nil"/>
              <w:left w:val="nil"/>
              <w:bottom w:val="nil"/>
              <w:right w:val="nil"/>
            </w:tcBorders>
            <w:shd w:val="clear" w:color="auto" w:fill="FFFFFF"/>
            <w:tcMar>
              <w:left w:w="67" w:type="dxa"/>
              <w:right w:w="67" w:type="dxa"/>
            </w:tcMar>
            <w:vAlign w:val="center"/>
          </w:tcPr>
          <w:p w14:paraId="676DBF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w:t>
            </w:r>
          </w:p>
        </w:tc>
        <w:tc>
          <w:tcPr>
            <w:tcW w:w="567" w:type="dxa"/>
            <w:tcBorders>
              <w:top w:val="nil"/>
              <w:left w:val="nil"/>
              <w:bottom w:val="nil"/>
              <w:right w:val="nil"/>
            </w:tcBorders>
            <w:shd w:val="clear" w:color="auto" w:fill="FFFFFF"/>
            <w:tcMar>
              <w:left w:w="67" w:type="dxa"/>
              <w:right w:w="67" w:type="dxa"/>
            </w:tcMar>
            <w:vAlign w:val="center"/>
          </w:tcPr>
          <w:p w14:paraId="7864E4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9873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0.5024</w:t>
            </w:r>
          </w:p>
        </w:tc>
      </w:tr>
      <w:tr w:rsidR="00B77EA3" w:rsidRPr="0082484A" w14:paraId="5460DCF5"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1A6ECFD"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4082" w:type="dxa"/>
            <w:tcBorders>
              <w:top w:val="nil"/>
              <w:left w:val="nil"/>
              <w:bottom w:val="single" w:sz="11" w:space="0" w:color="000000"/>
              <w:right w:val="nil"/>
            </w:tcBorders>
            <w:shd w:val="clear" w:color="auto" w:fill="FFFFFF"/>
            <w:tcMar>
              <w:left w:w="67" w:type="dxa"/>
              <w:right w:w="67" w:type="dxa"/>
            </w:tcMar>
            <w:vAlign w:val="center"/>
          </w:tcPr>
          <w:p w14:paraId="0BDE781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B287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C0969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0.1869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02BC5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0.9892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A4DEA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0.6499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30FB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1.5055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42142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3AFED9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DE5CF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0.9537</w:t>
            </w:r>
          </w:p>
        </w:tc>
      </w:tr>
    </w:tbl>
    <w:p w14:paraId="230990C7" w14:textId="77777777" w:rsidR="00B77EA3" w:rsidRPr="0082484A" w:rsidRDefault="00B77EA3" w:rsidP="00B77EA3">
      <w:pPr>
        <w:spacing w:before="0" w:after="160" w:line="259" w:lineRule="auto"/>
        <w:rPr>
          <w:sz w:val="22"/>
          <w:szCs w:val="22"/>
        </w:rPr>
      </w:pPr>
      <w:r w:rsidRPr="0082484A">
        <w:rPr>
          <w:sz w:val="22"/>
          <w:szCs w:val="22"/>
        </w:rPr>
        <w:t>The estimated number needed to treat for one male patient with atrial fibrillation and a CHA2DS2-VASc score of 1 with contraindication for anti-coagulation to be prescribed anticoagulation therapy is -12</w:t>
      </w:r>
      <w:r w:rsidRPr="0082484A">
        <w:rPr>
          <w:sz w:val="22"/>
          <w:szCs w:val="22"/>
        </w:rPr>
        <w:br w:type="page"/>
      </w:r>
    </w:p>
    <w:p w14:paraId="4103D9BD" w14:textId="5715B26B" w:rsidR="00B77EA3" w:rsidRPr="0082484A" w:rsidRDefault="00B77EA3" w:rsidP="00B77EA3">
      <w:pPr>
        <w:spacing w:before="0" w:line="240" w:lineRule="auto"/>
        <w:rPr>
          <w:bCs/>
          <w:sz w:val="22"/>
          <w:szCs w:val="22"/>
        </w:rPr>
      </w:pPr>
      <w:bookmarkStart w:id="182" w:name="_Ref502917889"/>
      <w:bookmarkStart w:id="183" w:name="_Toc8728124"/>
      <w:bookmarkStart w:id="184" w:name="_Toc19526779"/>
      <w:r w:rsidRPr="0082484A">
        <w:rPr>
          <w:bCs/>
          <w:sz w:val="22"/>
          <w:szCs w:val="22"/>
        </w:rPr>
        <w:lastRenderedPageBreak/>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50</w:t>
      </w:r>
      <w:r w:rsidRPr="0082484A">
        <w:rPr>
          <w:bCs/>
          <w:noProof/>
          <w:sz w:val="22"/>
          <w:szCs w:val="22"/>
        </w:rPr>
        <w:fldChar w:fldCharType="end"/>
      </w:r>
      <w:bookmarkEnd w:id="182"/>
      <w:r w:rsidRPr="0082484A">
        <w:rPr>
          <w:bCs/>
          <w:sz w:val="22"/>
          <w:szCs w:val="22"/>
        </w:rPr>
        <w:t>: Secondary outcome for Trial 2: The proportion of all patients with atrial fibrillation and a CHA</w:t>
      </w:r>
      <w:r w:rsidRPr="0082484A">
        <w:rPr>
          <w:bCs/>
          <w:sz w:val="22"/>
          <w:szCs w:val="22"/>
          <w:vertAlign w:val="subscript"/>
        </w:rPr>
        <w:t>2</w:t>
      </w:r>
      <w:r w:rsidRPr="0082484A">
        <w:rPr>
          <w:bCs/>
          <w:sz w:val="22"/>
          <w:szCs w:val="22"/>
        </w:rPr>
        <w:t>DS</w:t>
      </w:r>
      <w:r w:rsidRPr="0082484A">
        <w:rPr>
          <w:bCs/>
          <w:sz w:val="22"/>
          <w:szCs w:val="22"/>
          <w:vertAlign w:val="subscript"/>
        </w:rPr>
        <w:t>2</w:t>
      </w:r>
      <w:r w:rsidRPr="0082484A">
        <w:rPr>
          <w:bCs/>
          <w:sz w:val="22"/>
          <w:szCs w:val="22"/>
        </w:rPr>
        <w:t>-VASc score of 2 or above with contraindication for anti-coagulation and prescribed anti-coagulation (WP4A)</w:t>
      </w:r>
      <w:bookmarkEnd w:id="183"/>
      <w:bookmarkEnd w:id="184"/>
    </w:p>
    <w:tbl>
      <w:tblPr>
        <w:tblW w:w="15705" w:type="dxa"/>
        <w:jc w:val="center"/>
        <w:tblLayout w:type="fixed"/>
        <w:tblCellMar>
          <w:left w:w="0" w:type="dxa"/>
          <w:right w:w="0" w:type="dxa"/>
        </w:tblCellMar>
        <w:tblLook w:val="0000" w:firstRow="0" w:lastRow="0" w:firstColumn="0" w:lastColumn="0" w:noHBand="0" w:noVBand="0"/>
      </w:tblPr>
      <w:tblGrid>
        <w:gridCol w:w="3118"/>
        <w:gridCol w:w="4082"/>
        <w:gridCol w:w="1134"/>
        <w:gridCol w:w="1134"/>
        <w:gridCol w:w="1134"/>
        <w:gridCol w:w="1134"/>
        <w:gridCol w:w="1134"/>
        <w:gridCol w:w="1134"/>
        <w:gridCol w:w="567"/>
        <w:gridCol w:w="1134"/>
      </w:tblGrid>
      <w:tr w:rsidR="00B77EA3" w:rsidRPr="0082484A" w14:paraId="4B631DA4"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BC51162"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408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238C1C1"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66DEB3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1E4AE1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CF7626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987C0A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F74E7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8B009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A3031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8B964F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30CAD4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474ED9D"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4082" w:type="dxa"/>
            <w:tcBorders>
              <w:top w:val="nil"/>
              <w:left w:val="nil"/>
              <w:bottom w:val="nil"/>
              <w:right w:val="nil"/>
            </w:tcBorders>
            <w:shd w:val="clear" w:color="auto" w:fill="FFFFFF"/>
            <w:tcMar>
              <w:left w:w="67" w:type="dxa"/>
              <w:right w:w="67" w:type="dxa"/>
            </w:tcMar>
            <w:vAlign w:val="center"/>
          </w:tcPr>
          <w:p w14:paraId="04CC77B5"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3318FB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-0.1275</w:t>
            </w:r>
          </w:p>
        </w:tc>
        <w:tc>
          <w:tcPr>
            <w:tcW w:w="1134" w:type="dxa"/>
            <w:tcBorders>
              <w:top w:val="nil"/>
              <w:left w:val="nil"/>
              <w:bottom w:val="nil"/>
              <w:right w:val="nil"/>
            </w:tcBorders>
            <w:shd w:val="clear" w:color="auto" w:fill="FFFFFF"/>
            <w:tcMar>
              <w:left w:w="67" w:type="dxa"/>
              <w:right w:w="67" w:type="dxa"/>
            </w:tcMar>
            <w:vAlign w:val="center"/>
          </w:tcPr>
          <w:p w14:paraId="60809E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0.1071</w:t>
            </w:r>
          </w:p>
        </w:tc>
        <w:tc>
          <w:tcPr>
            <w:tcW w:w="1134" w:type="dxa"/>
            <w:tcBorders>
              <w:top w:val="nil"/>
              <w:left w:val="nil"/>
              <w:bottom w:val="nil"/>
              <w:right w:val="nil"/>
            </w:tcBorders>
            <w:shd w:val="clear" w:color="auto" w:fill="FFFFFF"/>
            <w:tcMar>
              <w:left w:w="67" w:type="dxa"/>
              <w:right w:w="67" w:type="dxa"/>
            </w:tcMar>
            <w:vAlign w:val="center"/>
          </w:tcPr>
          <w:p w14:paraId="415D87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0.8803</w:t>
            </w:r>
          </w:p>
        </w:tc>
        <w:tc>
          <w:tcPr>
            <w:tcW w:w="1134" w:type="dxa"/>
            <w:tcBorders>
              <w:top w:val="nil"/>
              <w:left w:val="nil"/>
              <w:bottom w:val="nil"/>
              <w:right w:val="nil"/>
            </w:tcBorders>
            <w:shd w:val="clear" w:color="auto" w:fill="FFFFFF"/>
            <w:tcMar>
              <w:left w:w="67" w:type="dxa"/>
              <w:right w:w="67" w:type="dxa"/>
            </w:tcMar>
            <w:vAlign w:val="center"/>
          </w:tcPr>
          <w:p w14:paraId="3C1488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0.6924</w:t>
            </w:r>
          </w:p>
        </w:tc>
        <w:tc>
          <w:tcPr>
            <w:tcW w:w="1134" w:type="dxa"/>
            <w:tcBorders>
              <w:top w:val="nil"/>
              <w:left w:val="nil"/>
              <w:bottom w:val="nil"/>
              <w:right w:val="nil"/>
            </w:tcBorders>
            <w:shd w:val="clear" w:color="auto" w:fill="FFFFFF"/>
            <w:tcMar>
              <w:left w:w="67" w:type="dxa"/>
              <w:right w:w="67" w:type="dxa"/>
            </w:tcMar>
            <w:vAlign w:val="center"/>
          </w:tcPr>
          <w:p w14:paraId="7AD3B5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1.1191</w:t>
            </w:r>
          </w:p>
        </w:tc>
        <w:tc>
          <w:tcPr>
            <w:tcW w:w="1134" w:type="dxa"/>
            <w:tcBorders>
              <w:top w:val="nil"/>
              <w:left w:val="nil"/>
              <w:bottom w:val="nil"/>
              <w:right w:val="nil"/>
            </w:tcBorders>
            <w:shd w:val="clear" w:color="auto" w:fill="FFFFFF"/>
            <w:tcMar>
              <w:left w:w="67" w:type="dxa"/>
              <w:right w:w="67" w:type="dxa"/>
            </w:tcMar>
            <w:vAlign w:val="center"/>
          </w:tcPr>
          <w:p w14:paraId="26D72A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1.42</w:t>
            </w:r>
          </w:p>
        </w:tc>
        <w:tc>
          <w:tcPr>
            <w:tcW w:w="567" w:type="dxa"/>
            <w:tcBorders>
              <w:top w:val="nil"/>
              <w:left w:val="nil"/>
              <w:bottom w:val="nil"/>
              <w:right w:val="nil"/>
            </w:tcBorders>
            <w:shd w:val="clear" w:color="auto" w:fill="FFFFFF"/>
            <w:tcMar>
              <w:left w:w="67" w:type="dxa"/>
              <w:right w:w="67" w:type="dxa"/>
            </w:tcMar>
            <w:vAlign w:val="center"/>
          </w:tcPr>
          <w:p w14:paraId="278BB6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D262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0.2338</w:t>
            </w:r>
          </w:p>
        </w:tc>
      </w:tr>
      <w:tr w:rsidR="00B77EA3" w:rsidRPr="0082484A" w14:paraId="119DD97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85FD288"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4082" w:type="dxa"/>
            <w:tcBorders>
              <w:top w:val="nil"/>
              <w:left w:val="nil"/>
              <w:bottom w:val="nil"/>
              <w:right w:val="nil"/>
            </w:tcBorders>
            <w:shd w:val="clear" w:color="auto" w:fill="FFFFFF"/>
            <w:tcMar>
              <w:left w:w="67" w:type="dxa"/>
              <w:right w:w="67" w:type="dxa"/>
            </w:tcMar>
            <w:vAlign w:val="center"/>
          </w:tcPr>
          <w:p w14:paraId="0F1C9A8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5760EE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-0.1921</w:t>
            </w:r>
          </w:p>
        </w:tc>
        <w:tc>
          <w:tcPr>
            <w:tcW w:w="1134" w:type="dxa"/>
            <w:tcBorders>
              <w:top w:val="nil"/>
              <w:left w:val="nil"/>
              <w:bottom w:val="nil"/>
              <w:right w:val="nil"/>
            </w:tcBorders>
            <w:shd w:val="clear" w:color="auto" w:fill="FFFFFF"/>
            <w:tcMar>
              <w:left w:w="67" w:type="dxa"/>
              <w:right w:w="67" w:type="dxa"/>
            </w:tcMar>
            <w:vAlign w:val="center"/>
          </w:tcPr>
          <w:p w14:paraId="3CBA07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0.0660</w:t>
            </w:r>
          </w:p>
        </w:tc>
        <w:tc>
          <w:tcPr>
            <w:tcW w:w="1134" w:type="dxa"/>
            <w:tcBorders>
              <w:top w:val="nil"/>
              <w:left w:val="nil"/>
              <w:bottom w:val="nil"/>
              <w:right w:val="nil"/>
            </w:tcBorders>
            <w:shd w:val="clear" w:color="auto" w:fill="FFFFFF"/>
            <w:tcMar>
              <w:left w:w="67" w:type="dxa"/>
              <w:right w:w="67" w:type="dxa"/>
            </w:tcMar>
            <w:vAlign w:val="center"/>
          </w:tcPr>
          <w:p w14:paraId="47B171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0.8252</w:t>
            </w:r>
          </w:p>
        </w:tc>
        <w:tc>
          <w:tcPr>
            <w:tcW w:w="1134" w:type="dxa"/>
            <w:tcBorders>
              <w:top w:val="nil"/>
              <w:left w:val="nil"/>
              <w:bottom w:val="nil"/>
              <w:right w:val="nil"/>
            </w:tcBorders>
            <w:shd w:val="clear" w:color="auto" w:fill="FFFFFF"/>
            <w:tcMar>
              <w:left w:w="67" w:type="dxa"/>
              <w:right w:w="67" w:type="dxa"/>
            </w:tcMar>
            <w:vAlign w:val="center"/>
          </w:tcPr>
          <w:p w14:paraId="7D54AD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0.7117</w:t>
            </w:r>
          </w:p>
        </w:tc>
        <w:tc>
          <w:tcPr>
            <w:tcW w:w="1134" w:type="dxa"/>
            <w:tcBorders>
              <w:top w:val="nil"/>
              <w:left w:val="nil"/>
              <w:bottom w:val="nil"/>
              <w:right w:val="nil"/>
            </w:tcBorders>
            <w:shd w:val="clear" w:color="auto" w:fill="FFFFFF"/>
            <w:tcMar>
              <w:left w:w="67" w:type="dxa"/>
              <w:right w:w="67" w:type="dxa"/>
            </w:tcMar>
            <w:vAlign w:val="center"/>
          </w:tcPr>
          <w:p w14:paraId="3482A5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0.9569</w:t>
            </w:r>
          </w:p>
        </w:tc>
        <w:tc>
          <w:tcPr>
            <w:tcW w:w="1134" w:type="dxa"/>
            <w:tcBorders>
              <w:top w:val="nil"/>
              <w:left w:val="nil"/>
              <w:bottom w:val="nil"/>
              <w:right w:val="nil"/>
            </w:tcBorders>
            <w:shd w:val="clear" w:color="auto" w:fill="FFFFFF"/>
            <w:tcMar>
              <w:left w:w="67" w:type="dxa"/>
              <w:right w:w="67" w:type="dxa"/>
            </w:tcMar>
            <w:vAlign w:val="center"/>
          </w:tcPr>
          <w:p w14:paraId="1305AA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8.47</w:t>
            </w:r>
          </w:p>
        </w:tc>
        <w:tc>
          <w:tcPr>
            <w:tcW w:w="567" w:type="dxa"/>
            <w:tcBorders>
              <w:top w:val="nil"/>
              <w:left w:val="nil"/>
              <w:bottom w:val="nil"/>
              <w:right w:val="nil"/>
            </w:tcBorders>
            <w:shd w:val="clear" w:color="auto" w:fill="FFFFFF"/>
            <w:tcMar>
              <w:left w:w="67" w:type="dxa"/>
              <w:right w:w="67" w:type="dxa"/>
            </w:tcMar>
            <w:vAlign w:val="center"/>
          </w:tcPr>
          <w:p w14:paraId="5B6102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3B3BE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0.0036</w:t>
            </w:r>
          </w:p>
        </w:tc>
      </w:tr>
      <w:tr w:rsidR="00B77EA3" w:rsidRPr="0082484A" w14:paraId="642ABBF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FAC2043"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4082" w:type="dxa"/>
            <w:tcBorders>
              <w:top w:val="nil"/>
              <w:left w:val="nil"/>
              <w:bottom w:val="nil"/>
              <w:right w:val="nil"/>
            </w:tcBorders>
            <w:shd w:val="clear" w:color="auto" w:fill="FFFFFF"/>
            <w:tcMar>
              <w:left w:w="67" w:type="dxa"/>
              <w:right w:w="67" w:type="dxa"/>
            </w:tcMar>
            <w:vAlign w:val="center"/>
          </w:tcPr>
          <w:p w14:paraId="395EA479"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ED892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-0.0233</w:t>
            </w:r>
          </w:p>
        </w:tc>
        <w:tc>
          <w:tcPr>
            <w:tcW w:w="1134" w:type="dxa"/>
            <w:tcBorders>
              <w:top w:val="nil"/>
              <w:left w:val="nil"/>
              <w:bottom w:val="nil"/>
              <w:right w:val="nil"/>
            </w:tcBorders>
            <w:shd w:val="clear" w:color="auto" w:fill="FFFFFF"/>
            <w:tcMar>
              <w:left w:w="67" w:type="dxa"/>
              <w:right w:w="67" w:type="dxa"/>
            </w:tcMar>
            <w:vAlign w:val="center"/>
          </w:tcPr>
          <w:p w14:paraId="558451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503B9B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0.9769</w:t>
            </w:r>
          </w:p>
        </w:tc>
        <w:tc>
          <w:tcPr>
            <w:tcW w:w="1134" w:type="dxa"/>
            <w:tcBorders>
              <w:top w:val="nil"/>
              <w:left w:val="nil"/>
              <w:bottom w:val="nil"/>
              <w:right w:val="nil"/>
            </w:tcBorders>
            <w:shd w:val="clear" w:color="auto" w:fill="FFFFFF"/>
            <w:tcMar>
              <w:left w:w="67" w:type="dxa"/>
              <w:right w:w="67" w:type="dxa"/>
            </w:tcMar>
            <w:vAlign w:val="center"/>
          </w:tcPr>
          <w:p w14:paraId="19D5B2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0.9687</w:t>
            </w:r>
          </w:p>
        </w:tc>
        <w:tc>
          <w:tcPr>
            <w:tcW w:w="1134" w:type="dxa"/>
            <w:tcBorders>
              <w:top w:val="nil"/>
              <w:left w:val="nil"/>
              <w:bottom w:val="nil"/>
              <w:right w:val="nil"/>
            </w:tcBorders>
            <w:shd w:val="clear" w:color="auto" w:fill="FFFFFF"/>
            <w:tcMar>
              <w:left w:w="67" w:type="dxa"/>
              <w:right w:w="67" w:type="dxa"/>
            </w:tcMar>
            <w:vAlign w:val="center"/>
          </w:tcPr>
          <w:p w14:paraId="362B42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0.9852</w:t>
            </w:r>
          </w:p>
        </w:tc>
        <w:tc>
          <w:tcPr>
            <w:tcW w:w="1134" w:type="dxa"/>
            <w:tcBorders>
              <w:top w:val="nil"/>
              <w:left w:val="nil"/>
              <w:bottom w:val="nil"/>
              <w:right w:val="nil"/>
            </w:tcBorders>
            <w:shd w:val="clear" w:color="auto" w:fill="FFFFFF"/>
            <w:tcMar>
              <w:left w:w="67" w:type="dxa"/>
              <w:right w:w="67" w:type="dxa"/>
            </w:tcMar>
            <w:vAlign w:val="center"/>
          </w:tcPr>
          <w:p w14:paraId="34ADF98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38.25</w:t>
            </w:r>
          </w:p>
        </w:tc>
        <w:tc>
          <w:tcPr>
            <w:tcW w:w="567" w:type="dxa"/>
            <w:tcBorders>
              <w:top w:val="nil"/>
              <w:left w:val="nil"/>
              <w:bottom w:val="nil"/>
              <w:right w:val="nil"/>
            </w:tcBorders>
            <w:shd w:val="clear" w:color="auto" w:fill="FFFFFF"/>
            <w:tcMar>
              <w:left w:w="67" w:type="dxa"/>
              <w:right w:w="67" w:type="dxa"/>
            </w:tcMar>
            <w:vAlign w:val="center"/>
          </w:tcPr>
          <w:p w14:paraId="114A88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5377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1B17225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678F839"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4082" w:type="dxa"/>
            <w:tcBorders>
              <w:top w:val="nil"/>
              <w:left w:val="nil"/>
              <w:bottom w:val="nil"/>
              <w:right w:val="nil"/>
            </w:tcBorders>
            <w:shd w:val="clear" w:color="auto" w:fill="FFFFFF"/>
            <w:tcMar>
              <w:left w:w="67" w:type="dxa"/>
              <w:right w:w="67" w:type="dxa"/>
            </w:tcMar>
            <w:vAlign w:val="center"/>
          </w:tcPr>
          <w:p w14:paraId="79D77D38"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AEBB7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1FE66B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0.0015</w:t>
            </w:r>
          </w:p>
        </w:tc>
        <w:tc>
          <w:tcPr>
            <w:tcW w:w="1134" w:type="dxa"/>
            <w:tcBorders>
              <w:top w:val="nil"/>
              <w:left w:val="nil"/>
              <w:bottom w:val="nil"/>
              <w:right w:val="nil"/>
            </w:tcBorders>
            <w:shd w:val="clear" w:color="auto" w:fill="FFFFFF"/>
            <w:tcMar>
              <w:left w:w="67" w:type="dxa"/>
              <w:right w:w="67" w:type="dxa"/>
            </w:tcMar>
            <w:vAlign w:val="center"/>
          </w:tcPr>
          <w:p w14:paraId="65C5BC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6DCB4D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0.9984</w:t>
            </w:r>
          </w:p>
        </w:tc>
        <w:tc>
          <w:tcPr>
            <w:tcW w:w="1134" w:type="dxa"/>
            <w:tcBorders>
              <w:top w:val="nil"/>
              <w:left w:val="nil"/>
              <w:bottom w:val="nil"/>
              <w:right w:val="nil"/>
            </w:tcBorders>
            <w:shd w:val="clear" w:color="auto" w:fill="FFFFFF"/>
            <w:tcMar>
              <w:left w:w="67" w:type="dxa"/>
              <w:right w:w="67" w:type="dxa"/>
            </w:tcMar>
            <w:vAlign w:val="center"/>
          </w:tcPr>
          <w:p w14:paraId="2B5DBC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1.0050</w:t>
            </w:r>
          </w:p>
        </w:tc>
        <w:tc>
          <w:tcPr>
            <w:tcW w:w="1134" w:type="dxa"/>
            <w:tcBorders>
              <w:top w:val="nil"/>
              <w:left w:val="nil"/>
              <w:bottom w:val="nil"/>
              <w:right w:val="nil"/>
            </w:tcBorders>
            <w:shd w:val="clear" w:color="auto" w:fill="FFFFFF"/>
            <w:tcMar>
              <w:left w:w="67" w:type="dxa"/>
              <w:right w:w="67" w:type="dxa"/>
            </w:tcMar>
            <w:vAlign w:val="center"/>
          </w:tcPr>
          <w:p w14:paraId="46278A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1.29</w:t>
            </w:r>
          </w:p>
        </w:tc>
        <w:tc>
          <w:tcPr>
            <w:tcW w:w="567" w:type="dxa"/>
            <w:tcBorders>
              <w:top w:val="nil"/>
              <w:left w:val="nil"/>
              <w:bottom w:val="nil"/>
              <w:right w:val="nil"/>
            </w:tcBorders>
            <w:shd w:val="clear" w:color="auto" w:fill="FFFFFF"/>
            <w:tcMar>
              <w:left w:w="67" w:type="dxa"/>
              <w:right w:w="67" w:type="dxa"/>
            </w:tcMar>
            <w:vAlign w:val="center"/>
          </w:tcPr>
          <w:p w14:paraId="75FFF0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AB0C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0.2566</w:t>
            </w:r>
          </w:p>
        </w:tc>
      </w:tr>
      <w:tr w:rsidR="00B77EA3" w:rsidRPr="0082484A" w14:paraId="2D5DD04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8C2B0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595CA9AD"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E639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-0.0047</w:t>
            </w:r>
          </w:p>
        </w:tc>
        <w:tc>
          <w:tcPr>
            <w:tcW w:w="1134" w:type="dxa"/>
            <w:tcBorders>
              <w:top w:val="nil"/>
              <w:left w:val="nil"/>
              <w:bottom w:val="nil"/>
              <w:right w:val="nil"/>
            </w:tcBorders>
            <w:shd w:val="clear" w:color="auto" w:fill="FFFFFF"/>
            <w:tcMar>
              <w:left w:w="67" w:type="dxa"/>
              <w:right w:w="67" w:type="dxa"/>
            </w:tcMar>
            <w:vAlign w:val="center"/>
          </w:tcPr>
          <w:p w14:paraId="654338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0.2085</w:t>
            </w:r>
          </w:p>
        </w:tc>
        <w:tc>
          <w:tcPr>
            <w:tcW w:w="1134" w:type="dxa"/>
            <w:tcBorders>
              <w:top w:val="nil"/>
              <w:left w:val="nil"/>
              <w:bottom w:val="nil"/>
              <w:right w:val="nil"/>
            </w:tcBorders>
            <w:shd w:val="clear" w:color="auto" w:fill="FFFFFF"/>
            <w:tcMar>
              <w:left w:w="67" w:type="dxa"/>
              <w:right w:w="67" w:type="dxa"/>
            </w:tcMar>
            <w:vAlign w:val="center"/>
          </w:tcPr>
          <w:p w14:paraId="5ED38D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0.9953</w:t>
            </w:r>
          </w:p>
        </w:tc>
        <w:tc>
          <w:tcPr>
            <w:tcW w:w="1134" w:type="dxa"/>
            <w:tcBorders>
              <w:top w:val="nil"/>
              <w:left w:val="nil"/>
              <w:bottom w:val="nil"/>
              <w:right w:val="nil"/>
            </w:tcBorders>
            <w:shd w:val="clear" w:color="auto" w:fill="FFFFFF"/>
            <w:tcMar>
              <w:left w:w="67" w:type="dxa"/>
              <w:right w:w="67" w:type="dxa"/>
            </w:tcMar>
            <w:vAlign w:val="center"/>
          </w:tcPr>
          <w:p w14:paraId="74E87C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0.6237</w:t>
            </w:r>
          </w:p>
        </w:tc>
        <w:tc>
          <w:tcPr>
            <w:tcW w:w="1134" w:type="dxa"/>
            <w:tcBorders>
              <w:top w:val="nil"/>
              <w:left w:val="nil"/>
              <w:bottom w:val="nil"/>
              <w:right w:val="nil"/>
            </w:tcBorders>
            <w:shd w:val="clear" w:color="auto" w:fill="FFFFFF"/>
            <w:tcMar>
              <w:left w:w="67" w:type="dxa"/>
              <w:right w:w="67" w:type="dxa"/>
            </w:tcMar>
            <w:vAlign w:val="center"/>
          </w:tcPr>
          <w:p w14:paraId="15EFF2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1.5885</w:t>
            </w:r>
          </w:p>
        </w:tc>
        <w:tc>
          <w:tcPr>
            <w:tcW w:w="1134" w:type="dxa"/>
            <w:tcBorders>
              <w:top w:val="nil"/>
              <w:left w:val="nil"/>
              <w:bottom w:val="nil"/>
              <w:right w:val="nil"/>
            </w:tcBorders>
            <w:shd w:val="clear" w:color="auto" w:fill="FFFFFF"/>
            <w:tcMar>
              <w:left w:w="67" w:type="dxa"/>
              <w:right w:w="67" w:type="dxa"/>
            </w:tcMar>
            <w:vAlign w:val="center"/>
          </w:tcPr>
          <w:p w14:paraId="3140C9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2.14</w:t>
            </w:r>
          </w:p>
        </w:tc>
        <w:tc>
          <w:tcPr>
            <w:tcW w:w="567" w:type="dxa"/>
            <w:tcBorders>
              <w:top w:val="nil"/>
              <w:left w:val="nil"/>
              <w:bottom w:val="nil"/>
              <w:right w:val="nil"/>
            </w:tcBorders>
            <w:shd w:val="clear" w:color="auto" w:fill="FFFFFF"/>
            <w:tcMar>
              <w:left w:w="67" w:type="dxa"/>
              <w:right w:w="67" w:type="dxa"/>
            </w:tcMar>
            <w:vAlign w:val="center"/>
          </w:tcPr>
          <w:p w14:paraId="1D7C49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4167A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0.0292</w:t>
            </w:r>
          </w:p>
        </w:tc>
      </w:tr>
      <w:tr w:rsidR="00B77EA3" w:rsidRPr="0082484A" w14:paraId="59B3370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30D2A5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B1EE61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B6DAB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-0.5122</w:t>
            </w:r>
          </w:p>
        </w:tc>
        <w:tc>
          <w:tcPr>
            <w:tcW w:w="1134" w:type="dxa"/>
            <w:tcBorders>
              <w:top w:val="nil"/>
              <w:left w:val="nil"/>
              <w:bottom w:val="nil"/>
              <w:right w:val="nil"/>
            </w:tcBorders>
            <w:shd w:val="clear" w:color="auto" w:fill="FFFFFF"/>
            <w:tcMar>
              <w:left w:w="67" w:type="dxa"/>
              <w:right w:w="67" w:type="dxa"/>
            </w:tcMar>
            <w:vAlign w:val="center"/>
          </w:tcPr>
          <w:p w14:paraId="195CA9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0.2656</w:t>
            </w:r>
          </w:p>
        </w:tc>
        <w:tc>
          <w:tcPr>
            <w:tcW w:w="1134" w:type="dxa"/>
            <w:tcBorders>
              <w:top w:val="nil"/>
              <w:left w:val="nil"/>
              <w:bottom w:val="nil"/>
              <w:right w:val="nil"/>
            </w:tcBorders>
            <w:shd w:val="clear" w:color="auto" w:fill="FFFFFF"/>
            <w:tcMar>
              <w:left w:w="67" w:type="dxa"/>
              <w:right w:w="67" w:type="dxa"/>
            </w:tcMar>
            <w:vAlign w:val="center"/>
          </w:tcPr>
          <w:p w14:paraId="12D6F8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0.5992</w:t>
            </w:r>
          </w:p>
        </w:tc>
        <w:tc>
          <w:tcPr>
            <w:tcW w:w="1134" w:type="dxa"/>
            <w:tcBorders>
              <w:top w:val="nil"/>
              <w:left w:val="nil"/>
              <w:bottom w:val="nil"/>
              <w:right w:val="nil"/>
            </w:tcBorders>
            <w:shd w:val="clear" w:color="auto" w:fill="FFFFFF"/>
            <w:tcMar>
              <w:left w:w="67" w:type="dxa"/>
              <w:right w:w="67" w:type="dxa"/>
            </w:tcMar>
            <w:vAlign w:val="center"/>
          </w:tcPr>
          <w:p w14:paraId="5C05AC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0.3304</w:t>
            </w:r>
          </w:p>
        </w:tc>
        <w:tc>
          <w:tcPr>
            <w:tcW w:w="1134" w:type="dxa"/>
            <w:tcBorders>
              <w:top w:val="nil"/>
              <w:left w:val="nil"/>
              <w:bottom w:val="nil"/>
              <w:right w:val="nil"/>
            </w:tcBorders>
            <w:shd w:val="clear" w:color="auto" w:fill="FFFFFF"/>
            <w:tcMar>
              <w:left w:w="67" w:type="dxa"/>
              <w:right w:w="67" w:type="dxa"/>
            </w:tcMar>
            <w:vAlign w:val="center"/>
          </w:tcPr>
          <w:p w14:paraId="60C676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1.0868</w:t>
            </w:r>
          </w:p>
        </w:tc>
        <w:tc>
          <w:tcPr>
            <w:tcW w:w="1134" w:type="dxa"/>
            <w:tcBorders>
              <w:top w:val="nil"/>
              <w:left w:val="nil"/>
              <w:bottom w:val="nil"/>
              <w:right w:val="nil"/>
            </w:tcBorders>
            <w:shd w:val="clear" w:color="auto" w:fill="FFFFFF"/>
            <w:tcMar>
              <w:left w:w="67" w:type="dxa"/>
              <w:right w:w="67" w:type="dxa"/>
            </w:tcMar>
            <w:vAlign w:val="center"/>
          </w:tcPr>
          <w:p w14:paraId="38B363C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07535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14CAC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2B9A20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B52535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053337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2EA9C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-0.1129</w:t>
            </w:r>
          </w:p>
        </w:tc>
        <w:tc>
          <w:tcPr>
            <w:tcW w:w="1134" w:type="dxa"/>
            <w:tcBorders>
              <w:top w:val="nil"/>
              <w:left w:val="nil"/>
              <w:bottom w:val="nil"/>
              <w:right w:val="nil"/>
            </w:tcBorders>
            <w:shd w:val="clear" w:color="auto" w:fill="FFFFFF"/>
            <w:tcMar>
              <w:left w:w="67" w:type="dxa"/>
              <w:right w:w="67" w:type="dxa"/>
            </w:tcMar>
            <w:vAlign w:val="center"/>
          </w:tcPr>
          <w:p w14:paraId="7D7432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0.2248</w:t>
            </w:r>
          </w:p>
        </w:tc>
        <w:tc>
          <w:tcPr>
            <w:tcW w:w="1134" w:type="dxa"/>
            <w:tcBorders>
              <w:top w:val="nil"/>
              <w:left w:val="nil"/>
              <w:bottom w:val="nil"/>
              <w:right w:val="nil"/>
            </w:tcBorders>
            <w:shd w:val="clear" w:color="auto" w:fill="FFFFFF"/>
            <w:tcMar>
              <w:left w:w="67" w:type="dxa"/>
              <w:right w:w="67" w:type="dxa"/>
            </w:tcMar>
            <w:vAlign w:val="center"/>
          </w:tcPr>
          <w:p w14:paraId="6DB1AA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0.8933</w:t>
            </w:r>
          </w:p>
        </w:tc>
        <w:tc>
          <w:tcPr>
            <w:tcW w:w="1134" w:type="dxa"/>
            <w:tcBorders>
              <w:top w:val="nil"/>
              <w:left w:val="nil"/>
              <w:bottom w:val="nil"/>
              <w:right w:val="nil"/>
            </w:tcBorders>
            <w:shd w:val="clear" w:color="auto" w:fill="FFFFFF"/>
            <w:tcMar>
              <w:left w:w="67" w:type="dxa"/>
              <w:right w:w="67" w:type="dxa"/>
            </w:tcMar>
            <w:vAlign w:val="center"/>
          </w:tcPr>
          <w:p w14:paraId="53D725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0.5397</w:t>
            </w:r>
          </w:p>
        </w:tc>
        <w:tc>
          <w:tcPr>
            <w:tcW w:w="1134" w:type="dxa"/>
            <w:tcBorders>
              <w:top w:val="nil"/>
              <w:left w:val="nil"/>
              <w:bottom w:val="nil"/>
              <w:right w:val="nil"/>
            </w:tcBorders>
            <w:shd w:val="clear" w:color="auto" w:fill="FFFFFF"/>
            <w:tcMar>
              <w:left w:w="67" w:type="dxa"/>
              <w:right w:w="67" w:type="dxa"/>
            </w:tcMar>
            <w:vAlign w:val="center"/>
          </w:tcPr>
          <w:p w14:paraId="7FB7FE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1.4786</w:t>
            </w:r>
          </w:p>
        </w:tc>
        <w:tc>
          <w:tcPr>
            <w:tcW w:w="1134" w:type="dxa"/>
            <w:tcBorders>
              <w:top w:val="nil"/>
              <w:left w:val="nil"/>
              <w:bottom w:val="nil"/>
              <w:right w:val="nil"/>
            </w:tcBorders>
            <w:shd w:val="clear" w:color="auto" w:fill="FFFFFF"/>
            <w:tcMar>
              <w:left w:w="67" w:type="dxa"/>
              <w:right w:w="67" w:type="dxa"/>
            </w:tcMar>
            <w:vAlign w:val="center"/>
          </w:tcPr>
          <w:p w14:paraId="50A50E8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72BDA8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6AC2A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301E30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689FD4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66C7382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C13C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-0.2592</w:t>
            </w:r>
          </w:p>
        </w:tc>
        <w:tc>
          <w:tcPr>
            <w:tcW w:w="1134" w:type="dxa"/>
            <w:tcBorders>
              <w:top w:val="nil"/>
              <w:left w:val="nil"/>
              <w:bottom w:val="nil"/>
              <w:right w:val="nil"/>
            </w:tcBorders>
            <w:shd w:val="clear" w:color="auto" w:fill="FFFFFF"/>
            <w:tcMar>
              <w:left w:w="67" w:type="dxa"/>
              <w:right w:w="67" w:type="dxa"/>
            </w:tcMar>
            <w:vAlign w:val="center"/>
          </w:tcPr>
          <w:p w14:paraId="274B42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0.2173</w:t>
            </w:r>
          </w:p>
        </w:tc>
        <w:tc>
          <w:tcPr>
            <w:tcW w:w="1134" w:type="dxa"/>
            <w:tcBorders>
              <w:top w:val="nil"/>
              <w:left w:val="nil"/>
              <w:bottom w:val="nil"/>
              <w:right w:val="nil"/>
            </w:tcBorders>
            <w:shd w:val="clear" w:color="auto" w:fill="FFFFFF"/>
            <w:tcMar>
              <w:left w:w="67" w:type="dxa"/>
              <w:right w:w="67" w:type="dxa"/>
            </w:tcMar>
            <w:vAlign w:val="center"/>
          </w:tcPr>
          <w:p w14:paraId="0D3DC3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0.7717</w:t>
            </w:r>
          </w:p>
        </w:tc>
        <w:tc>
          <w:tcPr>
            <w:tcW w:w="1134" w:type="dxa"/>
            <w:tcBorders>
              <w:top w:val="nil"/>
              <w:left w:val="nil"/>
              <w:bottom w:val="nil"/>
              <w:right w:val="nil"/>
            </w:tcBorders>
            <w:shd w:val="clear" w:color="auto" w:fill="FFFFFF"/>
            <w:tcMar>
              <w:left w:w="67" w:type="dxa"/>
              <w:right w:w="67" w:type="dxa"/>
            </w:tcMar>
            <w:vAlign w:val="center"/>
          </w:tcPr>
          <w:p w14:paraId="158982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0.4741</w:t>
            </w:r>
          </w:p>
        </w:tc>
        <w:tc>
          <w:tcPr>
            <w:tcW w:w="1134" w:type="dxa"/>
            <w:tcBorders>
              <w:top w:val="nil"/>
              <w:left w:val="nil"/>
              <w:bottom w:val="nil"/>
              <w:right w:val="nil"/>
            </w:tcBorders>
            <w:shd w:val="clear" w:color="auto" w:fill="FFFFFF"/>
            <w:tcMar>
              <w:left w:w="67" w:type="dxa"/>
              <w:right w:w="67" w:type="dxa"/>
            </w:tcMar>
            <w:vAlign w:val="center"/>
          </w:tcPr>
          <w:p w14:paraId="5766AF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1.2560</w:t>
            </w:r>
          </w:p>
        </w:tc>
        <w:tc>
          <w:tcPr>
            <w:tcW w:w="1134" w:type="dxa"/>
            <w:tcBorders>
              <w:top w:val="nil"/>
              <w:left w:val="nil"/>
              <w:bottom w:val="nil"/>
              <w:right w:val="nil"/>
            </w:tcBorders>
            <w:shd w:val="clear" w:color="auto" w:fill="FFFFFF"/>
            <w:tcMar>
              <w:left w:w="67" w:type="dxa"/>
              <w:right w:w="67" w:type="dxa"/>
            </w:tcMar>
            <w:vAlign w:val="center"/>
          </w:tcPr>
          <w:p w14:paraId="19635DE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4173BB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59D30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EC43A2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A6F467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59EEB1D9"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529A6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0.5859</w:t>
            </w:r>
          </w:p>
        </w:tc>
        <w:tc>
          <w:tcPr>
            <w:tcW w:w="1134" w:type="dxa"/>
            <w:tcBorders>
              <w:top w:val="nil"/>
              <w:left w:val="nil"/>
              <w:bottom w:val="nil"/>
              <w:right w:val="nil"/>
            </w:tcBorders>
            <w:shd w:val="clear" w:color="auto" w:fill="FFFFFF"/>
            <w:tcMar>
              <w:left w:w="67" w:type="dxa"/>
              <w:right w:w="67" w:type="dxa"/>
            </w:tcMar>
            <w:vAlign w:val="center"/>
          </w:tcPr>
          <w:p w14:paraId="19DCC0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0.2394</w:t>
            </w:r>
          </w:p>
        </w:tc>
        <w:tc>
          <w:tcPr>
            <w:tcW w:w="1134" w:type="dxa"/>
            <w:tcBorders>
              <w:top w:val="nil"/>
              <w:left w:val="nil"/>
              <w:bottom w:val="nil"/>
              <w:right w:val="nil"/>
            </w:tcBorders>
            <w:shd w:val="clear" w:color="auto" w:fill="FFFFFF"/>
            <w:tcMar>
              <w:left w:w="67" w:type="dxa"/>
              <w:right w:w="67" w:type="dxa"/>
            </w:tcMar>
            <w:vAlign w:val="center"/>
          </w:tcPr>
          <w:p w14:paraId="44D08A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1.7966</w:t>
            </w:r>
          </w:p>
        </w:tc>
        <w:tc>
          <w:tcPr>
            <w:tcW w:w="1134" w:type="dxa"/>
            <w:tcBorders>
              <w:top w:val="nil"/>
              <w:left w:val="nil"/>
              <w:bottom w:val="nil"/>
              <w:right w:val="nil"/>
            </w:tcBorders>
            <w:shd w:val="clear" w:color="auto" w:fill="FFFFFF"/>
            <w:tcMar>
              <w:left w:w="67" w:type="dxa"/>
              <w:right w:w="67" w:type="dxa"/>
            </w:tcMar>
            <w:vAlign w:val="center"/>
          </w:tcPr>
          <w:p w14:paraId="0F6967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1.0505</w:t>
            </w:r>
          </w:p>
        </w:tc>
        <w:tc>
          <w:tcPr>
            <w:tcW w:w="1134" w:type="dxa"/>
            <w:tcBorders>
              <w:top w:val="nil"/>
              <w:left w:val="nil"/>
              <w:bottom w:val="nil"/>
              <w:right w:val="nil"/>
            </w:tcBorders>
            <w:shd w:val="clear" w:color="auto" w:fill="FFFFFF"/>
            <w:tcMar>
              <w:left w:w="67" w:type="dxa"/>
              <w:right w:w="67" w:type="dxa"/>
            </w:tcMar>
            <w:vAlign w:val="center"/>
          </w:tcPr>
          <w:p w14:paraId="59AF17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3.0726</w:t>
            </w:r>
          </w:p>
        </w:tc>
        <w:tc>
          <w:tcPr>
            <w:tcW w:w="1134" w:type="dxa"/>
            <w:tcBorders>
              <w:top w:val="nil"/>
              <w:left w:val="nil"/>
              <w:bottom w:val="nil"/>
              <w:right w:val="nil"/>
            </w:tcBorders>
            <w:shd w:val="clear" w:color="auto" w:fill="FFFFFF"/>
            <w:tcMar>
              <w:left w:w="67" w:type="dxa"/>
              <w:right w:w="67" w:type="dxa"/>
            </w:tcMar>
            <w:vAlign w:val="center"/>
          </w:tcPr>
          <w:p w14:paraId="2D2761F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AE680E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ECB40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6A877F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8F7C56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45DEFF2"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2CAC8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-0.1526</w:t>
            </w:r>
          </w:p>
        </w:tc>
        <w:tc>
          <w:tcPr>
            <w:tcW w:w="1134" w:type="dxa"/>
            <w:tcBorders>
              <w:top w:val="nil"/>
              <w:left w:val="nil"/>
              <w:bottom w:val="nil"/>
              <w:right w:val="nil"/>
            </w:tcBorders>
            <w:shd w:val="clear" w:color="auto" w:fill="FFFFFF"/>
            <w:tcMar>
              <w:left w:w="67" w:type="dxa"/>
              <w:right w:w="67" w:type="dxa"/>
            </w:tcMar>
            <w:vAlign w:val="center"/>
          </w:tcPr>
          <w:p w14:paraId="687593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0.1990</w:t>
            </w:r>
          </w:p>
        </w:tc>
        <w:tc>
          <w:tcPr>
            <w:tcW w:w="1134" w:type="dxa"/>
            <w:tcBorders>
              <w:top w:val="nil"/>
              <w:left w:val="nil"/>
              <w:bottom w:val="nil"/>
              <w:right w:val="nil"/>
            </w:tcBorders>
            <w:shd w:val="clear" w:color="auto" w:fill="FFFFFF"/>
            <w:tcMar>
              <w:left w:w="67" w:type="dxa"/>
              <w:right w:w="67" w:type="dxa"/>
            </w:tcMar>
            <w:vAlign w:val="center"/>
          </w:tcPr>
          <w:p w14:paraId="01A81E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0.8585</w:t>
            </w:r>
          </w:p>
        </w:tc>
        <w:tc>
          <w:tcPr>
            <w:tcW w:w="1134" w:type="dxa"/>
            <w:tcBorders>
              <w:top w:val="nil"/>
              <w:left w:val="nil"/>
              <w:bottom w:val="nil"/>
              <w:right w:val="nil"/>
            </w:tcBorders>
            <w:shd w:val="clear" w:color="auto" w:fill="FFFFFF"/>
            <w:tcMar>
              <w:left w:w="67" w:type="dxa"/>
              <w:right w:w="67" w:type="dxa"/>
            </w:tcMar>
            <w:vAlign w:val="center"/>
          </w:tcPr>
          <w:p w14:paraId="29A3B9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0.5495</w:t>
            </w:r>
          </w:p>
        </w:tc>
        <w:tc>
          <w:tcPr>
            <w:tcW w:w="1134" w:type="dxa"/>
            <w:tcBorders>
              <w:top w:val="nil"/>
              <w:left w:val="nil"/>
              <w:bottom w:val="nil"/>
              <w:right w:val="nil"/>
            </w:tcBorders>
            <w:shd w:val="clear" w:color="auto" w:fill="FFFFFF"/>
            <w:tcMar>
              <w:left w:w="67" w:type="dxa"/>
              <w:right w:w="67" w:type="dxa"/>
            </w:tcMar>
            <w:vAlign w:val="center"/>
          </w:tcPr>
          <w:p w14:paraId="092179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1.3412</w:t>
            </w:r>
          </w:p>
        </w:tc>
        <w:tc>
          <w:tcPr>
            <w:tcW w:w="1134" w:type="dxa"/>
            <w:tcBorders>
              <w:top w:val="nil"/>
              <w:left w:val="nil"/>
              <w:bottom w:val="nil"/>
              <w:right w:val="nil"/>
            </w:tcBorders>
            <w:shd w:val="clear" w:color="auto" w:fill="FFFFFF"/>
            <w:tcMar>
              <w:left w:w="67" w:type="dxa"/>
              <w:right w:w="67" w:type="dxa"/>
            </w:tcMar>
            <w:vAlign w:val="center"/>
          </w:tcPr>
          <w:p w14:paraId="643610D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92FDB5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BFF27D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4C9C66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80FFBA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383702BA"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1705C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3E8A5D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0.1927</w:t>
            </w:r>
          </w:p>
        </w:tc>
        <w:tc>
          <w:tcPr>
            <w:tcW w:w="1134" w:type="dxa"/>
            <w:tcBorders>
              <w:top w:val="nil"/>
              <w:left w:val="nil"/>
              <w:bottom w:val="nil"/>
              <w:right w:val="nil"/>
            </w:tcBorders>
            <w:shd w:val="clear" w:color="auto" w:fill="FFFFFF"/>
            <w:tcMar>
              <w:left w:w="67" w:type="dxa"/>
              <w:right w:w="67" w:type="dxa"/>
            </w:tcMar>
            <w:vAlign w:val="center"/>
          </w:tcPr>
          <w:p w14:paraId="5D200B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1.0002</w:t>
            </w:r>
          </w:p>
        </w:tc>
        <w:tc>
          <w:tcPr>
            <w:tcW w:w="1134" w:type="dxa"/>
            <w:tcBorders>
              <w:top w:val="nil"/>
              <w:left w:val="nil"/>
              <w:bottom w:val="nil"/>
              <w:right w:val="nil"/>
            </w:tcBorders>
            <w:shd w:val="clear" w:color="auto" w:fill="FFFFFF"/>
            <w:tcMar>
              <w:left w:w="67" w:type="dxa"/>
              <w:right w:w="67" w:type="dxa"/>
            </w:tcMar>
            <w:vAlign w:val="center"/>
          </w:tcPr>
          <w:p w14:paraId="315F15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0.6494</w:t>
            </w:r>
          </w:p>
        </w:tc>
        <w:tc>
          <w:tcPr>
            <w:tcW w:w="1134" w:type="dxa"/>
            <w:tcBorders>
              <w:top w:val="nil"/>
              <w:left w:val="nil"/>
              <w:bottom w:val="nil"/>
              <w:right w:val="nil"/>
            </w:tcBorders>
            <w:shd w:val="clear" w:color="auto" w:fill="FFFFFF"/>
            <w:tcMar>
              <w:left w:w="67" w:type="dxa"/>
              <w:right w:w="67" w:type="dxa"/>
            </w:tcMar>
            <w:vAlign w:val="center"/>
          </w:tcPr>
          <w:p w14:paraId="27CC22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1.5405</w:t>
            </w:r>
          </w:p>
        </w:tc>
        <w:tc>
          <w:tcPr>
            <w:tcW w:w="1134" w:type="dxa"/>
            <w:tcBorders>
              <w:top w:val="nil"/>
              <w:left w:val="nil"/>
              <w:bottom w:val="nil"/>
              <w:right w:val="nil"/>
            </w:tcBorders>
            <w:shd w:val="clear" w:color="auto" w:fill="FFFFFF"/>
            <w:tcMar>
              <w:left w:w="67" w:type="dxa"/>
              <w:right w:w="67" w:type="dxa"/>
            </w:tcMar>
            <w:vAlign w:val="center"/>
          </w:tcPr>
          <w:p w14:paraId="5D5AA14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8EB2D7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13BF8E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E99AEC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BCD7F0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458F74C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B7EEC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-0.1092</w:t>
            </w:r>
          </w:p>
        </w:tc>
        <w:tc>
          <w:tcPr>
            <w:tcW w:w="1134" w:type="dxa"/>
            <w:tcBorders>
              <w:top w:val="nil"/>
              <w:left w:val="nil"/>
              <w:bottom w:val="nil"/>
              <w:right w:val="nil"/>
            </w:tcBorders>
            <w:shd w:val="clear" w:color="auto" w:fill="FFFFFF"/>
            <w:tcMar>
              <w:left w:w="67" w:type="dxa"/>
              <w:right w:w="67" w:type="dxa"/>
            </w:tcMar>
            <w:vAlign w:val="center"/>
          </w:tcPr>
          <w:p w14:paraId="3F5502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0.1963</w:t>
            </w:r>
          </w:p>
        </w:tc>
        <w:tc>
          <w:tcPr>
            <w:tcW w:w="1134" w:type="dxa"/>
            <w:tcBorders>
              <w:top w:val="nil"/>
              <w:left w:val="nil"/>
              <w:bottom w:val="nil"/>
              <w:right w:val="nil"/>
            </w:tcBorders>
            <w:shd w:val="clear" w:color="auto" w:fill="FFFFFF"/>
            <w:tcMar>
              <w:left w:w="67" w:type="dxa"/>
              <w:right w:w="67" w:type="dxa"/>
            </w:tcMar>
            <w:vAlign w:val="center"/>
          </w:tcPr>
          <w:p w14:paraId="3B3FED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0.8966</w:t>
            </w:r>
          </w:p>
        </w:tc>
        <w:tc>
          <w:tcPr>
            <w:tcW w:w="1134" w:type="dxa"/>
            <w:tcBorders>
              <w:top w:val="nil"/>
              <w:left w:val="nil"/>
              <w:bottom w:val="nil"/>
              <w:right w:val="nil"/>
            </w:tcBorders>
            <w:shd w:val="clear" w:color="auto" w:fill="FFFFFF"/>
            <w:tcMar>
              <w:left w:w="67" w:type="dxa"/>
              <w:right w:w="67" w:type="dxa"/>
            </w:tcMar>
            <w:vAlign w:val="center"/>
          </w:tcPr>
          <w:p w14:paraId="1E76F5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0.5774</w:t>
            </w:r>
          </w:p>
        </w:tc>
        <w:tc>
          <w:tcPr>
            <w:tcW w:w="1134" w:type="dxa"/>
            <w:tcBorders>
              <w:top w:val="nil"/>
              <w:left w:val="nil"/>
              <w:bottom w:val="nil"/>
              <w:right w:val="nil"/>
            </w:tcBorders>
            <w:shd w:val="clear" w:color="auto" w:fill="FFFFFF"/>
            <w:tcMar>
              <w:left w:w="67" w:type="dxa"/>
              <w:right w:w="67" w:type="dxa"/>
            </w:tcMar>
            <w:vAlign w:val="center"/>
          </w:tcPr>
          <w:p w14:paraId="54B421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1.3921</w:t>
            </w:r>
          </w:p>
        </w:tc>
        <w:tc>
          <w:tcPr>
            <w:tcW w:w="1134" w:type="dxa"/>
            <w:tcBorders>
              <w:top w:val="nil"/>
              <w:left w:val="nil"/>
              <w:bottom w:val="nil"/>
              <w:right w:val="nil"/>
            </w:tcBorders>
            <w:shd w:val="clear" w:color="auto" w:fill="FFFFFF"/>
            <w:tcMar>
              <w:left w:w="67" w:type="dxa"/>
              <w:right w:w="67" w:type="dxa"/>
            </w:tcMar>
            <w:vAlign w:val="center"/>
          </w:tcPr>
          <w:p w14:paraId="1D7C302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050274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DFEAF5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F7B7B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8D363D5"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4082" w:type="dxa"/>
            <w:tcBorders>
              <w:top w:val="nil"/>
              <w:left w:val="nil"/>
              <w:bottom w:val="nil"/>
              <w:right w:val="nil"/>
            </w:tcBorders>
            <w:shd w:val="clear" w:color="auto" w:fill="FFFFFF"/>
            <w:tcMar>
              <w:left w:w="67" w:type="dxa"/>
              <w:right w:w="67" w:type="dxa"/>
            </w:tcMar>
            <w:vAlign w:val="center"/>
          </w:tcPr>
          <w:p w14:paraId="20A9C42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BD734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79FE85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0.0071</w:t>
            </w:r>
          </w:p>
        </w:tc>
        <w:tc>
          <w:tcPr>
            <w:tcW w:w="1134" w:type="dxa"/>
            <w:tcBorders>
              <w:top w:val="nil"/>
              <w:left w:val="nil"/>
              <w:bottom w:val="nil"/>
              <w:right w:val="nil"/>
            </w:tcBorders>
            <w:shd w:val="clear" w:color="auto" w:fill="FFFFFF"/>
            <w:tcMar>
              <w:left w:w="67" w:type="dxa"/>
              <w:right w:w="67" w:type="dxa"/>
            </w:tcMar>
            <w:vAlign w:val="center"/>
          </w:tcPr>
          <w:p w14:paraId="344ADE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1.0188</w:t>
            </w:r>
          </w:p>
        </w:tc>
        <w:tc>
          <w:tcPr>
            <w:tcW w:w="1134" w:type="dxa"/>
            <w:tcBorders>
              <w:top w:val="nil"/>
              <w:left w:val="nil"/>
              <w:bottom w:val="nil"/>
              <w:right w:val="nil"/>
            </w:tcBorders>
            <w:shd w:val="clear" w:color="auto" w:fill="FFFFFF"/>
            <w:tcMar>
              <w:left w:w="67" w:type="dxa"/>
              <w:right w:w="67" w:type="dxa"/>
            </w:tcMar>
            <w:vAlign w:val="center"/>
          </w:tcPr>
          <w:p w14:paraId="373AAD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1.0026</w:t>
            </w:r>
          </w:p>
        </w:tc>
        <w:tc>
          <w:tcPr>
            <w:tcW w:w="1134" w:type="dxa"/>
            <w:tcBorders>
              <w:top w:val="nil"/>
              <w:left w:val="nil"/>
              <w:bottom w:val="nil"/>
              <w:right w:val="nil"/>
            </w:tcBorders>
            <w:shd w:val="clear" w:color="auto" w:fill="FFFFFF"/>
            <w:tcMar>
              <w:left w:w="67" w:type="dxa"/>
              <w:right w:w="67" w:type="dxa"/>
            </w:tcMar>
            <w:vAlign w:val="center"/>
          </w:tcPr>
          <w:p w14:paraId="6125C8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1.0352</w:t>
            </w:r>
          </w:p>
        </w:tc>
        <w:tc>
          <w:tcPr>
            <w:tcW w:w="1134" w:type="dxa"/>
            <w:tcBorders>
              <w:top w:val="nil"/>
              <w:left w:val="nil"/>
              <w:bottom w:val="nil"/>
              <w:right w:val="nil"/>
            </w:tcBorders>
            <w:shd w:val="clear" w:color="auto" w:fill="FFFFFF"/>
            <w:tcMar>
              <w:left w:w="67" w:type="dxa"/>
              <w:right w:w="67" w:type="dxa"/>
            </w:tcMar>
            <w:vAlign w:val="center"/>
          </w:tcPr>
          <w:p w14:paraId="01904D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6.80</w:t>
            </w:r>
          </w:p>
        </w:tc>
        <w:tc>
          <w:tcPr>
            <w:tcW w:w="567" w:type="dxa"/>
            <w:tcBorders>
              <w:top w:val="nil"/>
              <w:left w:val="nil"/>
              <w:bottom w:val="nil"/>
              <w:right w:val="nil"/>
            </w:tcBorders>
            <w:shd w:val="clear" w:color="auto" w:fill="FFFFFF"/>
            <w:tcMar>
              <w:left w:w="67" w:type="dxa"/>
              <w:right w:w="67" w:type="dxa"/>
            </w:tcMar>
            <w:vAlign w:val="center"/>
          </w:tcPr>
          <w:p w14:paraId="180820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ACA38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0.0091</w:t>
            </w:r>
          </w:p>
        </w:tc>
      </w:tr>
      <w:tr w:rsidR="00B77EA3" w:rsidRPr="0082484A" w14:paraId="5DB5F833"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C503CEA" w14:textId="77777777" w:rsidR="00B77EA3" w:rsidRPr="0082484A" w:rsidRDefault="00B77EA3" w:rsidP="00B77EA3">
            <w:pPr>
              <w:spacing w:beforeLines="10" w:before="24" w:afterLines="10" w:after="24" w:line="240" w:lineRule="auto"/>
              <w:rPr>
                <w:sz w:val="22"/>
                <w:szCs w:val="22"/>
              </w:rPr>
            </w:pPr>
            <w:r w:rsidRPr="0082484A">
              <w:rPr>
                <w:sz w:val="22"/>
                <w:szCs w:val="22"/>
              </w:rPr>
              <w:lastRenderedPageBreak/>
              <w:t>Pre-intervention achievement for blood pressure control</w:t>
            </w:r>
          </w:p>
        </w:tc>
        <w:tc>
          <w:tcPr>
            <w:tcW w:w="4082" w:type="dxa"/>
            <w:tcBorders>
              <w:top w:val="nil"/>
              <w:left w:val="nil"/>
              <w:bottom w:val="nil"/>
              <w:right w:val="nil"/>
            </w:tcBorders>
            <w:shd w:val="clear" w:color="auto" w:fill="FFFFFF"/>
            <w:tcMar>
              <w:left w:w="67" w:type="dxa"/>
              <w:right w:w="67" w:type="dxa"/>
            </w:tcMar>
            <w:vAlign w:val="center"/>
          </w:tcPr>
          <w:p w14:paraId="0D3DB32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30E2A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218F68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0.0089</w:t>
            </w:r>
          </w:p>
        </w:tc>
        <w:tc>
          <w:tcPr>
            <w:tcW w:w="1134" w:type="dxa"/>
            <w:tcBorders>
              <w:top w:val="nil"/>
              <w:left w:val="nil"/>
              <w:bottom w:val="nil"/>
              <w:right w:val="nil"/>
            </w:tcBorders>
            <w:shd w:val="clear" w:color="auto" w:fill="FFFFFF"/>
            <w:tcMar>
              <w:left w:w="67" w:type="dxa"/>
              <w:right w:w="67" w:type="dxa"/>
            </w:tcMar>
            <w:vAlign w:val="center"/>
          </w:tcPr>
          <w:p w14:paraId="15B19E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1.0033</w:t>
            </w:r>
          </w:p>
        </w:tc>
        <w:tc>
          <w:tcPr>
            <w:tcW w:w="1134" w:type="dxa"/>
            <w:tcBorders>
              <w:top w:val="nil"/>
              <w:left w:val="nil"/>
              <w:bottom w:val="nil"/>
              <w:right w:val="nil"/>
            </w:tcBorders>
            <w:shd w:val="clear" w:color="auto" w:fill="FFFFFF"/>
            <w:tcMar>
              <w:left w:w="67" w:type="dxa"/>
              <w:right w:w="67" w:type="dxa"/>
            </w:tcMar>
            <w:vAlign w:val="center"/>
          </w:tcPr>
          <w:p w14:paraId="5A2817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0.9834</w:t>
            </w:r>
          </w:p>
        </w:tc>
        <w:tc>
          <w:tcPr>
            <w:tcW w:w="1134" w:type="dxa"/>
            <w:tcBorders>
              <w:top w:val="nil"/>
              <w:left w:val="nil"/>
              <w:bottom w:val="nil"/>
              <w:right w:val="nil"/>
            </w:tcBorders>
            <w:shd w:val="clear" w:color="auto" w:fill="FFFFFF"/>
            <w:tcMar>
              <w:left w:w="67" w:type="dxa"/>
              <w:right w:w="67" w:type="dxa"/>
            </w:tcMar>
            <w:vAlign w:val="center"/>
          </w:tcPr>
          <w:p w14:paraId="4F2D3C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1.0236</w:t>
            </w:r>
          </w:p>
        </w:tc>
        <w:tc>
          <w:tcPr>
            <w:tcW w:w="1134" w:type="dxa"/>
            <w:tcBorders>
              <w:top w:val="nil"/>
              <w:left w:val="nil"/>
              <w:bottom w:val="nil"/>
              <w:right w:val="nil"/>
            </w:tcBorders>
            <w:shd w:val="clear" w:color="auto" w:fill="FFFFFF"/>
            <w:tcMar>
              <w:left w:w="67" w:type="dxa"/>
              <w:right w:w="67" w:type="dxa"/>
            </w:tcMar>
            <w:vAlign w:val="center"/>
          </w:tcPr>
          <w:p w14:paraId="1570EA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w:t>
            </w:r>
          </w:p>
        </w:tc>
        <w:tc>
          <w:tcPr>
            <w:tcW w:w="567" w:type="dxa"/>
            <w:tcBorders>
              <w:top w:val="nil"/>
              <w:left w:val="nil"/>
              <w:bottom w:val="nil"/>
              <w:right w:val="nil"/>
            </w:tcBorders>
            <w:shd w:val="clear" w:color="auto" w:fill="FFFFFF"/>
            <w:tcMar>
              <w:left w:w="67" w:type="dxa"/>
              <w:right w:w="67" w:type="dxa"/>
            </w:tcMar>
            <w:vAlign w:val="center"/>
          </w:tcPr>
          <w:p w14:paraId="27DAD4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1495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0.7141</w:t>
            </w:r>
          </w:p>
        </w:tc>
      </w:tr>
      <w:tr w:rsidR="00B77EA3" w:rsidRPr="0082484A" w14:paraId="3970259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8FFA8CD"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4082" w:type="dxa"/>
            <w:tcBorders>
              <w:top w:val="nil"/>
              <w:left w:val="nil"/>
              <w:bottom w:val="nil"/>
              <w:right w:val="nil"/>
            </w:tcBorders>
            <w:shd w:val="clear" w:color="auto" w:fill="FFFFFF"/>
            <w:tcMar>
              <w:left w:w="67" w:type="dxa"/>
              <w:right w:w="67" w:type="dxa"/>
            </w:tcMar>
            <w:vAlign w:val="center"/>
          </w:tcPr>
          <w:p w14:paraId="72FB860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650C3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5373AD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tcBorders>
              <w:top w:val="nil"/>
              <w:left w:val="nil"/>
              <w:bottom w:val="nil"/>
              <w:right w:val="nil"/>
            </w:tcBorders>
            <w:shd w:val="clear" w:color="auto" w:fill="FFFFFF"/>
            <w:tcMar>
              <w:left w:w="67" w:type="dxa"/>
              <w:right w:w="67" w:type="dxa"/>
            </w:tcMar>
            <w:vAlign w:val="center"/>
          </w:tcPr>
          <w:p w14:paraId="17CFB8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1.0026</w:t>
            </w:r>
          </w:p>
        </w:tc>
        <w:tc>
          <w:tcPr>
            <w:tcW w:w="1134" w:type="dxa"/>
            <w:tcBorders>
              <w:top w:val="nil"/>
              <w:left w:val="nil"/>
              <w:bottom w:val="nil"/>
              <w:right w:val="nil"/>
            </w:tcBorders>
            <w:shd w:val="clear" w:color="auto" w:fill="FFFFFF"/>
            <w:tcMar>
              <w:left w:w="67" w:type="dxa"/>
              <w:right w:w="67" w:type="dxa"/>
            </w:tcMar>
            <w:vAlign w:val="center"/>
          </w:tcPr>
          <w:p w14:paraId="16D5E6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0.9966</w:t>
            </w:r>
          </w:p>
        </w:tc>
        <w:tc>
          <w:tcPr>
            <w:tcW w:w="1134" w:type="dxa"/>
            <w:tcBorders>
              <w:top w:val="nil"/>
              <w:left w:val="nil"/>
              <w:bottom w:val="nil"/>
              <w:right w:val="nil"/>
            </w:tcBorders>
            <w:shd w:val="clear" w:color="auto" w:fill="FFFFFF"/>
            <w:tcMar>
              <w:left w:w="67" w:type="dxa"/>
              <w:right w:w="67" w:type="dxa"/>
            </w:tcMar>
            <w:vAlign w:val="center"/>
          </w:tcPr>
          <w:p w14:paraId="27080D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1.0087</w:t>
            </w:r>
          </w:p>
        </w:tc>
        <w:tc>
          <w:tcPr>
            <w:tcW w:w="1134" w:type="dxa"/>
            <w:tcBorders>
              <w:top w:val="nil"/>
              <w:left w:val="nil"/>
              <w:bottom w:val="nil"/>
              <w:right w:val="nil"/>
            </w:tcBorders>
            <w:shd w:val="clear" w:color="auto" w:fill="FFFFFF"/>
            <w:tcMar>
              <w:left w:w="67" w:type="dxa"/>
              <w:right w:w="67" w:type="dxa"/>
            </w:tcMar>
            <w:vAlign w:val="center"/>
          </w:tcPr>
          <w:p w14:paraId="7AFF87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w:t>
            </w:r>
          </w:p>
        </w:tc>
        <w:tc>
          <w:tcPr>
            <w:tcW w:w="567" w:type="dxa"/>
            <w:tcBorders>
              <w:top w:val="nil"/>
              <w:left w:val="nil"/>
              <w:bottom w:val="nil"/>
              <w:right w:val="nil"/>
            </w:tcBorders>
            <w:shd w:val="clear" w:color="auto" w:fill="FFFFFF"/>
            <w:tcMar>
              <w:left w:w="67" w:type="dxa"/>
              <w:right w:w="67" w:type="dxa"/>
            </w:tcMar>
            <w:vAlign w:val="center"/>
          </w:tcPr>
          <w:p w14:paraId="3800BA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07CD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0.3304</w:t>
            </w:r>
          </w:p>
        </w:tc>
      </w:tr>
      <w:tr w:rsidR="00B77EA3" w:rsidRPr="0082484A" w14:paraId="579EB810"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E5E0691"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4082" w:type="dxa"/>
            <w:tcBorders>
              <w:top w:val="nil"/>
              <w:left w:val="nil"/>
              <w:bottom w:val="single" w:sz="11" w:space="0" w:color="000000"/>
              <w:right w:val="nil"/>
            </w:tcBorders>
            <w:shd w:val="clear" w:color="auto" w:fill="FFFFFF"/>
            <w:tcMar>
              <w:left w:w="67" w:type="dxa"/>
              <w:right w:w="67" w:type="dxa"/>
            </w:tcMar>
            <w:vAlign w:val="center"/>
          </w:tcPr>
          <w:p w14:paraId="182EA8D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10F1F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C4ADA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E9AB2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0.9485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FC3A8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0.8162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03354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1.1024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C35D2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7CC2D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0EFE94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0.4306</w:t>
            </w:r>
          </w:p>
        </w:tc>
      </w:tr>
    </w:tbl>
    <w:p w14:paraId="7F081DDE" w14:textId="77777777" w:rsidR="00B77EA3" w:rsidRPr="0082484A" w:rsidRDefault="00B77EA3" w:rsidP="00B77EA3">
      <w:pPr>
        <w:adjustRightInd w:val="0"/>
        <w:spacing w:before="0" w:line="240" w:lineRule="auto"/>
        <w:contextualSpacing/>
        <w:rPr>
          <w:sz w:val="22"/>
          <w:szCs w:val="22"/>
        </w:rPr>
      </w:pPr>
      <w:r w:rsidRPr="0082484A">
        <w:rPr>
          <w:sz w:val="22"/>
          <w:szCs w:val="22"/>
        </w:rPr>
        <w:t>The estimated number needed to treat for one patient with atrial fibrillation and a CHA2DS2-VASc score of 2 or above with contraindication for anti-coagulation to be prescribed anticoagulation therapy is -53</w:t>
      </w:r>
    </w:p>
    <w:p w14:paraId="756EC89A" w14:textId="77777777" w:rsidR="00B77EA3" w:rsidRPr="0082484A" w:rsidRDefault="00B77EA3" w:rsidP="00B77EA3">
      <w:pPr>
        <w:spacing w:before="0" w:after="160" w:line="259" w:lineRule="auto"/>
        <w:rPr>
          <w:sz w:val="22"/>
          <w:szCs w:val="22"/>
        </w:rPr>
      </w:pPr>
      <w:r w:rsidRPr="0082484A">
        <w:rPr>
          <w:sz w:val="22"/>
          <w:szCs w:val="22"/>
        </w:rPr>
        <w:br w:type="page"/>
      </w:r>
    </w:p>
    <w:p w14:paraId="3612BEFF" w14:textId="2FD646D8" w:rsidR="00B77EA3" w:rsidRPr="0082484A" w:rsidRDefault="00B77EA3" w:rsidP="00B77EA3">
      <w:pPr>
        <w:spacing w:before="0" w:line="240" w:lineRule="auto"/>
        <w:rPr>
          <w:bCs/>
          <w:sz w:val="22"/>
          <w:szCs w:val="22"/>
        </w:rPr>
      </w:pPr>
      <w:bookmarkStart w:id="185" w:name="_Ref502917891"/>
      <w:bookmarkStart w:id="186" w:name="_Toc8728125"/>
      <w:bookmarkStart w:id="187" w:name="_Toc19526780"/>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51</w:t>
      </w:r>
      <w:r w:rsidRPr="0082484A">
        <w:rPr>
          <w:bCs/>
          <w:noProof/>
          <w:sz w:val="22"/>
          <w:szCs w:val="22"/>
        </w:rPr>
        <w:fldChar w:fldCharType="end"/>
      </w:r>
      <w:bookmarkEnd w:id="185"/>
      <w:r w:rsidRPr="0082484A">
        <w:rPr>
          <w:bCs/>
          <w:sz w:val="22"/>
          <w:szCs w:val="22"/>
        </w:rPr>
        <w:t>: Secondary outcome for Trial 2: The proportion of patients achieving the two indicators related to contraindication for anti-coagulation (WP4A)</w:t>
      </w:r>
      <w:bookmarkEnd w:id="186"/>
      <w:bookmarkEnd w:id="187"/>
    </w:p>
    <w:tbl>
      <w:tblPr>
        <w:tblW w:w="15705" w:type="dxa"/>
        <w:jc w:val="center"/>
        <w:tblLayout w:type="fixed"/>
        <w:tblCellMar>
          <w:left w:w="0" w:type="dxa"/>
          <w:right w:w="0" w:type="dxa"/>
        </w:tblCellMar>
        <w:tblLook w:val="0000" w:firstRow="0" w:lastRow="0" w:firstColumn="0" w:lastColumn="0" w:noHBand="0" w:noVBand="0"/>
      </w:tblPr>
      <w:tblGrid>
        <w:gridCol w:w="3118"/>
        <w:gridCol w:w="4082"/>
        <w:gridCol w:w="1134"/>
        <w:gridCol w:w="1134"/>
        <w:gridCol w:w="1134"/>
        <w:gridCol w:w="1134"/>
        <w:gridCol w:w="1134"/>
        <w:gridCol w:w="1134"/>
        <w:gridCol w:w="567"/>
        <w:gridCol w:w="1134"/>
      </w:tblGrid>
      <w:tr w:rsidR="00B77EA3" w:rsidRPr="0082484A" w14:paraId="3DEE7C2E"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8360AA4"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4082"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C42EC6E" w14:textId="77777777" w:rsidR="00B77EA3" w:rsidRPr="0082484A" w:rsidRDefault="00B77EA3" w:rsidP="00B77EA3">
            <w:pPr>
              <w:adjustRightInd w:val="0"/>
              <w:spacing w:beforeLines="10" w:before="24" w:afterLines="10" w:after="24" w:line="240" w:lineRule="auto"/>
              <w:rPr>
                <w:rFonts w:eastAsia="Times New Roman"/>
                <w:bCs/>
                <w:sz w:val="22"/>
                <w:szCs w:val="22"/>
              </w:rPr>
            </w:pPr>
            <w:r w:rsidRPr="0082484A">
              <w:rPr>
                <w:rFonts w:eastAsia="Times New Roman"/>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E74E9F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63F7BF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C82D1F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Odds ratio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1BF10C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9F4A1B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 for OR</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8EC3B5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ACBD3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2E2B2B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E7C2E2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11ED3EC"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4082" w:type="dxa"/>
            <w:tcBorders>
              <w:top w:val="nil"/>
              <w:left w:val="nil"/>
              <w:bottom w:val="nil"/>
              <w:right w:val="nil"/>
            </w:tcBorders>
            <w:shd w:val="clear" w:color="auto" w:fill="FFFFFF"/>
            <w:tcMar>
              <w:left w:w="67" w:type="dxa"/>
              <w:right w:w="67" w:type="dxa"/>
            </w:tcMar>
            <w:vAlign w:val="center"/>
          </w:tcPr>
          <w:p w14:paraId="16B4A4BB"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2B2062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-0.1766</w:t>
            </w:r>
          </w:p>
        </w:tc>
        <w:tc>
          <w:tcPr>
            <w:tcW w:w="1134" w:type="dxa"/>
            <w:tcBorders>
              <w:top w:val="nil"/>
              <w:left w:val="nil"/>
              <w:bottom w:val="nil"/>
              <w:right w:val="nil"/>
            </w:tcBorders>
            <w:shd w:val="clear" w:color="auto" w:fill="FFFFFF"/>
            <w:tcMar>
              <w:left w:w="67" w:type="dxa"/>
              <w:right w:w="67" w:type="dxa"/>
            </w:tcMar>
            <w:vAlign w:val="center"/>
          </w:tcPr>
          <w:p w14:paraId="147F8D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0.1056</w:t>
            </w:r>
          </w:p>
        </w:tc>
        <w:tc>
          <w:tcPr>
            <w:tcW w:w="1134" w:type="dxa"/>
            <w:tcBorders>
              <w:top w:val="nil"/>
              <w:left w:val="nil"/>
              <w:bottom w:val="nil"/>
              <w:right w:val="nil"/>
            </w:tcBorders>
            <w:shd w:val="clear" w:color="auto" w:fill="FFFFFF"/>
            <w:tcMar>
              <w:left w:w="67" w:type="dxa"/>
              <w:right w:w="67" w:type="dxa"/>
            </w:tcMar>
            <w:vAlign w:val="center"/>
          </w:tcPr>
          <w:p w14:paraId="7C58CC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0.8381</w:t>
            </w:r>
          </w:p>
        </w:tc>
        <w:tc>
          <w:tcPr>
            <w:tcW w:w="1134" w:type="dxa"/>
            <w:tcBorders>
              <w:top w:val="nil"/>
              <w:left w:val="nil"/>
              <w:bottom w:val="nil"/>
              <w:right w:val="nil"/>
            </w:tcBorders>
            <w:shd w:val="clear" w:color="auto" w:fill="FFFFFF"/>
            <w:tcMar>
              <w:left w:w="67" w:type="dxa"/>
              <w:right w:w="67" w:type="dxa"/>
            </w:tcMar>
            <w:vAlign w:val="center"/>
          </w:tcPr>
          <w:p w14:paraId="759A2F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0.6614</w:t>
            </w:r>
          </w:p>
        </w:tc>
        <w:tc>
          <w:tcPr>
            <w:tcW w:w="1134" w:type="dxa"/>
            <w:tcBorders>
              <w:top w:val="nil"/>
              <w:left w:val="nil"/>
              <w:bottom w:val="nil"/>
              <w:right w:val="nil"/>
            </w:tcBorders>
            <w:shd w:val="clear" w:color="auto" w:fill="FFFFFF"/>
            <w:tcMar>
              <w:left w:w="67" w:type="dxa"/>
              <w:right w:w="67" w:type="dxa"/>
            </w:tcMar>
            <w:vAlign w:val="center"/>
          </w:tcPr>
          <w:p w14:paraId="370C4A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1.0621</w:t>
            </w:r>
          </w:p>
        </w:tc>
        <w:tc>
          <w:tcPr>
            <w:tcW w:w="1134" w:type="dxa"/>
            <w:tcBorders>
              <w:top w:val="nil"/>
              <w:left w:val="nil"/>
              <w:bottom w:val="nil"/>
              <w:right w:val="nil"/>
            </w:tcBorders>
            <w:shd w:val="clear" w:color="auto" w:fill="FFFFFF"/>
            <w:tcMar>
              <w:left w:w="67" w:type="dxa"/>
              <w:right w:w="67" w:type="dxa"/>
            </w:tcMar>
            <w:vAlign w:val="center"/>
          </w:tcPr>
          <w:p w14:paraId="6D9530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2.79</w:t>
            </w:r>
          </w:p>
        </w:tc>
        <w:tc>
          <w:tcPr>
            <w:tcW w:w="567" w:type="dxa"/>
            <w:tcBorders>
              <w:top w:val="nil"/>
              <w:left w:val="nil"/>
              <w:bottom w:val="nil"/>
              <w:right w:val="nil"/>
            </w:tcBorders>
            <w:shd w:val="clear" w:color="auto" w:fill="FFFFFF"/>
            <w:tcMar>
              <w:left w:w="67" w:type="dxa"/>
              <w:right w:w="67" w:type="dxa"/>
            </w:tcMar>
            <w:vAlign w:val="center"/>
          </w:tcPr>
          <w:p w14:paraId="0F6DF0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B6E5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0.0947</w:t>
            </w:r>
          </w:p>
        </w:tc>
      </w:tr>
      <w:tr w:rsidR="00B77EA3" w:rsidRPr="0082484A" w14:paraId="7689789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D028EDD"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4082" w:type="dxa"/>
            <w:tcBorders>
              <w:top w:val="nil"/>
              <w:left w:val="nil"/>
              <w:bottom w:val="nil"/>
              <w:right w:val="nil"/>
            </w:tcBorders>
            <w:shd w:val="clear" w:color="auto" w:fill="FFFFFF"/>
            <w:tcMar>
              <w:left w:w="67" w:type="dxa"/>
              <w:right w:w="67" w:type="dxa"/>
            </w:tcMar>
            <w:vAlign w:val="center"/>
          </w:tcPr>
          <w:p w14:paraId="762F9D2F"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Female vs. Male</w:t>
            </w:r>
          </w:p>
        </w:tc>
        <w:tc>
          <w:tcPr>
            <w:tcW w:w="1134" w:type="dxa"/>
            <w:tcBorders>
              <w:top w:val="nil"/>
              <w:left w:val="nil"/>
              <w:bottom w:val="nil"/>
              <w:right w:val="nil"/>
            </w:tcBorders>
            <w:shd w:val="clear" w:color="auto" w:fill="FFFFFF"/>
            <w:tcMar>
              <w:left w:w="67" w:type="dxa"/>
              <w:right w:w="67" w:type="dxa"/>
            </w:tcMar>
            <w:vAlign w:val="center"/>
          </w:tcPr>
          <w:p w14:paraId="1BADF9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-0.0465</w:t>
            </w:r>
          </w:p>
        </w:tc>
        <w:tc>
          <w:tcPr>
            <w:tcW w:w="1134" w:type="dxa"/>
            <w:tcBorders>
              <w:top w:val="nil"/>
              <w:left w:val="nil"/>
              <w:bottom w:val="nil"/>
              <w:right w:val="nil"/>
            </w:tcBorders>
            <w:shd w:val="clear" w:color="auto" w:fill="FFFFFF"/>
            <w:tcMar>
              <w:left w:w="67" w:type="dxa"/>
              <w:right w:w="67" w:type="dxa"/>
            </w:tcMar>
            <w:vAlign w:val="center"/>
          </w:tcPr>
          <w:p w14:paraId="7C41E8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0.0623</w:t>
            </w:r>
          </w:p>
        </w:tc>
        <w:tc>
          <w:tcPr>
            <w:tcW w:w="1134" w:type="dxa"/>
            <w:tcBorders>
              <w:top w:val="nil"/>
              <w:left w:val="nil"/>
              <w:bottom w:val="nil"/>
              <w:right w:val="nil"/>
            </w:tcBorders>
            <w:shd w:val="clear" w:color="auto" w:fill="FFFFFF"/>
            <w:tcMar>
              <w:left w:w="67" w:type="dxa"/>
              <w:right w:w="67" w:type="dxa"/>
            </w:tcMar>
            <w:vAlign w:val="center"/>
          </w:tcPr>
          <w:p w14:paraId="0771DA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0.9546</w:t>
            </w:r>
          </w:p>
        </w:tc>
        <w:tc>
          <w:tcPr>
            <w:tcW w:w="1134" w:type="dxa"/>
            <w:tcBorders>
              <w:top w:val="nil"/>
              <w:left w:val="nil"/>
              <w:bottom w:val="nil"/>
              <w:right w:val="nil"/>
            </w:tcBorders>
            <w:shd w:val="clear" w:color="auto" w:fill="FFFFFF"/>
            <w:tcMar>
              <w:left w:w="67" w:type="dxa"/>
              <w:right w:w="67" w:type="dxa"/>
            </w:tcMar>
            <w:vAlign w:val="center"/>
          </w:tcPr>
          <w:p w14:paraId="35E5BA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0.8302</w:t>
            </w:r>
          </w:p>
        </w:tc>
        <w:tc>
          <w:tcPr>
            <w:tcW w:w="1134" w:type="dxa"/>
            <w:tcBorders>
              <w:top w:val="nil"/>
              <w:left w:val="nil"/>
              <w:bottom w:val="nil"/>
              <w:right w:val="nil"/>
            </w:tcBorders>
            <w:shd w:val="clear" w:color="auto" w:fill="FFFFFF"/>
            <w:tcMar>
              <w:left w:w="67" w:type="dxa"/>
              <w:right w:w="67" w:type="dxa"/>
            </w:tcMar>
            <w:vAlign w:val="center"/>
          </w:tcPr>
          <w:p w14:paraId="491EA0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1.0977</w:t>
            </w:r>
          </w:p>
        </w:tc>
        <w:tc>
          <w:tcPr>
            <w:tcW w:w="1134" w:type="dxa"/>
            <w:tcBorders>
              <w:top w:val="nil"/>
              <w:left w:val="nil"/>
              <w:bottom w:val="nil"/>
              <w:right w:val="nil"/>
            </w:tcBorders>
            <w:shd w:val="clear" w:color="auto" w:fill="FFFFFF"/>
            <w:tcMar>
              <w:left w:w="67" w:type="dxa"/>
              <w:right w:w="67" w:type="dxa"/>
            </w:tcMar>
            <w:vAlign w:val="center"/>
          </w:tcPr>
          <w:p w14:paraId="370A73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w:t>
            </w:r>
          </w:p>
        </w:tc>
        <w:tc>
          <w:tcPr>
            <w:tcW w:w="567" w:type="dxa"/>
            <w:tcBorders>
              <w:top w:val="nil"/>
              <w:left w:val="nil"/>
              <w:bottom w:val="nil"/>
              <w:right w:val="nil"/>
            </w:tcBorders>
            <w:shd w:val="clear" w:color="auto" w:fill="FFFFFF"/>
            <w:tcMar>
              <w:left w:w="67" w:type="dxa"/>
              <w:right w:w="67" w:type="dxa"/>
            </w:tcMar>
            <w:vAlign w:val="center"/>
          </w:tcPr>
          <w:p w14:paraId="27005E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4502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0.4558</w:t>
            </w:r>
          </w:p>
        </w:tc>
      </w:tr>
      <w:tr w:rsidR="00B77EA3" w:rsidRPr="0082484A" w14:paraId="227C7BF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2E43E4E"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4082" w:type="dxa"/>
            <w:tcBorders>
              <w:top w:val="nil"/>
              <w:left w:val="nil"/>
              <w:bottom w:val="nil"/>
              <w:right w:val="nil"/>
            </w:tcBorders>
            <w:shd w:val="clear" w:color="auto" w:fill="FFFFFF"/>
            <w:tcMar>
              <w:left w:w="67" w:type="dxa"/>
              <w:right w:w="67" w:type="dxa"/>
            </w:tcMar>
            <w:vAlign w:val="center"/>
          </w:tcPr>
          <w:p w14:paraId="5936FD24"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D9A40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11B768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0.0031</w:t>
            </w:r>
          </w:p>
        </w:tc>
        <w:tc>
          <w:tcPr>
            <w:tcW w:w="1134" w:type="dxa"/>
            <w:tcBorders>
              <w:top w:val="nil"/>
              <w:left w:val="nil"/>
              <w:bottom w:val="nil"/>
              <w:right w:val="nil"/>
            </w:tcBorders>
            <w:shd w:val="clear" w:color="auto" w:fill="FFFFFF"/>
            <w:tcMar>
              <w:left w:w="67" w:type="dxa"/>
              <w:right w:w="67" w:type="dxa"/>
            </w:tcMar>
            <w:vAlign w:val="center"/>
          </w:tcPr>
          <w:p w14:paraId="444320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1.0017</w:t>
            </w:r>
          </w:p>
        </w:tc>
        <w:tc>
          <w:tcPr>
            <w:tcW w:w="1134" w:type="dxa"/>
            <w:tcBorders>
              <w:top w:val="nil"/>
              <w:left w:val="nil"/>
              <w:bottom w:val="nil"/>
              <w:right w:val="nil"/>
            </w:tcBorders>
            <w:shd w:val="clear" w:color="auto" w:fill="FFFFFF"/>
            <w:tcMar>
              <w:left w:w="67" w:type="dxa"/>
              <w:right w:w="67" w:type="dxa"/>
            </w:tcMar>
            <w:vAlign w:val="center"/>
          </w:tcPr>
          <w:p w14:paraId="5E54EE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0.9947</w:t>
            </w:r>
          </w:p>
        </w:tc>
        <w:tc>
          <w:tcPr>
            <w:tcW w:w="1134" w:type="dxa"/>
            <w:tcBorders>
              <w:top w:val="nil"/>
              <w:left w:val="nil"/>
              <w:bottom w:val="nil"/>
              <w:right w:val="nil"/>
            </w:tcBorders>
            <w:shd w:val="clear" w:color="auto" w:fill="FFFFFF"/>
            <w:tcMar>
              <w:left w:w="67" w:type="dxa"/>
              <w:right w:w="67" w:type="dxa"/>
            </w:tcMar>
            <w:vAlign w:val="center"/>
          </w:tcPr>
          <w:p w14:paraId="7B5698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1.0087</w:t>
            </w:r>
          </w:p>
        </w:tc>
        <w:tc>
          <w:tcPr>
            <w:tcW w:w="1134" w:type="dxa"/>
            <w:tcBorders>
              <w:top w:val="nil"/>
              <w:left w:val="nil"/>
              <w:bottom w:val="nil"/>
              <w:right w:val="nil"/>
            </w:tcBorders>
            <w:shd w:val="clear" w:color="auto" w:fill="FFFFFF"/>
            <w:tcMar>
              <w:left w:w="67" w:type="dxa"/>
              <w:right w:w="67" w:type="dxa"/>
            </w:tcMar>
            <w:vAlign w:val="center"/>
          </w:tcPr>
          <w:p w14:paraId="442285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w:t>
            </w:r>
          </w:p>
        </w:tc>
        <w:tc>
          <w:tcPr>
            <w:tcW w:w="567" w:type="dxa"/>
            <w:tcBorders>
              <w:top w:val="nil"/>
              <w:left w:val="nil"/>
              <w:bottom w:val="nil"/>
              <w:right w:val="nil"/>
            </w:tcBorders>
            <w:shd w:val="clear" w:color="auto" w:fill="FFFFFF"/>
            <w:tcMar>
              <w:left w:w="67" w:type="dxa"/>
              <w:right w:w="67" w:type="dxa"/>
            </w:tcMar>
            <w:vAlign w:val="center"/>
          </w:tcPr>
          <w:p w14:paraId="7B64D1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CDC7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0.5918</w:t>
            </w:r>
          </w:p>
        </w:tc>
      </w:tr>
      <w:tr w:rsidR="00B77EA3" w:rsidRPr="0082484A" w14:paraId="78B9F55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CAB64AE"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4082" w:type="dxa"/>
            <w:tcBorders>
              <w:top w:val="nil"/>
              <w:left w:val="nil"/>
              <w:bottom w:val="nil"/>
              <w:right w:val="nil"/>
            </w:tcBorders>
            <w:shd w:val="clear" w:color="auto" w:fill="FFFFFF"/>
            <w:tcMar>
              <w:left w:w="67" w:type="dxa"/>
              <w:right w:w="67" w:type="dxa"/>
            </w:tcMar>
            <w:vAlign w:val="center"/>
          </w:tcPr>
          <w:p w14:paraId="76422D6A" w14:textId="77777777" w:rsidR="00B77EA3" w:rsidRPr="0082484A" w:rsidRDefault="00B77EA3" w:rsidP="00B77EA3">
            <w:pPr>
              <w:adjustRightInd w:val="0"/>
              <w:spacing w:beforeLines="10" w:before="24" w:afterLines="10" w:after="24" w:line="240" w:lineRule="auto"/>
              <w:rPr>
                <w:rFonts w:eastAsia="Times New Roman"/>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3D543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0782D9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41E793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1.0004</w:t>
            </w:r>
          </w:p>
        </w:tc>
        <w:tc>
          <w:tcPr>
            <w:tcW w:w="1134" w:type="dxa"/>
            <w:tcBorders>
              <w:top w:val="nil"/>
              <w:left w:val="nil"/>
              <w:bottom w:val="nil"/>
              <w:right w:val="nil"/>
            </w:tcBorders>
            <w:shd w:val="clear" w:color="auto" w:fill="FFFFFF"/>
            <w:tcMar>
              <w:left w:w="67" w:type="dxa"/>
              <w:right w:w="67" w:type="dxa"/>
            </w:tcMar>
            <w:vAlign w:val="center"/>
          </w:tcPr>
          <w:p w14:paraId="6C1B3A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0.9972</w:t>
            </w:r>
          </w:p>
        </w:tc>
        <w:tc>
          <w:tcPr>
            <w:tcW w:w="1134" w:type="dxa"/>
            <w:tcBorders>
              <w:top w:val="nil"/>
              <w:left w:val="nil"/>
              <w:bottom w:val="nil"/>
              <w:right w:val="nil"/>
            </w:tcBorders>
            <w:shd w:val="clear" w:color="auto" w:fill="FFFFFF"/>
            <w:tcMar>
              <w:left w:w="67" w:type="dxa"/>
              <w:right w:w="67" w:type="dxa"/>
            </w:tcMar>
            <w:vAlign w:val="center"/>
          </w:tcPr>
          <w:p w14:paraId="6BA540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1.0037</w:t>
            </w:r>
          </w:p>
        </w:tc>
        <w:tc>
          <w:tcPr>
            <w:tcW w:w="1134" w:type="dxa"/>
            <w:tcBorders>
              <w:top w:val="nil"/>
              <w:left w:val="nil"/>
              <w:bottom w:val="nil"/>
              <w:right w:val="nil"/>
            </w:tcBorders>
            <w:shd w:val="clear" w:color="auto" w:fill="FFFFFF"/>
            <w:tcMar>
              <w:left w:w="67" w:type="dxa"/>
              <w:right w:w="67" w:type="dxa"/>
            </w:tcMar>
            <w:vAlign w:val="center"/>
          </w:tcPr>
          <w:p w14:paraId="3DAA4A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w:t>
            </w:r>
          </w:p>
        </w:tc>
        <w:tc>
          <w:tcPr>
            <w:tcW w:w="567" w:type="dxa"/>
            <w:tcBorders>
              <w:top w:val="nil"/>
              <w:left w:val="nil"/>
              <w:bottom w:val="nil"/>
              <w:right w:val="nil"/>
            </w:tcBorders>
            <w:shd w:val="clear" w:color="auto" w:fill="FFFFFF"/>
            <w:tcMar>
              <w:left w:w="67" w:type="dxa"/>
              <w:right w:w="67" w:type="dxa"/>
            </w:tcMar>
            <w:vAlign w:val="center"/>
          </w:tcPr>
          <w:p w14:paraId="48E78C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60D56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0.7765</w:t>
            </w:r>
          </w:p>
        </w:tc>
      </w:tr>
      <w:tr w:rsidR="00B77EA3" w:rsidRPr="0082484A" w14:paraId="2B82CF9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10688D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42BC5F6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FA578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0.0940</w:t>
            </w:r>
          </w:p>
        </w:tc>
        <w:tc>
          <w:tcPr>
            <w:tcW w:w="1134" w:type="dxa"/>
            <w:tcBorders>
              <w:top w:val="nil"/>
              <w:left w:val="nil"/>
              <w:bottom w:val="nil"/>
              <w:right w:val="nil"/>
            </w:tcBorders>
            <w:shd w:val="clear" w:color="auto" w:fill="FFFFFF"/>
            <w:tcMar>
              <w:left w:w="67" w:type="dxa"/>
              <w:right w:w="67" w:type="dxa"/>
            </w:tcMar>
            <w:vAlign w:val="center"/>
          </w:tcPr>
          <w:p w14:paraId="1A0788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0.2077</w:t>
            </w:r>
          </w:p>
        </w:tc>
        <w:tc>
          <w:tcPr>
            <w:tcW w:w="1134" w:type="dxa"/>
            <w:tcBorders>
              <w:top w:val="nil"/>
              <w:left w:val="nil"/>
              <w:bottom w:val="nil"/>
              <w:right w:val="nil"/>
            </w:tcBorders>
            <w:shd w:val="clear" w:color="auto" w:fill="FFFFFF"/>
            <w:tcMar>
              <w:left w:w="67" w:type="dxa"/>
              <w:right w:w="67" w:type="dxa"/>
            </w:tcMar>
            <w:vAlign w:val="center"/>
          </w:tcPr>
          <w:p w14:paraId="2E0FC5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1.0985</w:t>
            </w:r>
          </w:p>
        </w:tc>
        <w:tc>
          <w:tcPr>
            <w:tcW w:w="1134" w:type="dxa"/>
            <w:tcBorders>
              <w:top w:val="nil"/>
              <w:left w:val="nil"/>
              <w:bottom w:val="nil"/>
              <w:right w:val="nil"/>
            </w:tcBorders>
            <w:shd w:val="clear" w:color="auto" w:fill="FFFFFF"/>
            <w:tcMar>
              <w:left w:w="67" w:type="dxa"/>
              <w:right w:w="67" w:type="dxa"/>
            </w:tcMar>
            <w:vAlign w:val="center"/>
          </w:tcPr>
          <w:p w14:paraId="2E1A6A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0.6896</w:t>
            </w:r>
          </w:p>
        </w:tc>
        <w:tc>
          <w:tcPr>
            <w:tcW w:w="1134" w:type="dxa"/>
            <w:tcBorders>
              <w:top w:val="nil"/>
              <w:left w:val="nil"/>
              <w:bottom w:val="nil"/>
              <w:right w:val="nil"/>
            </w:tcBorders>
            <w:shd w:val="clear" w:color="auto" w:fill="FFFFFF"/>
            <w:tcMar>
              <w:left w:w="67" w:type="dxa"/>
              <w:right w:w="67" w:type="dxa"/>
            </w:tcMar>
            <w:vAlign w:val="center"/>
          </w:tcPr>
          <w:p w14:paraId="467A0D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1.7499</w:t>
            </w:r>
          </w:p>
        </w:tc>
        <w:tc>
          <w:tcPr>
            <w:tcW w:w="1134" w:type="dxa"/>
            <w:tcBorders>
              <w:top w:val="nil"/>
              <w:left w:val="nil"/>
              <w:bottom w:val="nil"/>
              <w:right w:val="nil"/>
            </w:tcBorders>
            <w:shd w:val="clear" w:color="auto" w:fill="FFFFFF"/>
            <w:tcMar>
              <w:left w:w="67" w:type="dxa"/>
              <w:right w:w="67" w:type="dxa"/>
            </w:tcMar>
            <w:vAlign w:val="center"/>
          </w:tcPr>
          <w:p w14:paraId="5357DA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1.59</w:t>
            </w:r>
          </w:p>
        </w:tc>
        <w:tc>
          <w:tcPr>
            <w:tcW w:w="567" w:type="dxa"/>
            <w:tcBorders>
              <w:top w:val="nil"/>
              <w:left w:val="nil"/>
              <w:bottom w:val="nil"/>
              <w:right w:val="nil"/>
            </w:tcBorders>
            <w:shd w:val="clear" w:color="auto" w:fill="FFFFFF"/>
            <w:tcMar>
              <w:left w:w="67" w:type="dxa"/>
              <w:right w:w="67" w:type="dxa"/>
            </w:tcMar>
            <w:vAlign w:val="center"/>
          </w:tcPr>
          <w:p w14:paraId="6C5ABD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23E1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0.1235</w:t>
            </w:r>
          </w:p>
        </w:tc>
      </w:tr>
      <w:tr w:rsidR="00B77EA3" w:rsidRPr="0082484A" w14:paraId="07472C0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463D0D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1450A0C7"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434BA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-0.3442</w:t>
            </w:r>
          </w:p>
        </w:tc>
        <w:tc>
          <w:tcPr>
            <w:tcW w:w="1134" w:type="dxa"/>
            <w:tcBorders>
              <w:top w:val="nil"/>
              <w:left w:val="nil"/>
              <w:bottom w:val="nil"/>
              <w:right w:val="nil"/>
            </w:tcBorders>
            <w:shd w:val="clear" w:color="auto" w:fill="FFFFFF"/>
            <w:tcMar>
              <w:left w:w="67" w:type="dxa"/>
              <w:right w:w="67" w:type="dxa"/>
            </w:tcMar>
            <w:vAlign w:val="center"/>
          </w:tcPr>
          <w:p w14:paraId="25ED24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0.2589</w:t>
            </w:r>
          </w:p>
        </w:tc>
        <w:tc>
          <w:tcPr>
            <w:tcW w:w="1134" w:type="dxa"/>
            <w:tcBorders>
              <w:top w:val="nil"/>
              <w:left w:val="nil"/>
              <w:bottom w:val="nil"/>
              <w:right w:val="nil"/>
            </w:tcBorders>
            <w:shd w:val="clear" w:color="auto" w:fill="FFFFFF"/>
            <w:tcMar>
              <w:left w:w="67" w:type="dxa"/>
              <w:right w:w="67" w:type="dxa"/>
            </w:tcMar>
            <w:vAlign w:val="center"/>
          </w:tcPr>
          <w:p w14:paraId="158BF7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0.7088</w:t>
            </w:r>
          </w:p>
        </w:tc>
        <w:tc>
          <w:tcPr>
            <w:tcW w:w="1134" w:type="dxa"/>
            <w:tcBorders>
              <w:top w:val="nil"/>
              <w:left w:val="nil"/>
              <w:bottom w:val="nil"/>
              <w:right w:val="nil"/>
            </w:tcBorders>
            <w:shd w:val="clear" w:color="auto" w:fill="FFFFFF"/>
            <w:tcMar>
              <w:left w:w="67" w:type="dxa"/>
              <w:right w:w="67" w:type="dxa"/>
            </w:tcMar>
            <w:vAlign w:val="center"/>
          </w:tcPr>
          <w:p w14:paraId="3592D8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0.3967</w:t>
            </w:r>
          </w:p>
        </w:tc>
        <w:tc>
          <w:tcPr>
            <w:tcW w:w="1134" w:type="dxa"/>
            <w:tcBorders>
              <w:top w:val="nil"/>
              <w:left w:val="nil"/>
              <w:bottom w:val="nil"/>
              <w:right w:val="nil"/>
            </w:tcBorders>
            <w:shd w:val="clear" w:color="auto" w:fill="FFFFFF"/>
            <w:tcMar>
              <w:left w:w="67" w:type="dxa"/>
              <w:right w:w="67" w:type="dxa"/>
            </w:tcMar>
            <w:vAlign w:val="center"/>
          </w:tcPr>
          <w:p w14:paraId="5D9A4A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1.2666</w:t>
            </w:r>
          </w:p>
        </w:tc>
        <w:tc>
          <w:tcPr>
            <w:tcW w:w="1134" w:type="dxa"/>
            <w:tcBorders>
              <w:top w:val="nil"/>
              <w:left w:val="nil"/>
              <w:bottom w:val="nil"/>
              <w:right w:val="nil"/>
            </w:tcBorders>
            <w:shd w:val="clear" w:color="auto" w:fill="FFFFFF"/>
            <w:tcMar>
              <w:left w:w="67" w:type="dxa"/>
              <w:right w:w="67" w:type="dxa"/>
            </w:tcMar>
            <w:vAlign w:val="center"/>
          </w:tcPr>
          <w:p w14:paraId="032DE69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2F4227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DB39D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54379B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070B52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0EE1696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894CF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0.0470</w:t>
            </w:r>
          </w:p>
        </w:tc>
        <w:tc>
          <w:tcPr>
            <w:tcW w:w="1134" w:type="dxa"/>
            <w:tcBorders>
              <w:top w:val="nil"/>
              <w:left w:val="nil"/>
              <w:bottom w:val="nil"/>
              <w:right w:val="nil"/>
            </w:tcBorders>
            <w:shd w:val="clear" w:color="auto" w:fill="FFFFFF"/>
            <w:tcMar>
              <w:left w:w="67" w:type="dxa"/>
              <w:right w:w="67" w:type="dxa"/>
            </w:tcMar>
            <w:vAlign w:val="center"/>
          </w:tcPr>
          <w:p w14:paraId="7FF6FD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0.2236</w:t>
            </w:r>
          </w:p>
        </w:tc>
        <w:tc>
          <w:tcPr>
            <w:tcW w:w="1134" w:type="dxa"/>
            <w:tcBorders>
              <w:top w:val="nil"/>
              <w:left w:val="nil"/>
              <w:bottom w:val="nil"/>
              <w:right w:val="nil"/>
            </w:tcBorders>
            <w:shd w:val="clear" w:color="auto" w:fill="FFFFFF"/>
            <w:tcMar>
              <w:left w:w="67" w:type="dxa"/>
              <w:right w:w="67" w:type="dxa"/>
            </w:tcMar>
            <w:vAlign w:val="center"/>
          </w:tcPr>
          <w:p w14:paraId="41566B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1.0481</w:t>
            </w:r>
          </w:p>
        </w:tc>
        <w:tc>
          <w:tcPr>
            <w:tcW w:w="1134" w:type="dxa"/>
            <w:tcBorders>
              <w:top w:val="nil"/>
              <w:left w:val="nil"/>
              <w:bottom w:val="nil"/>
              <w:right w:val="nil"/>
            </w:tcBorders>
            <w:shd w:val="clear" w:color="auto" w:fill="FFFFFF"/>
            <w:tcMar>
              <w:left w:w="67" w:type="dxa"/>
              <w:right w:w="67" w:type="dxa"/>
            </w:tcMar>
            <w:vAlign w:val="center"/>
          </w:tcPr>
          <w:p w14:paraId="2B73A6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0.6348</w:t>
            </w:r>
          </w:p>
        </w:tc>
        <w:tc>
          <w:tcPr>
            <w:tcW w:w="1134" w:type="dxa"/>
            <w:tcBorders>
              <w:top w:val="nil"/>
              <w:left w:val="nil"/>
              <w:bottom w:val="nil"/>
              <w:right w:val="nil"/>
            </w:tcBorders>
            <w:shd w:val="clear" w:color="auto" w:fill="FFFFFF"/>
            <w:tcMar>
              <w:left w:w="67" w:type="dxa"/>
              <w:right w:w="67" w:type="dxa"/>
            </w:tcMar>
            <w:vAlign w:val="center"/>
          </w:tcPr>
          <w:p w14:paraId="0EC046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1.7303</w:t>
            </w:r>
          </w:p>
        </w:tc>
        <w:tc>
          <w:tcPr>
            <w:tcW w:w="1134" w:type="dxa"/>
            <w:tcBorders>
              <w:top w:val="nil"/>
              <w:left w:val="nil"/>
              <w:bottom w:val="nil"/>
              <w:right w:val="nil"/>
            </w:tcBorders>
            <w:shd w:val="clear" w:color="auto" w:fill="FFFFFF"/>
            <w:tcMar>
              <w:left w:w="67" w:type="dxa"/>
              <w:right w:w="67" w:type="dxa"/>
            </w:tcMar>
            <w:vAlign w:val="center"/>
          </w:tcPr>
          <w:p w14:paraId="015969C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E3BF65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D6776C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CB6FA7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8A0624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4BE6211E"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6915D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-0.2184</w:t>
            </w:r>
          </w:p>
        </w:tc>
        <w:tc>
          <w:tcPr>
            <w:tcW w:w="1134" w:type="dxa"/>
            <w:tcBorders>
              <w:top w:val="nil"/>
              <w:left w:val="nil"/>
              <w:bottom w:val="nil"/>
              <w:right w:val="nil"/>
            </w:tcBorders>
            <w:shd w:val="clear" w:color="auto" w:fill="FFFFFF"/>
            <w:tcMar>
              <w:left w:w="67" w:type="dxa"/>
              <w:right w:w="67" w:type="dxa"/>
            </w:tcMar>
            <w:vAlign w:val="center"/>
          </w:tcPr>
          <w:p w14:paraId="21A9D8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0.2145</w:t>
            </w:r>
          </w:p>
        </w:tc>
        <w:tc>
          <w:tcPr>
            <w:tcW w:w="1134" w:type="dxa"/>
            <w:tcBorders>
              <w:top w:val="nil"/>
              <w:left w:val="nil"/>
              <w:bottom w:val="nil"/>
              <w:right w:val="nil"/>
            </w:tcBorders>
            <w:shd w:val="clear" w:color="auto" w:fill="FFFFFF"/>
            <w:tcMar>
              <w:left w:w="67" w:type="dxa"/>
              <w:right w:w="67" w:type="dxa"/>
            </w:tcMar>
            <w:vAlign w:val="center"/>
          </w:tcPr>
          <w:p w14:paraId="0BEE86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0.8038</w:t>
            </w:r>
          </w:p>
        </w:tc>
        <w:tc>
          <w:tcPr>
            <w:tcW w:w="1134" w:type="dxa"/>
            <w:tcBorders>
              <w:top w:val="nil"/>
              <w:left w:val="nil"/>
              <w:bottom w:val="nil"/>
              <w:right w:val="nil"/>
            </w:tcBorders>
            <w:shd w:val="clear" w:color="auto" w:fill="FFFFFF"/>
            <w:tcMar>
              <w:left w:w="67" w:type="dxa"/>
              <w:right w:w="67" w:type="dxa"/>
            </w:tcMar>
            <w:vAlign w:val="center"/>
          </w:tcPr>
          <w:p w14:paraId="58B0F3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0.4969</w:t>
            </w:r>
          </w:p>
        </w:tc>
        <w:tc>
          <w:tcPr>
            <w:tcW w:w="1134" w:type="dxa"/>
            <w:tcBorders>
              <w:top w:val="nil"/>
              <w:left w:val="nil"/>
              <w:bottom w:val="nil"/>
              <w:right w:val="nil"/>
            </w:tcBorders>
            <w:shd w:val="clear" w:color="auto" w:fill="FFFFFF"/>
            <w:tcMar>
              <w:left w:w="67" w:type="dxa"/>
              <w:right w:w="67" w:type="dxa"/>
            </w:tcMar>
            <w:vAlign w:val="center"/>
          </w:tcPr>
          <w:p w14:paraId="178BF3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1.3000</w:t>
            </w:r>
          </w:p>
        </w:tc>
        <w:tc>
          <w:tcPr>
            <w:tcW w:w="1134" w:type="dxa"/>
            <w:tcBorders>
              <w:top w:val="nil"/>
              <w:left w:val="nil"/>
              <w:bottom w:val="nil"/>
              <w:right w:val="nil"/>
            </w:tcBorders>
            <w:shd w:val="clear" w:color="auto" w:fill="FFFFFF"/>
            <w:tcMar>
              <w:left w:w="67" w:type="dxa"/>
              <w:right w:w="67" w:type="dxa"/>
            </w:tcMar>
            <w:vAlign w:val="center"/>
          </w:tcPr>
          <w:p w14:paraId="6F147AE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FBBC6A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1C20E9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C1C76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2B497B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252DA066"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26F3D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0.5763</w:t>
            </w:r>
          </w:p>
        </w:tc>
        <w:tc>
          <w:tcPr>
            <w:tcW w:w="1134" w:type="dxa"/>
            <w:tcBorders>
              <w:top w:val="nil"/>
              <w:left w:val="nil"/>
              <w:bottom w:val="nil"/>
              <w:right w:val="nil"/>
            </w:tcBorders>
            <w:shd w:val="clear" w:color="auto" w:fill="FFFFFF"/>
            <w:tcMar>
              <w:left w:w="67" w:type="dxa"/>
              <w:right w:w="67" w:type="dxa"/>
            </w:tcMar>
            <w:vAlign w:val="center"/>
          </w:tcPr>
          <w:p w14:paraId="6088C6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0.2368</w:t>
            </w:r>
          </w:p>
        </w:tc>
        <w:tc>
          <w:tcPr>
            <w:tcW w:w="1134" w:type="dxa"/>
            <w:tcBorders>
              <w:top w:val="nil"/>
              <w:left w:val="nil"/>
              <w:bottom w:val="nil"/>
              <w:right w:val="nil"/>
            </w:tcBorders>
            <w:shd w:val="clear" w:color="auto" w:fill="FFFFFF"/>
            <w:tcMar>
              <w:left w:w="67" w:type="dxa"/>
              <w:right w:w="67" w:type="dxa"/>
            </w:tcMar>
            <w:vAlign w:val="center"/>
          </w:tcPr>
          <w:p w14:paraId="7A404A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1.7794</w:t>
            </w:r>
          </w:p>
        </w:tc>
        <w:tc>
          <w:tcPr>
            <w:tcW w:w="1134" w:type="dxa"/>
            <w:tcBorders>
              <w:top w:val="nil"/>
              <w:left w:val="nil"/>
              <w:bottom w:val="nil"/>
              <w:right w:val="nil"/>
            </w:tcBorders>
            <w:shd w:val="clear" w:color="auto" w:fill="FFFFFF"/>
            <w:tcMar>
              <w:left w:w="67" w:type="dxa"/>
              <w:right w:w="67" w:type="dxa"/>
            </w:tcMar>
            <w:vAlign w:val="center"/>
          </w:tcPr>
          <w:p w14:paraId="0F6752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1.0464</w:t>
            </w:r>
          </w:p>
        </w:tc>
        <w:tc>
          <w:tcPr>
            <w:tcW w:w="1134" w:type="dxa"/>
            <w:tcBorders>
              <w:top w:val="nil"/>
              <w:left w:val="nil"/>
              <w:bottom w:val="nil"/>
              <w:right w:val="nil"/>
            </w:tcBorders>
            <w:shd w:val="clear" w:color="auto" w:fill="FFFFFF"/>
            <w:tcMar>
              <w:left w:w="67" w:type="dxa"/>
              <w:right w:w="67" w:type="dxa"/>
            </w:tcMar>
            <w:vAlign w:val="center"/>
          </w:tcPr>
          <w:p w14:paraId="09D347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3.0258</w:t>
            </w:r>
          </w:p>
        </w:tc>
        <w:tc>
          <w:tcPr>
            <w:tcW w:w="1134" w:type="dxa"/>
            <w:tcBorders>
              <w:top w:val="nil"/>
              <w:left w:val="nil"/>
              <w:bottom w:val="nil"/>
              <w:right w:val="nil"/>
            </w:tcBorders>
            <w:shd w:val="clear" w:color="auto" w:fill="FFFFFF"/>
            <w:tcMar>
              <w:left w:w="67" w:type="dxa"/>
              <w:right w:w="67" w:type="dxa"/>
            </w:tcMar>
            <w:vAlign w:val="center"/>
          </w:tcPr>
          <w:p w14:paraId="0963CF1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0C3E9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CAA25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7D064E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60AB8C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74601471"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4FD24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-0.0285</w:t>
            </w:r>
          </w:p>
        </w:tc>
        <w:tc>
          <w:tcPr>
            <w:tcW w:w="1134" w:type="dxa"/>
            <w:tcBorders>
              <w:top w:val="nil"/>
              <w:left w:val="nil"/>
              <w:bottom w:val="nil"/>
              <w:right w:val="nil"/>
            </w:tcBorders>
            <w:shd w:val="clear" w:color="auto" w:fill="FFFFFF"/>
            <w:tcMar>
              <w:left w:w="67" w:type="dxa"/>
              <w:right w:w="67" w:type="dxa"/>
            </w:tcMar>
            <w:vAlign w:val="center"/>
          </w:tcPr>
          <w:p w14:paraId="1E7F0E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0.1963</w:t>
            </w:r>
          </w:p>
        </w:tc>
        <w:tc>
          <w:tcPr>
            <w:tcW w:w="1134" w:type="dxa"/>
            <w:tcBorders>
              <w:top w:val="nil"/>
              <w:left w:val="nil"/>
              <w:bottom w:val="nil"/>
              <w:right w:val="nil"/>
            </w:tcBorders>
            <w:shd w:val="clear" w:color="auto" w:fill="FFFFFF"/>
            <w:tcMar>
              <w:left w:w="67" w:type="dxa"/>
              <w:right w:w="67" w:type="dxa"/>
            </w:tcMar>
            <w:vAlign w:val="center"/>
          </w:tcPr>
          <w:p w14:paraId="0B6EC6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0.9719</w:t>
            </w:r>
          </w:p>
        </w:tc>
        <w:tc>
          <w:tcPr>
            <w:tcW w:w="1134" w:type="dxa"/>
            <w:tcBorders>
              <w:top w:val="nil"/>
              <w:left w:val="nil"/>
              <w:bottom w:val="nil"/>
              <w:right w:val="nil"/>
            </w:tcBorders>
            <w:shd w:val="clear" w:color="auto" w:fill="FFFFFF"/>
            <w:tcMar>
              <w:left w:w="67" w:type="dxa"/>
              <w:right w:w="67" w:type="dxa"/>
            </w:tcMar>
            <w:vAlign w:val="center"/>
          </w:tcPr>
          <w:p w14:paraId="33CD2D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0.6259</w:t>
            </w:r>
          </w:p>
        </w:tc>
        <w:tc>
          <w:tcPr>
            <w:tcW w:w="1134" w:type="dxa"/>
            <w:tcBorders>
              <w:top w:val="nil"/>
              <w:left w:val="nil"/>
              <w:bottom w:val="nil"/>
              <w:right w:val="nil"/>
            </w:tcBorders>
            <w:shd w:val="clear" w:color="auto" w:fill="FFFFFF"/>
            <w:tcMar>
              <w:left w:w="67" w:type="dxa"/>
              <w:right w:w="67" w:type="dxa"/>
            </w:tcMar>
            <w:vAlign w:val="center"/>
          </w:tcPr>
          <w:p w14:paraId="61499E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1.5091</w:t>
            </w:r>
          </w:p>
        </w:tc>
        <w:tc>
          <w:tcPr>
            <w:tcW w:w="1134" w:type="dxa"/>
            <w:tcBorders>
              <w:top w:val="nil"/>
              <w:left w:val="nil"/>
              <w:bottom w:val="nil"/>
              <w:right w:val="nil"/>
            </w:tcBorders>
            <w:shd w:val="clear" w:color="auto" w:fill="FFFFFF"/>
            <w:tcMar>
              <w:left w:w="67" w:type="dxa"/>
              <w:right w:w="67" w:type="dxa"/>
            </w:tcMar>
            <w:vAlign w:val="center"/>
          </w:tcPr>
          <w:p w14:paraId="604A390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A7B7C1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546C6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72A138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0BC649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066C9B54"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8F93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0.0870</w:t>
            </w:r>
          </w:p>
        </w:tc>
        <w:tc>
          <w:tcPr>
            <w:tcW w:w="1134" w:type="dxa"/>
            <w:tcBorders>
              <w:top w:val="nil"/>
              <w:left w:val="nil"/>
              <w:bottom w:val="nil"/>
              <w:right w:val="nil"/>
            </w:tcBorders>
            <w:shd w:val="clear" w:color="auto" w:fill="FFFFFF"/>
            <w:tcMar>
              <w:left w:w="67" w:type="dxa"/>
              <w:right w:w="67" w:type="dxa"/>
            </w:tcMar>
            <w:vAlign w:val="center"/>
          </w:tcPr>
          <w:p w14:paraId="1212A3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0.1902</w:t>
            </w:r>
          </w:p>
        </w:tc>
        <w:tc>
          <w:tcPr>
            <w:tcW w:w="1134" w:type="dxa"/>
            <w:tcBorders>
              <w:top w:val="nil"/>
              <w:left w:val="nil"/>
              <w:bottom w:val="nil"/>
              <w:right w:val="nil"/>
            </w:tcBorders>
            <w:shd w:val="clear" w:color="auto" w:fill="FFFFFF"/>
            <w:tcMar>
              <w:left w:w="67" w:type="dxa"/>
              <w:right w:w="67" w:type="dxa"/>
            </w:tcMar>
            <w:vAlign w:val="center"/>
          </w:tcPr>
          <w:p w14:paraId="7021C2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1.0909</w:t>
            </w:r>
          </w:p>
        </w:tc>
        <w:tc>
          <w:tcPr>
            <w:tcW w:w="1134" w:type="dxa"/>
            <w:tcBorders>
              <w:top w:val="nil"/>
              <w:left w:val="nil"/>
              <w:bottom w:val="nil"/>
              <w:right w:val="nil"/>
            </w:tcBorders>
            <w:shd w:val="clear" w:color="auto" w:fill="FFFFFF"/>
            <w:tcMar>
              <w:left w:w="67" w:type="dxa"/>
              <w:right w:w="67" w:type="dxa"/>
            </w:tcMar>
            <w:vAlign w:val="center"/>
          </w:tcPr>
          <w:p w14:paraId="5A33D9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0.7121</w:t>
            </w:r>
          </w:p>
        </w:tc>
        <w:tc>
          <w:tcPr>
            <w:tcW w:w="1134" w:type="dxa"/>
            <w:tcBorders>
              <w:top w:val="nil"/>
              <w:left w:val="nil"/>
              <w:bottom w:val="nil"/>
              <w:right w:val="nil"/>
            </w:tcBorders>
            <w:shd w:val="clear" w:color="auto" w:fill="FFFFFF"/>
            <w:tcMar>
              <w:left w:w="67" w:type="dxa"/>
              <w:right w:w="67" w:type="dxa"/>
            </w:tcMar>
            <w:vAlign w:val="center"/>
          </w:tcPr>
          <w:p w14:paraId="121E78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1.6710</w:t>
            </w:r>
          </w:p>
        </w:tc>
        <w:tc>
          <w:tcPr>
            <w:tcW w:w="1134" w:type="dxa"/>
            <w:tcBorders>
              <w:top w:val="nil"/>
              <w:left w:val="nil"/>
              <w:bottom w:val="nil"/>
              <w:right w:val="nil"/>
            </w:tcBorders>
            <w:shd w:val="clear" w:color="auto" w:fill="FFFFFF"/>
            <w:tcMar>
              <w:left w:w="67" w:type="dxa"/>
              <w:right w:w="67" w:type="dxa"/>
            </w:tcMar>
            <w:vAlign w:val="center"/>
          </w:tcPr>
          <w:p w14:paraId="35EF434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6F44D5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546C61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683AB0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43C249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4082" w:type="dxa"/>
            <w:tcBorders>
              <w:top w:val="nil"/>
              <w:left w:val="nil"/>
              <w:bottom w:val="nil"/>
              <w:right w:val="nil"/>
            </w:tcBorders>
            <w:shd w:val="clear" w:color="auto" w:fill="FFFFFF"/>
            <w:tcMar>
              <w:left w:w="67" w:type="dxa"/>
              <w:right w:w="67" w:type="dxa"/>
            </w:tcMar>
            <w:vAlign w:val="center"/>
          </w:tcPr>
          <w:p w14:paraId="5253B88C" w14:textId="77777777" w:rsidR="00B77EA3" w:rsidRPr="0082484A" w:rsidRDefault="00B77EA3" w:rsidP="00B77EA3">
            <w:pPr>
              <w:adjustRightInd w:val="0"/>
              <w:spacing w:beforeLines="10" w:before="24" w:afterLines="10" w:after="24" w:line="240" w:lineRule="auto"/>
              <w:rPr>
                <w:rFonts w:eastAsia="Times New Roman"/>
                <w:sz w:val="22"/>
                <w:szCs w:val="22"/>
              </w:rPr>
            </w:pPr>
            <w:r w:rsidRPr="0082484A">
              <w:rPr>
                <w:rFonts w:eastAsia="Times New Roman"/>
                <w:sz w:val="22"/>
                <w:szCs w:val="22"/>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0DBC5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0.0112</w:t>
            </w:r>
          </w:p>
        </w:tc>
        <w:tc>
          <w:tcPr>
            <w:tcW w:w="1134" w:type="dxa"/>
            <w:tcBorders>
              <w:top w:val="nil"/>
              <w:left w:val="nil"/>
              <w:bottom w:val="nil"/>
              <w:right w:val="nil"/>
            </w:tcBorders>
            <w:shd w:val="clear" w:color="auto" w:fill="FFFFFF"/>
            <w:tcMar>
              <w:left w:w="67" w:type="dxa"/>
              <w:right w:w="67" w:type="dxa"/>
            </w:tcMar>
            <w:vAlign w:val="center"/>
          </w:tcPr>
          <w:p w14:paraId="3A45D5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0.1935</w:t>
            </w:r>
          </w:p>
        </w:tc>
        <w:tc>
          <w:tcPr>
            <w:tcW w:w="1134" w:type="dxa"/>
            <w:tcBorders>
              <w:top w:val="nil"/>
              <w:left w:val="nil"/>
              <w:bottom w:val="nil"/>
              <w:right w:val="nil"/>
            </w:tcBorders>
            <w:shd w:val="clear" w:color="auto" w:fill="FFFFFF"/>
            <w:tcMar>
              <w:left w:w="67" w:type="dxa"/>
              <w:right w:w="67" w:type="dxa"/>
            </w:tcMar>
            <w:vAlign w:val="center"/>
          </w:tcPr>
          <w:p w14:paraId="240DB1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1.0112</w:t>
            </w:r>
          </w:p>
        </w:tc>
        <w:tc>
          <w:tcPr>
            <w:tcW w:w="1134" w:type="dxa"/>
            <w:tcBorders>
              <w:top w:val="nil"/>
              <w:left w:val="nil"/>
              <w:bottom w:val="nil"/>
              <w:right w:val="nil"/>
            </w:tcBorders>
            <w:shd w:val="clear" w:color="auto" w:fill="FFFFFF"/>
            <w:tcMar>
              <w:left w:w="67" w:type="dxa"/>
              <w:right w:w="67" w:type="dxa"/>
            </w:tcMar>
            <w:vAlign w:val="center"/>
          </w:tcPr>
          <w:p w14:paraId="3C64E7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0.6552</w:t>
            </w:r>
          </w:p>
        </w:tc>
        <w:tc>
          <w:tcPr>
            <w:tcW w:w="1134" w:type="dxa"/>
            <w:tcBorders>
              <w:top w:val="nil"/>
              <w:left w:val="nil"/>
              <w:bottom w:val="nil"/>
              <w:right w:val="nil"/>
            </w:tcBorders>
            <w:shd w:val="clear" w:color="auto" w:fill="FFFFFF"/>
            <w:tcMar>
              <w:left w:w="67" w:type="dxa"/>
              <w:right w:w="67" w:type="dxa"/>
            </w:tcMar>
            <w:vAlign w:val="center"/>
          </w:tcPr>
          <w:p w14:paraId="060A3F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1.5606</w:t>
            </w:r>
          </w:p>
        </w:tc>
        <w:tc>
          <w:tcPr>
            <w:tcW w:w="1134" w:type="dxa"/>
            <w:tcBorders>
              <w:top w:val="nil"/>
              <w:left w:val="nil"/>
              <w:bottom w:val="nil"/>
              <w:right w:val="nil"/>
            </w:tcBorders>
            <w:shd w:val="clear" w:color="auto" w:fill="FFFFFF"/>
            <w:tcMar>
              <w:left w:w="67" w:type="dxa"/>
              <w:right w:w="67" w:type="dxa"/>
            </w:tcMar>
            <w:vAlign w:val="center"/>
          </w:tcPr>
          <w:p w14:paraId="5222AE6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89212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C97B1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EF171F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444C93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4082" w:type="dxa"/>
            <w:tcBorders>
              <w:top w:val="nil"/>
              <w:left w:val="nil"/>
              <w:bottom w:val="nil"/>
              <w:right w:val="nil"/>
            </w:tcBorders>
            <w:shd w:val="clear" w:color="auto" w:fill="FFFFFF"/>
            <w:tcMar>
              <w:left w:w="67" w:type="dxa"/>
              <w:right w:w="67" w:type="dxa"/>
            </w:tcMar>
            <w:vAlign w:val="center"/>
          </w:tcPr>
          <w:p w14:paraId="5DE8311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FB116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0.0216</w:t>
            </w:r>
          </w:p>
        </w:tc>
        <w:tc>
          <w:tcPr>
            <w:tcW w:w="1134" w:type="dxa"/>
            <w:tcBorders>
              <w:top w:val="nil"/>
              <w:left w:val="nil"/>
              <w:bottom w:val="nil"/>
              <w:right w:val="nil"/>
            </w:tcBorders>
            <w:shd w:val="clear" w:color="auto" w:fill="FFFFFF"/>
            <w:tcMar>
              <w:left w:w="67" w:type="dxa"/>
              <w:right w:w="67" w:type="dxa"/>
            </w:tcMar>
            <w:vAlign w:val="center"/>
          </w:tcPr>
          <w:p w14:paraId="37C982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0.0070</w:t>
            </w:r>
          </w:p>
        </w:tc>
        <w:tc>
          <w:tcPr>
            <w:tcW w:w="1134" w:type="dxa"/>
            <w:tcBorders>
              <w:top w:val="nil"/>
              <w:left w:val="nil"/>
              <w:bottom w:val="nil"/>
              <w:right w:val="nil"/>
            </w:tcBorders>
            <w:shd w:val="clear" w:color="auto" w:fill="FFFFFF"/>
            <w:tcMar>
              <w:left w:w="67" w:type="dxa"/>
              <w:right w:w="67" w:type="dxa"/>
            </w:tcMar>
            <w:vAlign w:val="center"/>
          </w:tcPr>
          <w:p w14:paraId="48AF94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1.0219</w:t>
            </w:r>
          </w:p>
        </w:tc>
        <w:tc>
          <w:tcPr>
            <w:tcW w:w="1134" w:type="dxa"/>
            <w:tcBorders>
              <w:top w:val="nil"/>
              <w:left w:val="nil"/>
              <w:bottom w:val="nil"/>
              <w:right w:val="nil"/>
            </w:tcBorders>
            <w:shd w:val="clear" w:color="auto" w:fill="FFFFFF"/>
            <w:tcMar>
              <w:left w:w="67" w:type="dxa"/>
              <w:right w:w="67" w:type="dxa"/>
            </w:tcMar>
            <w:vAlign w:val="center"/>
          </w:tcPr>
          <w:p w14:paraId="12E503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1.0059</w:t>
            </w:r>
          </w:p>
        </w:tc>
        <w:tc>
          <w:tcPr>
            <w:tcW w:w="1134" w:type="dxa"/>
            <w:tcBorders>
              <w:top w:val="nil"/>
              <w:left w:val="nil"/>
              <w:bottom w:val="nil"/>
              <w:right w:val="nil"/>
            </w:tcBorders>
            <w:shd w:val="clear" w:color="auto" w:fill="FFFFFF"/>
            <w:tcMar>
              <w:left w:w="67" w:type="dxa"/>
              <w:right w:w="67" w:type="dxa"/>
            </w:tcMar>
            <w:vAlign w:val="center"/>
          </w:tcPr>
          <w:p w14:paraId="76C270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1.0380</w:t>
            </w:r>
          </w:p>
        </w:tc>
        <w:tc>
          <w:tcPr>
            <w:tcW w:w="1134" w:type="dxa"/>
            <w:tcBorders>
              <w:top w:val="nil"/>
              <w:left w:val="nil"/>
              <w:bottom w:val="nil"/>
              <w:right w:val="nil"/>
            </w:tcBorders>
            <w:shd w:val="clear" w:color="auto" w:fill="FFFFFF"/>
            <w:tcMar>
              <w:left w:w="67" w:type="dxa"/>
              <w:right w:w="67" w:type="dxa"/>
            </w:tcMar>
            <w:vAlign w:val="center"/>
          </w:tcPr>
          <w:p w14:paraId="1C6B65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9.54</w:t>
            </w:r>
          </w:p>
        </w:tc>
        <w:tc>
          <w:tcPr>
            <w:tcW w:w="567" w:type="dxa"/>
            <w:tcBorders>
              <w:top w:val="nil"/>
              <w:left w:val="nil"/>
              <w:bottom w:val="nil"/>
              <w:right w:val="nil"/>
            </w:tcBorders>
            <w:shd w:val="clear" w:color="auto" w:fill="FFFFFF"/>
            <w:tcMar>
              <w:left w:w="67" w:type="dxa"/>
              <w:right w:w="67" w:type="dxa"/>
            </w:tcMar>
            <w:vAlign w:val="center"/>
          </w:tcPr>
          <w:p w14:paraId="5F2239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F0932D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r>
      <w:tr w:rsidR="00B77EA3" w:rsidRPr="0082484A" w14:paraId="4720A44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FAF2D6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4082" w:type="dxa"/>
            <w:tcBorders>
              <w:top w:val="nil"/>
              <w:left w:val="nil"/>
              <w:bottom w:val="nil"/>
              <w:right w:val="nil"/>
            </w:tcBorders>
            <w:shd w:val="clear" w:color="auto" w:fill="FFFFFF"/>
            <w:tcMar>
              <w:left w:w="67" w:type="dxa"/>
              <w:right w:w="67" w:type="dxa"/>
            </w:tcMar>
            <w:vAlign w:val="center"/>
          </w:tcPr>
          <w:p w14:paraId="2E6EE77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FB1DE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15AFBA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0.0089</w:t>
            </w:r>
          </w:p>
        </w:tc>
        <w:tc>
          <w:tcPr>
            <w:tcW w:w="1134" w:type="dxa"/>
            <w:tcBorders>
              <w:top w:val="nil"/>
              <w:left w:val="nil"/>
              <w:bottom w:val="nil"/>
              <w:right w:val="nil"/>
            </w:tcBorders>
            <w:shd w:val="clear" w:color="auto" w:fill="FFFFFF"/>
            <w:tcMar>
              <w:left w:w="67" w:type="dxa"/>
              <w:right w:w="67" w:type="dxa"/>
            </w:tcMar>
            <w:vAlign w:val="center"/>
          </w:tcPr>
          <w:p w14:paraId="118110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1.0007</w:t>
            </w:r>
          </w:p>
        </w:tc>
        <w:tc>
          <w:tcPr>
            <w:tcW w:w="1134" w:type="dxa"/>
            <w:tcBorders>
              <w:top w:val="nil"/>
              <w:left w:val="nil"/>
              <w:bottom w:val="nil"/>
              <w:right w:val="nil"/>
            </w:tcBorders>
            <w:shd w:val="clear" w:color="auto" w:fill="FFFFFF"/>
            <w:tcMar>
              <w:left w:w="67" w:type="dxa"/>
              <w:right w:w="67" w:type="dxa"/>
            </w:tcMar>
            <w:vAlign w:val="center"/>
          </w:tcPr>
          <w:p w14:paraId="1F7391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0.9811</w:t>
            </w:r>
          </w:p>
        </w:tc>
        <w:tc>
          <w:tcPr>
            <w:tcW w:w="1134" w:type="dxa"/>
            <w:tcBorders>
              <w:top w:val="nil"/>
              <w:left w:val="nil"/>
              <w:bottom w:val="nil"/>
              <w:right w:val="nil"/>
            </w:tcBorders>
            <w:shd w:val="clear" w:color="auto" w:fill="FFFFFF"/>
            <w:tcMar>
              <w:left w:w="67" w:type="dxa"/>
              <w:right w:w="67" w:type="dxa"/>
            </w:tcMar>
            <w:vAlign w:val="center"/>
          </w:tcPr>
          <w:p w14:paraId="2FB395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1.0208</w:t>
            </w:r>
          </w:p>
        </w:tc>
        <w:tc>
          <w:tcPr>
            <w:tcW w:w="1134" w:type="dxa"/>
            <w:tcBorders>
              <w:top w:val="nil"/>
              <w:left w:val="nil"/>
              <w:bottom w:val="nil"/>
              <w:right w:val="nil"/>
            </w:tcBorders>
            <w:shd w:val="clear" w:color="auto" w:fill="FFFFFF"/>
            <w:tcMar>
              <w:left w:w="67" w:type="dxa"/>
              <w:right w:w="67" w:type="dxa"/>
            </w:tcMar>
            <w:vAlign w:val="center"/>
          </w:tcPr>
          <w:p w14:paraId="177002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3F16DF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9B7D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0.9326</w:t>
            </w:r>
          </w:p>
        </w:tc>
      </w:tr>
      <w:tr w:rsidR="00B77EA3" w:rsidRPr="0082484A" w14:paraId="2CFEDD4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A4B92F5"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4082" w:type="dxa"/>
            <w:tcBorders>
              <w:top w:val="nil"/>
              <w:left w:val="nil"/>
              <w:bottom w:val="nil"/>
              <w:right w:val="nil"/>
            </w:tcBorders>
            <w:shd w:val="clear" w:color="auto" w:fill="FFFFFF"/>
            <w:tcMar>
              <w:left w:w="67" w:type="dxa"/>
              <w:right w:w="67" w:type="dxa"/>
            </w:tcMar>
            <w:vAlign w:val="center"/>
          </w:tcPr>
          <w:p w14:paraId="5051A64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765EE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0.0031</w:t>
            </w:r>
          </w:p>
        </w:tc>
        <w:tc>
          <w:tcPr>
            <w:tcW w:w="1134" w:type="dxa"/>
            <w:tcBorders>
              <w:top w:val="nil"/>
              <w:left w:val="nil"/>
              <w:bottom w:val="nil"/>
              <w:right w:val="nil"/>
            </w:tcBorders>
            <w:shd w:val="clear" w:color="auto" w:fill="FFFFFF"/>
            <w:tcMar>
              <w:left w:w="67" w:type="dxa"/>
              <w:right w:w="67" w:type="dxa"/>
            </w:tcMar>
            <w:vAlign w:val="center"/>
          </w:tcPr>
          <w:p w14:paraId="4C75E1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6161F0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1.0031</w:t>
            </w:r>
          </w:p>
        </w:tc>
        <w:tc>
          <w:tcPr>
            <w:tcW w:w="1134" w:type="dxa"/>
            <w:tcBorders>
              <w:top w:val="nil"/>
              <w:left w:val="nil"/>
              <w:bottom w:val="nil"/>
              <w:right w:val="nil"/>
            </w:tcBorders>
            <w:shd w:val="clear" w:color="auto" w:fill="FFFFFF"/>
            <w:tcMar>
              <w:left w:w="67" w:type="dxa"/>
              <w:right w:w="67" w:type="dxa"/>
            </w:tcMar>
            <w:vAlign w:val="center"/>
          </w:tcPr>
          <w:p w14:paraId="056158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0.9972</w:t>
            </w:r>
          </w:p>
        </w:tc>
        <w:tc>
          <w:tcPr>
            <w:tcW w:w="1134" w:type="dxa"/>
            <w:tcBorders>
              <w:top w:val="nil"/>
              <w:left w:val="nil"/>
              <w:bottom w:val="nil"/>
              <w:right w:val="nil"/>
            </w:tcBorders>
            <w:shd w:val="clear" w:color="auto" w:fill="FFFFFF"/>
            <w:tcMar>
              <w:left w:w="67" w:type="dxa"/>
              <w:right w:w="67" w:type="dxa"/>
            </w:tcMar>
            <w:vAlign w:val="center"/>
          </w:tcPr>
          <w:p w14:paraId="028CEB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1.0090</w:t>
            </w:r>
          </w:p>
        </w:tc>
        <w:tc>
          <w:tcPr>
            <w:tcW w:w="1134" w:type="dxa"/>
            <w:tcBorders>
              <w:top w:val="nil"/>
              <w:left w:val="nil"/>
              <w:bottom w:val="nil"/>
              <w:right w:val="nil"/>
            </w:tcBorders>
            <w:shd w:val="clear" w:color="auto" w:fill="FFFFFF"/>
            <w:tcMar>
              <w:left w:w="67" w:type="dxa"/>
              <w:right w:w="67" w:type="dxa"/>
            </w:tcMar>
            <w:vAlign w:val="center"/>
          </w:tcPr>
          <w:p w14:paraId="73397E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1.36</w:t>
            </w:r>
          </w:p>
        </w:tc>
        <w:tc>
          <w:tcPr>
            <w:tcW w:w="567" w:type="dxa"/>
            <w:tcBorders>
              <w:top w:val="nil"/>
              <w:left w:val="nil"/>
              <w:bottom w:val="nil"/>
              <w:right w:val="nil"/>
            </w:tcBorders>
            <w:shd w:val="clear" w:color="auto" w:fill="FFFFFF"/>
            <w:tcMar>
              <w:left w:w="67" w:type="dxa"/>
              <w:right w:w="67" w:type="dxa"/>
            </w:tcMar>
            <w:vAlign w:val="center"/>
          </w:tcPr>
          <w:p w14:paraId="7FC8E2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8A0D4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0.2432</w:t>
            </w:r>
          </w:p>
        </w:tc>
      </w:tr>
      <w:tr w:rsidR="00B77EA3" w:rsidRPr="0082484A" w14:paraId="751B97ED"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87AE3AD"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4082" w:type="dxa"/>
            <w:tcBorders>
              <w:top w:val="nil"/>
              <w:left w:val="nil"/>
              <w:bottom w:val="single" w:sz="11" w:space="0" w:color="000000"/>
              <w:right w:val="nil"/>
            </w:tcBorders>
            <w:shd w:val="clear" w:color="auto" w:fill="FFFFFF"/>
            <w:tcMar>
              <w:left w:w="67" w:type="dxa"/>
              <w:right w:w="67" w:type="dxa"/>
            </w:tcMar>
            <w:vAlign w:val="center"/>
          </w:tcPr>
          <w:p w14:paraId="2D7D2E4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66435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D5BB6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27866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0.9534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FF82D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0.8230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EF17A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0EA85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014DE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1BBB22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0.4675</w:t>
            </w:r>
          </w:p>
        </w:tc>
      </w:tr>
    </w:tbl>
    <w:p w14:paraId="3EA04F0A" w14:textId="77777777" w:rsidR="00B77EA3" w:rsidRPr="0082484A" w:rsidRDefault="00B77EA3" w:rsidP="00B77EA3">
      <w:pPr>
        <w:adjustRightInd w:val="0"/>
        <w:spacing w:before="0" w:line="240" w:lineRule="auto"/>
        <w:contextualSpacing/>
        <w:rPr>
          <w:sz w:val="22"/>
          <w:szCs w:val="22"/>
        </w:rPr>
      </w:pPr>
      <w:r w:rsidRPr="0082484A">
        <w:rPr>
          <w:sz w:val="22"/>
          <w:szCs w:val="22"/>
        </w:rPr>
        <w:t>The estimated number needed to treat for one patient to achieve at least one of the indicators relating to contraindication for anti-coagulation is -36</w:t>
      </w:r>
    </w:p>
    <w:p w14:paraId="27051ADC" w14:textId="77777777" w:rsidR="00B77EA3" w:rsidRPr="0082484A" w:rsidRDefault="00B77EA3" w:rsidP="00B77EA3">
      <w:pPr>
        <w:spacing w:before="0" w:line="240" w:lineRule="auto"/>
        <w:rPr>
          <w:bCs/>
          <w:sz w:val="22"/>
          <w:szCs w:val="22"/>
        </w:rPr>
      </w:pPr>
    </w:p>
    <w:p w14:paraId="09E436CD" w14:textId="77777777" w:rsidR="00B77EA3" w:rsidRPr="0082484A" w:rsidRDefault="00B77EA3" w:rsidP="00B77EA3">
      <w:pPr>
        <w:spacing w:before="0" w:after="200"/>
        <w:rPr>
          <w:bCs/>
          <w:sz w:val="22"/>
          <w:szCs w:val="22"/>
        </w:rPr>
      </w:pPr>
      <w:r w:rsidRPr="0082484A">
        <w:rPr>
          <w:sz w:val="22"/>
          <w:szCs w:val="22"/>
        </w:rPr>
        <w:br w:type="page"/>
      </w:r>
    </w:p>
    <w:p w14:paraId="131717E3" w14:textId="2DBB5119" w:rsidR="00B77EA3" w:rsidRPr="0082484A" w:rsidRDefault="00B77EA3" w:rsidP="00B77EA3">
      <w:pPr>
        <w:spacing w:before="0" w:line="240" w:lineRule="auto"/>
        <w:rPr>
          <w:sz w:val="22"/>
          <w:szCs w:val="22"/>
        </w:rPr>
      </w:pPr>
      <w:bookmarkStart w:id="188" w:name="_Ref501634861"/>
      <w:bookmarkStart w:id="189" w:name="_Toc8728126"/>
      <w:bookmarkStart w:id="190" w:name="_Toc1952678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52</w:t>
      </w:r>
      <w:r w:rsidRPr="0082484A">
        <w:rPr>
          <w:bCs/>
          <w:noProof/>
          <w:sz w:val="22"/>
          <w:szCs w:val="22"/>
        </w:rPr>
        <w:fldChar w:fldCharType="end"/>
      </w:r>
      <w:bookmarkEnd w:id="188"/>
      <w:r w:rsidRPr="0082484A">
        <w:rPr>
          <w:bCs/>
          <w:sz w:val="22"/>
          <w:szCs w:val="22"/>
        </w:rPr>
        <w:t>: Secondary outcome for Trial 1: Mean diastolic blood pressure in diabetes trial population (i.e. diabetes control arm vs risky prescribing arm) (WP4A)</w:t>
      </w:r>
      <w:bookmarkEnd w:id="189"/>
      <w:bookmarkEnd w:id="190"/>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74E90CA7"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7FC28E4" w14:textId="77777777" w:rsidR="00B77EA3" w:rsidRPr="0082484A" w:rsidRDefault="00B77EA3" w:rsidP="00B77EA3">
            <w:pPr>
              <w:adjustRightInd w:val="0"/>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B9B355"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2218B23"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BE38D97"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3BBA575"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C75DE9"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B6A7667"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E4D478D"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5BED473"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P-value</w:t>
            </w:r>
          </w:p>
        </w:tc>
      </w:tr>
      <w:tr w:rsidR="00B77EA3" w:rsidRPr="0082484A" w14:paraId="5609866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B974A72"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60FC0E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implementation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568D87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-0.2473</w:t>
            </w:r>
          </w:p>
        </w:tc>
        <w:tc>
          <w:tcPr>
            <w:tcW w:w="1134" w:type="dxa"/>
            <w:tcBorders>
              <w:top w:val="nil"/>
              <w:left w:val="nil"/>
              <w:bottom w:val="nil"/>
              <w:right w:val="nil"/>
            </w:tcBorders>
            <w:shd w:val="clear" w:color="auto" w:fill="FFFFFF"/>
            <w:tcMar>
              <w:left w:w="67" w:type="dxa"/>
              <w:right w:w="67" w:type="dxa"/>
            </w:tcMar>
            <w:vAlign w:val="center"/>
          </w:tcPr>
          <w:p w14:paraId="2245A9B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0.4520</w:t>
            </w:r>
          </w:p>
        </w:tc>
        <w:tc>
          <w:tcPr>
            <w:tcW w:w="1134" w:type="dxa"/>
            <w:tcBorders>
              <w:top w:val="nil"/>
              <w:left w:val="nil"/>
              <w:bottom w:val="nil"/>
              <w:right w:val="nil"/>
            </w:tcBorders>
            <w:shd w:val="clear" w:color="auto" w:fill="FFFFFF"/>
            <w:tcMar>
              <w:left w:w="67" w:type="dxa"/>
              <w:right w:w="67" w:type="dxa"/>
            </w:tcMar>
            <w:vAlign w:val="center"/>
          </w:tcPr>
          <w:p w14:paraId="658DCDA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-1.2606</w:t>
            </w:r>
          </w:p>
        </w:tc>
        <w:tc>
          <w:tcPr>
            <w:tcW w:w="1134" w:type="dxa"/>
            <w:tcBorders>
              <w:top w:val="nil"/>
              <w:left w:val="nil"/>
              <w:bottom w:val="nil"/>
              <w:right w:val="nil"/>
            </w:tcBorders>
            <w:shd w:val="clear" w:color="auto" w:fill="FFFFFF"/>
            <w:tcMar>
              <w:left w:w="67" w:type="dxa"/>
              <w:right w:w="67" w:type="dxa"/>
            </w:tcMar>
            <w:vAlign w:val="center"/>
          </w:tcPr>
          <w:p w14:paraId="0C17E55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0.7660</w:t>
            </w:r>
          </w:p>
        </w:tc>
        <w:tc>
          <w:tcPr>
            <w:tcW w:w="1134" w:type="dxa"/>
            <w:tcBorders>
              <w:top w:val="nil"/>
              <w:left w:val="nil"/>
              <w:bottom w:val="nil"/>
              <w:right w:val="nil"/>
            </w:tcBorders>
            <w:shd w:val="clear" w:color="auto" w:fill="FFFFFF"/>
            <w:tcMar>
              <w:left w:w="67" w:type="dxa"/>
              <w:right w:w="67" w:type="dxa"/>
            </w:tcMar>
            <w:vAlign w:val="center"/>
          </w:tcPr>
          <w:p w14:paraId="0BC5709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0.30</w:t>
            </w:r>
          </w:p>
        </w:tc>
        <w:tc>
          <w:tcPr>
            <w:tcW w:w="567" w:type="dxa"/>
            <w:tcBorders>
              <w:top w:val="nil"/>
              <w:left w:val="nil"/>
              <w:bottom w:val="nil"/>
              <w:right w:val="nil"/>
            </w:tcBorders>
            <w:shd w:val="clear" w:color="auto" w:fill="FFFFFF"/>
            <w:tcMar>
              <w:left w:w="67" w:type="dxa"/>
              <w:right w:w="67" w:type="dxa"/>
            </w:tcMar>
            <w:vAlign w:val="center"/>
          </w:tcPr>
          <w:p w14:paraId="307CA5E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F6258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0.5843</w:t>
            </w:r>
          </w:p>
        </w:tc>
      </w:tr>
      <w:tr w:rsidR="00B77EA3" w:rsidRPr="0082484A" w14:paraId="0645037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674F9C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109F062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Female vs. Male</w:t>
            </w:r>
          </w:p>
        </w:tc>
        <w:tc>
          <w:tcPr>
            <w:tcW w:w="1134" w:type="dxa"/>
            <w:tcBorders>
              <w:top w:val="nil"/>
              <w:left w:val="nil"/>
              <w:bottom w:val="nil"/>
              <w:right w:val="nil"/>
            </w:tcBorders>
            <w:shd w:val="clear" w:color="auto" w:fill="FFFFFF"/>
            <w:tcMar>
              <w:left w:w="67" w:type="dxa"/>
              <w:right w:w="67" w:type="dxa"/>
            </w:tcMar>
            <w:vAlign w:val="center"/>
          </w:tcPr>
          <w:p w14:paraId="3FBC159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-0.0442</w:t>
            </w:r>
          </w:p>
        </w:tc>
        <w:tc>
          <w:tcPr>
            <w:tcW w:w="1134" w:type="dxa"/>
            <w:tcBorders>
              <w:top w:val="nil"/>
              <w:left w:val="nil"/>
              <w:bottom w:val="nil"/>
              <w:right w:val="nil"/>
            </w:tcBorders>
            <w:shd w:val="clear" w:color="auto" w:fill="FFFFFF"/>
            <w:tcMar>
              <w:left w:w="67" w:type="dxa"/>
              <w:right w:w="67" w:type="dxa"/>
            </w:tcMar>
            <w:vAlign w:val="center"/>
          </w:tcPr>
          <w:p w14:paraId="2D94C1E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0.1040</w:t>
            </w:r>
          </w:p>
        </w:tc>
        <w:tc>
          <w:tcPr>
            <w:tcW w:w="1134" w:type="dxa"/>
            <w:tcBorders>
              <w:top w:val="nil"/>
              <w:left w:val="nil"/>
              <w:bottom w:val="nil"/>
              <w:right w:val="nil"/>
            </w:tcBorders>
            <w:shd w:val="clear" w:color="auto" w:fill="FFFFFF"/>
            <w:tcMar>
              <w:left w:w="67" w:type="dxa"/>
              <w:right w:w="67" w:type="dxa"/>
            </w:tcMar>
            <w:vAlign w:val="center"/>
          </w:tcPr>
          <w:p w14:paraId="3EE0A84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-0.2774</w:t>
            </w:r>
          </w:p>
        </w:tc>
        <w:tc>
          <w:tcPr>
            <w:tcW w:w="1134" w:type="dxa"/>
            <w:tcBorders>
              <w:top w:val="nil"/>
              <w:left w:val="nil"/>
              <w:bottom w:val="nil"/>
              <w:right w:val="nil"/>
            </w:tcBorders>
            <w:shd w:val="clear" w:color="auto" w:fill="FFFFFF"/>
            <w:tcMar>
              <w:left w:w="67" w:type="dxa"/>
              <w:right w:w="67" w:type="dxa"/>
            </w:tcMar>
            <w:vAlign w:val="center"/>
          </w:tcPr>
          <w:p w14:paraId="4BA42C9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0.1889</w:t>
            </w:r>
          </w:p>
        </w:tc>
        <w:tc>
          <w:tcPr>
            <w:tcW w:w="1134" w:type="dxa"/>
            <w:tcBorders>
              <w:top w:val="nil"/>
              <w:left w:val="nil"/>
              <w:bottom w:val="nil"/>
              <w:right w:val="nil"/>
            </w:tcBorders>
            <w:shd w:val="clear" w:color="auto" w:fill="FFFFFF"/>
            <w:tcMar>
              <w:left w:w="67" w:type="dxa"/>
              <w:right w:w="67" w:type="dxa"/>
            </w:tcMar>
            <w:vAlign w:val="center"/>
          </w:tcPr>
          <w:p w14:paraId="7450832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4FC4ACF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2C36F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0.6705</w:t>
            </w:r>
          </w:p>
        </w:tc>
      </w:tr>
      <w:tr w:rsidR="00B77EA3" w:rsidRPr="0082484A" w14:paraId="29983AE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A2910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17A24DC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488E806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-0.2064</w:t>
            </w:r>
          </w:p>
        </w:tc>
        <w:tc>
          <w:tcPr>
            <w:tcW w:w="1134" w:type="dxa"/>
            <w:tcBorders>
              <w:top w:val="nil"/>
              <w:left w:val="nil"/>
              <w:bottom w:val="nil"/>
              <w:right w:val="nil"/>
            </w:tcBorders>
            <w:shd w:val="clear" w:color="auto" w:fill="FFFFFF"/>
            <w:tcMar>
              <w:left w:w="67" w:type="dxa"/>
              <w:right w:w="67" w:type="dxa"/>
            </w:tcMar>
            <w:vAlign w:val="center"/>
          </w:tcPr>
          <w:p w14:paraId="1DE15A6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0.0039</w:t>
            </w:r>
          </w:p>
        </w:tc>
        <w:tc>
          <w:tcPr>
            <w:tcW w:w="1134" w:type="dxa"/>
            <w:tcBorders>
              <w:top w:val="nil"/>
              <w:left w:val="nil"/>
              <w:bottom w:val="nil"/>
              <w:right w:val="nil"/>
            </w:tcBorders>
            <w:shd w:val="clear" w:color="auto" w:fill="FFFFFF"/>
            <w:tcMar>
              <w:left w:w="67" w:type="dxa"/>
              <w:right w:w="67" w:type="dxa"/>
            </w:tcMar>
            <w:vAlign w:val="center"/>
          </w:tcPr>
          <w:p w14:paraId="6955A02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-0.2152</w:t>
            </w:r>
          </w:p>
        </w:tc>
        <w:tc>
          <w:tcPr>
            <w:tcW w:w="1134" w:type="dxa"/>
            <w:tcBorders>
              <w:top w:val="nil"/>
              <w:left w:val="nil"/>
              <w:bottom w:val="nil"/>
              <w:right w:val="nil"/>
            </w:tcBorders>
            <w:shd w:val="clear" w:color="auto" w:fill="FFFFFF"/>
            <w:tcMar>
              <w:left w:w="67" w:type="dxa"/>
              <w:right w:w="67" w:type="dxa"/>
            </w:tcMar>
            <w:vAlign w:val="center"/>
          </w:tcPr>
          <w:p w14:paraId="14ED81E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-0.1977</w:t>
            </w:r>
          </w:p>
        </w:tc>
        <w:tc>
          <w:tcPr>
            <w:tcW w:w="1134" w:type="dxa"/>
            <w:tcBorders>
              <w:top w:val="nil"/>
              <w:left w:val="nil"/>
              <w:bottom w:val="nil"/>
              <w:right w:val="nil"/>
            </w:tcBorders>
            <w:shd w:val="clear" w:color="auto" w:fill="FFFFFF"/>
            <w:tcMar>
              <w:left w:w="67" w:type="dxa"/>
              <w:right w:w="67" w:type="dxa"/>
            </w:tcMar>
            <w:vAlign w:val="center"/>
          </w:tcPr>
          <w:p w14:paraId="769D92A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2826.53</w:t>
            </w:r>
          </w:p>
        </w:tc>
        <w:tc>
          <w:tcPr>
            <w:tcW w:w="567" w:type="dxa"/>
            <w:tcBorders>
              <w:top w:val="nil"/>
              <w:left w:val="nil"/>
              <w:bottom w:val="nil"/>
              <w:right w:val="nil"/>
            </w:tcBorders>
            <w:shd w:val="clear" w:color="auto" w:fill="FFFFFF"/>
            <w:tcMar>
              <w:left w:w="67" w:type="dxa"/>
              <w:right w:w="67" w:type="dxa"/>
            </w:tcMar>
            <w:vAlign w:val="center"/>
          </w:tcPr>
          <w:p w14:paraId="160FBD5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DEFC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531F72F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17760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F17851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3458C28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-0.0052</w:t>
            </w:r>
          </w:p>
        </w:tc>
        <w:tc>
          <w:tcPr>
            <w:tcW w:w="1134" w:type="dxa"/>
            <w:tcBorders>
              <w:top w:val="nil"/>
              <w:left w:val="nil"/>
              <w:bottom w:val="nil"/>
              <w:right w:val="nil"/>
            </w:tcBorders>
            <w:shd w:val="clear" w:color="auto" w:fill="FFFFFF"/>
            <w:tcMar>
              <w:left w:w="67" w:type="dxa"/>
              <w:right w:w="67" w:type="dxa"/>
            </w:tcMar>
            <w:vAlign w:val="center"/>
          </w:tcPr>
          <w:p w14:paraId="4C2C923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0.0068</w:t>
            </w:r>
          </w:p>
        </w:tc>
        <w:tc>
          <w:tcPr>
            <w:tcW w:w="1134" w:type="dxa"/>
            <w:tcBorders>
              <w:top w:val="nil"/>
              <w:left w:val="nil"/>
              <w:bottom w:val="nil"/>
              <w:right w:val="nil"/>
            </w:tcBorders>
            <w:shd w:val="clear" w:color="auto" w:fill="FFFFFF"/>
            <w:tcMar>
              <w:left w:w="67" w:type="dxa"/>
              <w:right w:w="67" w:type="dxa"/>
            </w:tcMar>
            <w:vAlign w:val="center"/>
          </w:tcPr>
          <w:p w14:paraId="64F1E62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-0.0205</w:t>
            </w:r>
          </w:p>
        </w:tc>
        <w:tc>
          <w:tcPr>
            <w:tcW w:w="1134" w:type="dxa"/>
            <w:tcBorders>
              <w:top w:val="nil"/>
              <w:left w:val="nil"/>
              <w:bottom w:val="nil"/>
              <w:right w:val="nil"/>
            </w:tcBorders>
            <w:shd w:val="clear" w:color="auto" w:fill="FFFFFF"/>
            <w:tcMar>
              <w:left w:w="67" w:type="dxa"/>
              <w:right w:w="67" w:type="dxa"/>
            </w:tcMar>
            <w:vAlign w:val="center"/>
          </w:tcPr>
          <w:p w14:paraId="2F182DE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0.0101</w:t>
            </w:r>
          </w:p>
        </w:tc>
        <w:tc>
          <w:tcPr>
            <w:tcW w:w="1134" w:type="dxa"/>
            <w:tcBorders>
              <w:top w:val="nil"/>
              <w:left w:val="nil"/>
              <w:bottom w:val="nil"/>
              <w:right w:val="nil"/>
            </w:tcBorders>
            <w:shd w:val="clear" w:color="auto" w:fill="FFFFFF"/>
            <w:tcMar>
              <w:left w:w="67" w:type="dxa"/>
              <w:right w:w="67" w:type="dxa"/>
            </w:tcMar>
            <w:vAlign w:val="center"/>
          </w:tcPr>
          <w:p w14:paraId="4DA5E3C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0.58</w:t>
            </w:r>
          </w:p>
        </w:tc>
        <w:tc>
          <w:tcPr>
            <w:tcW w:w="567" w:type="dxa"/>
            <w:tcBorders>
              <w:top w:val="nil"/>
              <w:left w:val="nil"/>
              <w:bottom w:val="nil"/>
              <w:right w:val="nil"/>
            </w:tcBorders>
            <w:shd w:val="clear" w:color="auto" w:fill="FFFFFF"/>
            <w:tcMar>
              <w:left w:w="67" w:type="dxa"/>
              <w:right w:w="67" w:type="dxa"/>
            </w:tcMar>
            <w:vAlign w:val="center"/>
          </w:tcPr>
          <w:p w14:paraId="7020934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BFBF6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0.4469</w:t>
            </w:r>
          </w:p>
        </w:tc>
      </w:tr>
      <w:tr w:rsidR="00B77EA3" w:rsidRPr="0082484A" w14:paraId="64FFF12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8A5AAC"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EC57CB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94F02B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0.0802</w:t>
            </w:r>
          </w:p>
        </w:tc>
        <w:tc>
          <w:tcPr>
            <w:tcW w:w="1134" w:type="dxa"/>
            <w:tcBorders>
              <w:top w:val="nil"/>
              <w:left w:val="nil"/>
              <w:bottom w:val="nil"/>
              <w:right w:val="nil"/>
            </w:tcBorders>
            <w:shd w:val="clear" w:color="auto" w:fill="FFFFFF"/>
            <w:tcMar>
              <w:left w:w="67" w:type="dxa"/>
              <w:right w:w="67" w:type="dxa"/>
            </w:tcMar>
            <w:vAlign w:val="center"/>
          </w:tcPr>
          <w:p w14:paraId="5727751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1.2494</w:t>
            </w:r>
          </w:p>
        </w:tc>
        <w:tc>
          <w:tcPr>
            <w:tcW w:w="1134" w:type="dxa"/>
            <w:tcBorders>
              <w:top w:val="nil"/>
              <w:left w:val="nil"/>
              <w:bottom w:val="nil"/>
              <w:right w:val="nil"/>
            </w:tcBorders>
            <w:shd w:val="clear" w:color="auto" w:fill="FFFFFF"/>
            <w:tcMar>
              <w:left w:w="67" w:type="dxa"/>
              <w:right w:w="67" w:type="dxa"/>
            </w:tcMar>
            <w:vAlign w:val="center"/>
          </w:tcPr>
          <w:p w14:paraId="1FC44BC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-2.7205</w:t>
            </w:r>
          </w:p>
        </w:tc>
        <w:tc>
          <w:tcPr>
            <w:tcW w:w="1134" w:type="dxa"/>
            <w:tcBorders>
              <w:top w:val="nil"/>
              <w:left w:val="nil"/>
              <w:bottom w:val="nil"/>
              <w:right w:val="nil"/>
            </w:tcBorders>
            <w:shd w:val="clear" w:color="auto" w:fill="FFFFFF"/>
            <w:tcMar>
              <w:left w:w="67" w:type="dxa"/>
              <w:right w:w="67" w:type="dxa"/>
            </w:tcMar>
            <w:vAlign w:val="center"/>
          </w:tcPr>
          <w:p w14:paraId="489ACE6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2.8808</w:t>
            </w:r>
          </w:p>
        </w:tc>
        <w:tc>
          <w:tcPr>
            <w:tcW w:w="1134" w:type="dxa"/>
            <w:tcBorders>
              <w:top w:val="nil"/>
              <w:left w:val="nil"/>
              <w:bottom w:val="nil"/>
              <w:right w:val="nil"/>
            </w:tcBorders>
            <w:shd w:val="clear" w:color="auto" w:fill="FFFFFF"/>
            <w:tcMar>
              <w:left w:w="67" w:type="dxa"/>
              <w:right w:w="67" w:type="dxa"/>
            </w:tcMar>
            <w:vAlign w:val="center"/>
          </w:tcPr>
          <w:p w14:paraId="75ED347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1.28</w:t>
            </w:r>
          </w:p>
        </w:tc>
        <w:tc>
          <w:tcPr>
            <w:tcW w:w="567" w:type="dxa"/>
            <w:tcBorders>
              <w:top w:val="nil"/>
              <w:left w:val="nil"/>
              <w:bottom w:val="nil"/>
              <w:right w:val="nil"/>
            </w:tcBorders>
            <w:shd w:val="clear" w:color="auto" w:fill="FFFFFF"/>
            <w:tcMar>
              <w:left w:w="67" w:type="dxa"/>
              <w:right w:w="67" w:type="dxa"/>
            </w:tcMar>
            <w:vAlign w:val="center"/>
          </w:tcPr>
          <w:p w14:paraId="2802740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2AE0D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0.2406</w:t>
            </w:r>
          </w:p>
        </w:tc>
      </w:tr>
      <w:tr w:rsidR="00B77EA3" w:rsidRPr="0082484A" w14:paraId="0DF23E6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9D2E0E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0AAF4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F3C4F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-1.7128</w:t>
            </w:r>
          </w:p>
        </w:tc>
        <w:tc>
          <w:tcPr>
            <w:tcW w:w="1134" w:type="dxa"/>
            <w:tcBorders>
              <w:top w:val="nil"/>
              <w:left w:val="nil"/>
              <w:bottom w:val="nil"/>
              <w:right w:val="nil"/>
            </w:tcBorders>
            <w:shd w:val="clear" w:color="auto" w:fill="FFFFFF"/>
            <w:tcMar>
              <w:left w:w="67" w:type="dxa"/>
              <w:right w:w="67" w:type="dxa"/>
            </w:tcMar>
            <w:vAlign w:val="center"/>
          </w:tcPr>
          <w:p w14:paraId="10D8D13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1.0856</w:t>
            </w:r>
          </w:p>
        </w:tc>
        <w:tc>
          <w:tcPr>
            <w:tcW w:w="1134" w:type="dxa"/>
            <w:tcBorders>
              <w:top w:val="nil"/>
              <w:left w:val="nil"/>
              <w:bottom w:val="nil"/>
              <w:right w:val="nil"/>
            </w:tcBorders>
            <w:shd w:val="clear" w:color="auto" w:fill="FFFFFF"/>
            <w:tcMar>
              <w:left w:w="67" w:type="dxa"/>
              <w:right w:w="67" w:type="dxa"/>
            </w:tcMar>
            <w:vAlign w:val="center"/>
          </w:tcPr>
          <w:p w14:paraId="68DFD4E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-4.1463</w:t>
            </w:r>
          </w:p>
        </w:tc>
        <w:tc>
          <w:tcPr>
            <w:tcW w:w="1134" w:type="dxa"/>
            <w:tcBorders>
              <w:top w:val="nil"/>
              <w:left w:val="nil"/>
              <w:bottom w:val="nil"/>
              <w:right w:val="nil"/>
            </w:tcBorders>
            <w:shd w:val="clear" w:color="auto" w:fill="FFFFFF"/>
            <w:tcMar>
              <w:left w:w="67" w:type="dxa"/>
              <w:right w:w="67" w:type="dxa"/>
            </w:tcMar>
            <w:vAlign w:val="center"/>
          </w:tcPr>
          <w:p w14:paraId="6DF736D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0.7206</w:t>
            </w:r>
          </w:p>
        </w:tc>
        <w:tc>
          <w:tcPr>
            <w:tcW w:w="1134" w:type="dxa"/>
            <w:tcBorders>
              <w:top w:val="nil"/>
              <w:left w:val="nil"/>
              <w:bottom w:val="nil"/>
              <w:right w:val="nil"/>
            </w:tcBorders>
            <w:shd w:val="clear" w:color="auto" w:fill="FFFFFF"/>
            <w:tcMar>
              <w:left w:w="67" w:type="dxa"/>
              <w:right w:w="67" w:type="dxa"/>
            </w:tcMar>
            <w:vAlign w:val="center"/>
          </w:tcPr>
          <w:p w14:paraId="3FFF0A21"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63466EF"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5DBB97"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2007EB9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502E17"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C04DED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1E546E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-0.8784</w:t>
            </w:r>
          </w:p>
        </w:tc>
        <w:tc>
          <w:tcPr>
            <w:tcW w:w="1134" w:type="dxa"/>
            <w:tcBorders>
              <w:top w:val="nil"/>
              <w:left w:val="nil"/>
              <w:bottom w:val="nil"/>
              <w:right w:val="nil"/>
            </w:tcBorders>
            <w:shd w:val="clear" w:color="auto" w:fill="FFFFFF"/>
            <w:tcMar>
              <w:left w:w="67" w:type="dxa"/>
              <w:right w:w="67" w:type="dxa"/>
            </w:tcMar>
            <w:vAlign w:val="center"/>
          </w:tcPr>
          <w:p w14:paraId="53DCF3B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0.7961</w:t>
            </w:r>
          </w:p>
        </w:tc>
        <w:tc>
          <w:tcPr>
            <w:tcW w:w="1134" w:type="dxa"/>
            <w:tcBorders>
              <w:top w:val="nil"/>
              <w:left w:val="nil"/>
              <w:bottom w:val="nil"/>
              <w:right w:val="nil"/>
            </w:tcBorders>
            <w:shd w:val="clear" w:color="auto" w:fill="FFFFFF"/>
            <w:tcMar>
              <w:left w:w="67" w:type="dxa"/>
              <w:right w:w="67" w:type="dxa"/>
            </w:tcMar>
            <w:vAlign w:val="center"/>
          </w:tcPr>
          <w:p w14:paraId="5E7F76D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-2.6629</w:t>
            </w:r>
          </w:p>
        </w:tc>
        <w:tc>
          <w:tcPr>
            <w:tcW w:w="1134" w:type="dxa"/>
            <w:tcBorders>
              <w:top w:val="nil"/>
              <w:left w:val="nil"/>
              <w:bottom w:val="nil"/>
              <w:right w:val="nil"/>
            </w:tcBorders>
            <w:shd w:val="clear" w:color="auto" w:fill="FFFFFF"/>
            <w:tcMar>
              <w:left w:w="67" w:type="dxa"/>
              <w:right w:w="67" w:type="dxa"/>
            </w:tcMar>
            <w:vAlign w:val="center"/>
          </w:tcPr>
          <w:p w14:paraId="5B00385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0.9060</w:t>
            </w:r>
          </w:p>
        </w:tc>
        <w:tc>
          <w:tcPr>
            <w:tcW w:w="1134" w:type="dxa"/>
            <w:tcBorders>
              <w:top w:val="nil"/>
              <w:left w:val="nil"/>
              <w:bottom w:val="nil"/>
              <w:right w:val="nil"/>
            </w:tcBorders>
            <w:shd w:val="clear" w:color="auto" w:fill="FFFFFF"/>
            <w:tcMar>
              <w:left w:w="67" w:type="dxa"/>
              <w:right w:w="67" w:type="dxa"/>
            </w:tcMar>
            <w:vAlign w:val="center"/>
          </w:tcPr>
          <w:p w14:paraId="327ED1C0"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64192A8"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A4240D"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3D17F1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AE552F9"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AACFBD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9472C3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-0.1744</w:t>
            </w:r>
          </w:p>
        </w:tc>
        <w:tc>
          <w:tcPr>
            <w:tcW w:w="1134" w:type="dxa"/>
            <w:tcBorders>
              <w:top w:val="nil"/>
              <w:left w:val="nil"/>
              <w:bottom w:val="nil"/>
              <w:right w:val="nil"/>
            </w:tcBorders>
            <w:shd w:val="clear" w:color="auto" w:fill="FFFFFF"/>
            <w:tcMar>
              <w:left w:w="67" w:type="dxa"/>
              <w:right w:w="67" w:type="dxa"/>
            </w:tcMar>
            <w:vAlign w:val="center"/>
          </w:tcPr>
          <w:p w14:paraId="1A783F9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1.1112</w:t>
            </w:r>
          </w:p>
        </w:tc>
        <w:tc>
          <w:tcPr>
            <w:tcW w:w="1134" w:type="dxa"/>
            <w:tcBorders>
              <w:top w:val="nil"/>
              <w:left w:val="nil"/>
              <w:bottom w:val="nil"/>
              <w:right w:val="nil"/>
            </w:tcBorders>
            <w:shd w:val="clear" w:color="auto" w:fill="FFFFFF"/>
            <w:tcMar>
              <w:left w:w="67" w:type="dxa"/>
              <w:right w:w="67" w:type="dxa"/>
            </w:tcMar>
            <w:vAlign w:val="center"/>
          </w:tcPr>
          <w:p w14:paraId="122BE57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-2.6653</w:t>
            </w:r>
          </w:p>
        </w:tc>
        <w:tc>
          <w:tcPr>
            <w:tcW w:w="1134" w:type="dxa"/>
            <w:tcBorders>
              <w:top w:val="nil"/>
              <w:left w:val="nil"/>
              <w:bottom w:val="nil"/>
              <w:right w:val="nil"/>
            </w:tcBorders>
            <w:shd w:val="clear" w:color="auto" w:fill="FFFFFF"/>
            <w:tcMar>
              <w:left w:w="67" w:type="dxa"/>
              <w:right w:w="67" w:type="dxa"/>
            </w:tcMar>
            <w:vAlign w:val="center"/>
          </w:tcPr>
          <w:p w14:paraId="390DB6E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2.3164</w:t>
            </w:r>
          </w:p>
        </w:tc>
        <w:tc>
          <w:tcPr>
            <w:tcW w:w="1134" w:type="dxa"/>
            <w:tcBorders>
              <w:top w:val="nil"/>
              <w:left w:val="nil"/>
              <w:bottom w:val="nil"/>
              <w:right w:val="nil"/>
            </w:tcBorders>
            <w:shd w:val="clear" w:color="auto" w:fill="FFFFFF"/>
            <w:tcMar>
              <w:left w:w="67" w:type="dxa"/>
              <w:right w:w="67" w:type="dxa"/>
            </w:tcMar>
            <w:vAlign w:val="center"/>
          </w:tcPr>
          <w:p w14:paraId="5E2EA51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E814AA3"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1927C9"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3CC899F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AA16B9"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A36B0E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F2CF41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0.9016</w:t>
            </w:r>
          </w:p>
        </w:tc>
        <w:tc>
          <w:tcPr>
            <w:tcW w:w="1134" w:type="dxa"/>
            <w:tcBorders>
              <w:top w:val="nil"/>
              <w:left w:val="nil"/>
              <w:bottom w:val="nil"/>
              <w:right w:val="nil"/>
            </w:tcBorders>
            <w:shd w:val="clear" w:color="auto" w:fill="FFFFFF"/>
            <w:tcMar>
              <w:left w:w="67" w:type="dxa"/>
              <w:right w:w="67" w:type="dxa"/>
            </w:tcMar>
            <w:vAlign w:val="center"/>
          </w:tcPr>
          <w:p w14:paraId="6A9C16D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1.0856</w:t>
            </w:r>
          </w:p>
        </w:tc>
        <w:tc>
          <w:tcPr>
            <w:tcW w:w="1134" w:type="dxa"/>
            <w:tcBorders>
              <w:top w:val="nil"/>
              <w:left w:val="nil"/>
              <w:bottom w:val="nil"/>
              <w:right w:val="nil"/>
            </w:tcBorders>
            <w:shd w:val="clear" w:color="auto" w:fill="FFFFFF"/>
            <w:tcMar>
              <w:left w:w="67" w:type="dxa"/>
              <w:right w:w="67" w:type="dxa"/>
            </w:tcMar>
            <w:vAlign w:val="center"/>
          </w:tcPr>
          <w:p w14:paraId="0124970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-1.5319</w:t>
            </w:r>
          </w:p>
        </w:tc>
        <w:tc>
          <w:tcPr>
            <w:tcW w:w="1134" w:type="dxa"/>
            <w:tcBorders>
              <w:top w:val="nil"/>
              <w:left w:val="nil"/>
              <w:bottom w:val="nil"/>
              <w:right w:val="nil"/>
            </w:tcBorders>
            <w:shd w:val="clear" w:color="auto" w:fill="FFFFFF"/>
            <w:tcMar>
              <w:left w:w="67" w:type="dxa"/>
              <w:right w:w="67" w:type="dxa"/>
            </w:tcMar>
            <w:vAlign w:val="center"/>
          </w:tcPr>
          <w:p w14:paraId="73C2195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3.3350</w:t>
            </w:r>
          </w:p>
        </w:tc>
        <w:tc>
          <w:tcPr>
            <w:tcW w:w="1134" w:type="dxa"/>
            <w:tcBorders>
              <w:top w:val="nil"/>
              <w:left w:val="nil"/>
              <w:bottom w:val="nil"/>
              <w:right w:val="nil"/>
            </w:tcBorders>
            <w:shd w:val="clear" w:color="auto" w:fill="FFFFFF"/>
            <w:tcMar>
              <w:left w:w="67" w:type="dxa"/>
              <w:right w:w="67" w:type="dxa"/>
            </w:tcMar>
            <w:vAlign w:val="center"/>
          </w:tcPr>
          <w:p w14:paraId="78522059"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1AFFFA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F067BD"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6329F5B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C7CDE7"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A331F0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3B844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-1.4128</w:t>
            </w:r>
          </w:p>
        </w:tc>
        <w:tc>
          <w:tcPr>
            <w:tcW w:w="1134" w:type="dxa"/>
            <w:tcBorders>
              <w:top w:val="nil"/>
              <w:left w:val="nil"/>
              <w:bottom w:val="nil"/>
              <w:right w:val="nil"/>
            </w:tcBorders>
            <w:shd w:val="clear" w:color="auto" w:fill="FFFFFF"/>
            <w:tcMar>
              <w:left w:w="67" w:type="dxa"/>
              <w:right w:w="67" w:type="dxa"/>
            </w:tcMar>
            <w:vAlign w:val="center"/>
          </w:tcPr>
          <w:p w14:paraId="744F4F7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1.2225</w:t>
            </w:r>
          </w:p>
        </w:tc>
        <w:tc>
          <w:tcPr>
            <w:tcW w:w="1134" w:type="dxa"/>
            <w:tcBorders>
              <w:top w:val="nil"/>
              <w:left w:val="nil"/>
              <w:bottom w:val="nil"/>
              <w:right w:val="nil"/>
            </w:tcBorders>
            <w:shd w:val="clear" w:color="auto" w:fill="FFFFFF"/>
            <w:tcMar>
              <w:left w:w="67" w:type="dxa"/>
              <w:right w:w="67" w:type="dxa"/>
            </w:tcMar>
            <w:vAlign w:val="center"/>
          </w:tcPr>
          <w:p w14:paraId="21A9869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-4.1530</w:t>
            </w:r>
          </w:p>
        </w:tc>
        <w:tc>
          <w:tcPr>
            <w:tcW w:w="1134" w:type="dxa"/>
            <w:tcBorders>
              <w:top w:val="nil"/>
              <w:left w:val="nil"/>
              <w:bottom w:val="nil"/>
              <w:right w:val="nil"/>
            </w:tcBorders>
            <w:shd w:val="clear" w:color="auto" w:fill="FFFFFF"/>
            <w:tcMar>
              <w:left w:w="67" w:type="dxa"/>
              <w:right w:w="67" w:type="dxa"/>
            </w:tcMar>
            <w:vAlign w:val="center"/>
          </w:tcPr>
          <w:p w14:paraId="7F9D256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1.3275</w:t>
            </w:r>
          </w:p>
        </w:tc>
        <w:tc>
          <w:tcPr>
            <w:tcW w:w="1134" w:type="dxa"/>
            <w:tcBorders>
              <w:top w:val="nil"/>
              <w:left w:val="nil"/>
              <w:bottom w:val="nil"/>
              <w:right w:val="nil"/>
            </w:tcBorders>
            <w:shd w:val="clear" w:color="auto" w:fill="FFFFFF"/>
            <w:tcMar>
              <w:left w:w="67" w:type="dxa"/>
              <w:right w:w="67" w:type="dxa"/>
            </w:tcMar>
            <w:vAlign w:val="center"/>
          </w:tcPr>
          <w:p w14:paraId="4AB08C07"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F8B797"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A80DE5"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1E7DADF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C43A2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F6FD3A"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B5D498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-1.2090</w:t>
            </w:r>
          </w:p>
        </w:tc>
        <w:tc>
          <w:tcPr>
            <w:tcW w:w="1134" w:type="dxa"/>
            <w:tcBorders>
              <w:top w:val="nil"/>
              <w:left w:val="nil"/>
              <w:bottom w:val="nil"/>
              <w:right w:val="nil"/>
            </w:tcBorders>
            <w:shd w:val="clear" w:color="auto" w:fill="FFFFFF"/>
            <w:tcMar>
              <w:left w:w="67" w:type="dxa"/>
              <w:right w:w="67" w:type="dxa"/>
            </w:tcMar>
            <w:vAlign w:val="center"/>
          </w:tcPr>
          <w:p w14:paraId="54D98C8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0.9459</w:t>
            </w:r>
          </w:p>
        </w:tc>
        <w:tc>
          <w:tcPr>
            <w:tcW w:w="1134" w:type="dxa"/>
            <w:tcBorders>
              <w:top w:val="nil"/>
              <w:left w:val="nil"/>
              <w:bottom w:val="nil"/>
              <w:right w:val="nil"/>
            </w:tcBorders>
            <w:shd w:val="clear" w:color="auto" w:fill="FFFFFF"/>
            <w:tcMar>
              <w:left w:w="67" w:type="dxa"/>
              <w:right w:w="67" w:type="dxa"/>
            </w:tcMar>
            <w:vAlign w:val="center"/>
          </w:tcPr>
          <w:p w14:paraId="38F075B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-3.3292</w:t>
            </w:r>
          </w:p>
        </w:tc>
        <w:tc>
          <w:tcPr>
            <w:tcW w:w="1134" w:type="dxa"/>
            <w:tcBorders>
              <w:top w:val="nil"/>
              <w:left w:val="nil"/>
              <w:bottom w:val="nil"/>
              <w:right w:val="nil"/>
            </w:tcBorders>
            <w:shd w:val="clear" w:color="auto" w:fill="FFFFFF"/>
            <w:tcMar>
              <w:left w:w="67" w:type="dxa"/>
              <w:right w:w="67" w:type="dxa"/>
            </w:tcMar>
            <w:vAlign w:val="center"/>
          </w:tcPr>
          <w:p w14:paraId="7BE0346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0.9112</w:t>
            </w:r>
          </w:p>
        </w:tc>
        <w:tc>
          <w:tcPr>
            <w:tcW w:w="1134" w:type="dxa"/>
            <w:tcBorders>
              <w:top w:val="nil"/>
              <w:left w:val="nil"/>
              <w:bottom w:val="nil"/>
              <w:right w:val="nil"/>
            </w:tcBorders>
            <w:shd w:val="clear" w:color="auto" w:fill="FFFFFF"/>
            <w:tcMar>
              <w:left w:w="67" w:type="dxa"/>
              <w:right w:w="67" w:type="dxa"/>
            </w:tcMar>
            <w:vAlign w:val="center"/>
          </w:tcPr>
          <w:p w14:paraId="63468411"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34572B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A4FB273"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257E51C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6868097"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0007B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3579D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-1.4812</w:t>
            </w:r>
          </w:p>
        </w:tc>
        <w:tc>
          <w:tcPr>
            <w:tcW w:w="1134" w:type="dxa"/>
            <w:tcBorders>
              <w:top w:val="nil"/>
              <w:left w:val="nil"/>
              <w:bottom w:val="nil"/>
              <w:right w:val="nil"/>
            </w:tcBorders>
            <w:shd w:val="clear" w:color="auto" w:fill="FFFFFF"/>
            <w:tcMar>
              <w:left w:w="67" w:type="dxa"/>
              <w:right w:w="67" w:type="dxa"/>
            </w:tcMar>
            <w:vAlign w:val="center"/>
          </w:tcPr>
          <w:p w14:paraId="138FC59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1.0732</w:t>
            </w:r>
          </w:p>
        </w:tc>
        <w:tc>
          <w:tcPr>
            <w:tcW w:w="1134" w:type="dxa"/>
            <w:tcBorders>
              <w:top w:val="nil"/>
              <w:left w:val="nil"/>
              <w:bottom w:val="nil"/>
              <w:right w:val="nil"/>
            </w:tcBorders>
            <w:shd w:val="clear" w:color="auto" w:fill="FFFFFF"/>
            <w:tcMar>
              <w:left w:w="67" w:type="dxa"/>
              <w:right w:w="67" w:type="dxa"/>
            </w:tcMar>
            <w:vAlign w:val="center"/>
          </w:tcPr>
          <w:p w14:paraId="0D9CBFF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-3.8869</w:t>
            </w:r>
          </w:p>
        </w:tc>
        <w:tc>
          <w:tcPr>
            <w:tcW w:w="1134" w:type="dxa"/>
            <w:tcBorders>
              <w:top w:val="nil"/>
              <w:left w:val="nil"/>
              <w:bottom w:val="nil"/>
              <w:right w:val="nil"/>
            </w:tcBorders>
            <w:shd w:val="clear" w:color="auto" w:fill="FFFFFF"/>
            <w:tcMar>
              <w:left w:w="67" w:type="dxa"/>
              <w:right w:w="67" w:type="dxa"/>
            </w:tcMar>
            <w:vAlign w:val="center"/>
          </w:tcPr>
          <w:p w14:paraId="517D862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0.9245</w:t>
            </w:r>
          </w:p>
        </w:tc>
        <w:tc>
          <w:tcPr>
            <w:tcW w:w="1134" w:type="dxa"/>
            <w:tcBorders>
              <w:top w:val="nil"/>
              <w:left w:val="nil"/>
              <w:bottom w:val="nil"/>
              <w:right w:val="nil"/>
            </w:tcBorders>
            <w:shd w:val="clear" w:color="auto" w:fill="FFFFFF"/>
            <w:tcMar>
              <w:left w:w="67" w:type="dxa"/>
              <w:right w:w="67" w:type="dxa"/>
            </w:tcMar>
            <w:vAlign w:val="center"/>
          </w:tcPr>
          <w:p w14:paraId="57915A91"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E4C4DE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569AD2"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52E25AC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13A01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F2AFE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2525D3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-0.2175</w:t>
            </w:r>
          </w:p>
        </w:tc>
        <w:tc>
          <w:tcPr>
            <w:tcW w:w="1134" w:type="dxa"/>
            <w:tcBorders>
              <w:top w:val="nil"/>
              <w:left w:val="nil"/>
              <w:bottom w:val="nil"/>
              <w:right w:val="nil"/>
            </w:tcBorders>
            <w:shd w:val="clear" w:color="auto" w:fill="FFFFFF"/>
            <w:tcMar>
              <w:left w:w="67" w:type="dxa"/>
              <w:right w:w="67" w:type="dxa"/>
            </w:tcMar>
            <w:vAlign w:val="center"/>
          </w:tcPr>
          <w:p w14:paraId="6CCF31A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0.9901</w:t>
            </w:r>
          </w:p>
        </w:tc>
        <w:tc>
          <w:tcPr>
            <w:tcW w:w="1134" w:type="dxa"/>
            <w:tcBorders>
              <w:top w:val="nil"/>
              <w:left w:val="nil"/>
              <w:bottom w:val="nil"/>
              <w:right w:val="nil"/>
            </w:tcBorders>
            <w:shd w:val="clear" w:color="auto" w:fill="FFFFFF"/>
            <w:tcMar>
              <w:left w:w="67" w:type="dxa"/>
              <w:right w:w="67" w:type="dxa"/>
            </w:tcMar>
            <w:vAlign w:val="center"/>
          </w:tcPr>
          <w:p w14:paraId="63B13E6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-2.4369</w:t>
            </w:r>
          </w:p>
        </w:tc>
        <w:tc>
          <w:tcPr>
            <w:tcW w:w="1134" w:type="dxa"/>
            <w:tcBorders>
              <w:top w:val="nil"/>
              <w:left w:val="nil"/>
              <w:bottom w:val="nil"/>
              <w:right w:val="nil"/>
            </w:tcBorders>
            <w:shd w:val="clear" w:color="auto" w:fill="FFFFFF"/>
            <w:tcMar>
              <w:left w:w="67" w:type="dxa"/>
              <w:right w:w="67" w:type="dxa"/>
            </w:tcMar>
            <w:vAlign w:val="center"/>
          </w:tcPr>
          <w:p w14:paraId="21B46BD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2.0019</w:t>
            </w:r>
          </w:p>
        </w:tc>
        <w:tc>
          <w:tcPr>
            <w:tcW w:w="1134" w:type="dxa"/>
            <w:tcBorders>
              <w:top w:val="nil"/>
              <w:left w:val="nil"/>
              <w:bottom w:val="nil"/>
              <w:right w:val="nil"/>
            </w:tcBorders>
            <w:shd w:val="clear" w:color="auto" w:fill="FFFFFF"/>
            <w:tcMar>
              <w:left w:w="67" w:type="dxa"/>
              <w:right w:w="67" w:type="dxa"/>
            </w:tcMar>
            <w:vAlign w:val="center"/>
          </w:tcPr>
          <w:p w14:paraId="219A9A5C"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320812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089FAC"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19302E2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C1879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B7AA882"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9F4D1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-0.0179</w:t>
            </w:r>
          </w:p>
        </w:tc>
        <w:tc>
          <w:tcPr>
            <w:tcW w:w="1134" w:type="dxa"/>
            <w:tcBorders>
              <w:top w:val="nil"/>
              <w:left w:val="nil"/>
              <w:bottom w:val="nil"/>
              <w:right w:val="nil"/>
            </w:tcBorders>
            <w:shd w:val="clear" w:color="auto" w:fill="FFFFFF"/>
            <w:tcMar>
              <w:left w:w="67" w:type="dxa"/>
              <w:right w:w="67" w:type="dxa"/>
            </w:tcMar>
            <w:vAlign w:val="center"/>
          </w:tcPr>
          <w:p w14:paraId="495DE26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0.0548</w:t>
            </w:r>
          </w:p>
        </w:tc>
        <w:tc>
          <w:tcPr>
            <w:tcW w:w="1134" w:type="dxa"/>
            <w:tcBorders>
              <w:top w:val="nil"/>
              <w:left w:val="nil"/>
              <w:bottom w:val="nil"/>
              <w:right w:val="nil"/>
            </w:tcBorders>
            <w:shd w:val="clear" w:color="auto" w:fill="FFFFFF"/>
            <w:tcMar>
              <w:left w:w="67" w:type="dxa"/>
              <w:right w:w="67" w:type="dxa"/>
            </w:tcMar>
            <w:vAlign w:val="center"/>
          </w:tcPr>
          <w:p w14:paraId="31C3118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-0.1408</w:t>
            </w:r>
          </w:p>
        </w:tc>
        <w:tc>
          <w:tcPr>
            <w:tcW w:w="1134" w:type="dxa"/>
            <w:tcBorders>
              <w:top w:val="nil"/>
              <w:left w:val="nil"/>
              <w:bottom w:val="nil"/>
              <w:right w:val="nil"/>
            </w:tcBorders>
            <w:shd w:val="clear" w:color="auto" w:fill="FFFFFF"/>
            <w:tcMar>
              <w:left w:w="67" w:type="dxa"/>
              <w:right w:w="67" w:type="dxa"/>
            </w:tcMar>
            <w:vAlign w:val="center"/>
          </w:tcPr>
          <w:p w14:paraId="238399B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0.1049</w:t>
            </w:r>
          </w:p>
        </w:tc>
        <w:tc>
          <w:tcPr>
            <w:tcW w:w="1134" w:type="dxa"/>
            <w:tcBorders>
              <w:top w:val="nil"/>
              <w:left w:val="nil"/>
              <w:bottom w:val="nil"/>
              <w:right w:val="nil"/>
            </w:tcBorders>
            <w:shd w:val="clear" w:color="auto" w:fill="FFFFFF"/>
            <w:tcMar>
              <w:left w:w="67" w:type="dxa"/>
              <w:right w:w="67" w:type="dxa"/>
            </w:tcMar>
            <w:vAlign w:val="center"/>
          </w:tcPr>
          <w:p w14:paraId="0AADEEF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0.11</w:t>
            </w:r>
          </w:p>
        </w:tc>
        <w:tc>
          <w:tcPr>
            <w:tcW w:w="567" w:type="dxa"/>
            <w:tcBorders>
              <w:top w:val="nil"/>
              <w:left w:val="nil"/>
              <w:bottom w:val="nil"/>
              <w:right w:val="nil"/>
            </w:tcBorders>
            <w:shd w:val="clear" w:color="auto" w:fill="FFFFFF"/>
            <w:tcMar>
              <w:left w:w="67" w:type="dxa"/>
              <w:right w:w="67" w:type="dxa"/>
            </w:tcMar>
            <w:vAlign w:val="center"/>
          </w:tcPr>
          <w:p w14:paraId="4DB5EEA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920E0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0.7436</w:t>
            </w:r>
          </w:p>
        </w:tc>
      </w:tr>
      <w:tr w:rsidR="00B77EA3" w:rsidRPr="0082484A" w14:paraId="317F1B2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868712D"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09CABCB8"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1B68B8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-0.0575</w:t>
            </w:r>
          </w:p>
        </w:tc>
        <w:tc>
          <w:tcPr>
            <w:tcW w:w="1134" w:type="dxa"/>
            <w:tcBorders>
              <w:top w:val="nil"/>
              <w:left w:val="nil"/>
              <w:bottom w:val="nil"/>
              <w:right w:val="nil"/>
            </w:tcBorders>
            <w:shd w:val="clear" w:color="auto" w:fill="FFFFFF"/>
            <w:tcMar>
              <w:left w:w="67" w:type="dxa"/>
              <w:right w:w="67" w:type="dxa"/>
            </w:tcMar>
            <w:vAlign w:val="center"/>
          </w:tcPr>
          <w:p w14:paraId="1312913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0.0339</w:t>
            </w:r>
          </w:p>
        </w:tc>
        <w:tc>
          <w:tcPr>
            <w:tcW w:w="1134" w:type="dxa"/>
            <w:tcBorders>
              <w:top w:val="nil"/>
              <w:left w:val="nil"/>
              <w:bottom w:val="nil"/>
              <w:right w:val="nil"/>
            </w:tcBorders>
            <w:shd w:val="clear" w:color="auto" w:fill="FFFFFF"/>
            <w:tcMar>
              <w:left w:w="67" w:type="dxa"/>
              <w:right w:w="67" w:type="dxa"/>
            </w:tcMar>
            <w:vAlign w:val="center"/>
          </w:tcPr>
          <w:p w14:paraId="4A5A553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-0.1335</w:t>
            </w:r>
          </w:p>
        </w:tc>
        <w:tc>
          <w:tcPr>
            <w:tcW w:w="1134" w:type="dxa"/>
            <w:tcBorders>
              <w:top w:val="nil"/>
              <w:left w:val="nil"/>
              <w:bottom w:val="nil"/>
              <w:right w:val="nil"/>
            </w:tcBorders>
            <w:shd w:val="clear" w:color="auto" w:fill="FFFFFF"/>
            <w:tcMar>
              <w:left w:w="67" w:type="dxa"/>
              <w:right w:w="67" w:type="dxa"/>
            </w:tcMar>
            <w:vAlign w:val="center"/>
          </w:tcPr>
          <w:p w14:paraId="0683A4C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0354331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2.87</w:t>
            </w:r>
          </w:p>
        </w:tc>
        <w:tc>
          <w:tcPr>
            <w:tcW w:w="567" w:type="dxa"/>
            <w:tcBorders>
              <w:top w:val="nil"/>
              <w:left w:val="nil"/>
              <w:bottom w:val="nil"/>
              <w:right w:val="nil"/>
            </w:tcBorders>
            <w:shd w:val="clear" w:color="auto" w:fill="FFFFFF"/>
            <w:tcMar>
              <w:left w:w="67" w:type="dxa"/>
              <w:right w:w="67" w:type="dxa"/>
            </w:tcMar>
            <w:vAlign w:val="center"/>
          </w:tcPr>
          <w:p w14:paraId="5037DA6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C3A43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0.0902</w:t>
            </w:r>
          </w:p>
        </w:tc>
      </w:tr>
      <w:tr w:rsidR="00B77EA3" w:rsidRPr="0082484A" w14:paraId="6AEE83D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440C2B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7379C3E2"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15CAF5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7BBE4D6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0.0086</w:t>
            </w:r>
          </w:p>
        </w:tc>
        <w:tc>
          <w:tcPr>
            <w:tcW w:w="1134" w:type="dxa"/>
            <w:tcBorders>
              <w:top w:val="nil"/>
              <w:left w:val="nil"/>
              <w:bottom w:val="nil"/>
              <w:right w:val="nil"/>
            </w:tcBorders>
            <w:shd w:val="clear" w:color="auto" w:fill="FFFFFF"/>
            <w:tcMar>
              <w:left w:w="67" w:type="dxa"/>
              <w:right w:w="67" w:type="dxa"/>
            </w:tcMar>
            <w:vAlign w:val="center"/>
          </w:tcPr>
          <w:p w14:paraId="4EAD45B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-0.0201</w:t>
            </w:r>
          </w:p>
        </w:tc>
        <w:tc>
          <w:tcPr>
            <w:tcW w:w="1134" w:type="dxa"/>
            <w:tcBorders>
              <w:top w:val="nil"/>
              <w:left w:val="nil"/>
              <w:bottom w:val="nil"/>
              <w:right w:val="nil"/>
            </w:tcBorders>
            <w:shd w:val="clear" w:color="auto" w:fill="FFFFFF"/>
            <w:tcMar>
              <w:left w:w="67" w:type="dxa"/>
              <w:right w:w="67" w:type="dxa"/>
            </w:tcMar>
            <w:vAlign w:val="center"/>
          </w:tcPr>
          <w:p w14:paraId="68590FF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0.0183</w:t>
            </w:r>
          </w:p>
        </w:tc>
        <w:tc>
          <w:tcPr>
            <w:tcW w:w="1134" w:type="dxa"/>
            <w:tcBorders>
              <w:top w:val="nil"/>
              <w:left w:val="nil"/>
              <w:bottom w:val="nil"/>
              <w:right w:val="nil"/>
            </w:tcBorders>
            <w:shd w:val="clear" w:color="auto" w:fill="FFFFFF"/>
            <w:tcMar>
              <w:left w:w="67" w:type="dxa"/>
              <w:right w:w="67" w:type="dxa"/>
            </w:tcMar>
            <w:vAlign w:val="center"/>
          </w:tcPr>
          <w:p w14:paraId="3BC577C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2191D8D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38F3D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0.9182</w:t>
            </w:r>
          </w:p>
        </w:tc>
      </w:tr>
      <w:tr w:rsidR="00B77EA3" w:rsidRPr="0082484A" w14:paraId="3AD26933"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B44FD7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0BC8BC9"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C4B516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0.1933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07F66F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0.2730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29CEE2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-0.4186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969871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0.8051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070624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27757B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76C24F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0.4789</w:t>
            </w:r>
          </w:p>
        </w:tc>
      </w:tr>
    </w:tbl>
    <w:p w14:paraId="351AAB16" w14:textId="75E514BA" w:rsidR="00B77EA3" w:rsidRPr="0082484A" w:rsidRDefault="00B77EA3" w:rsidP="00B77EA3">
      <w:pPr>
        <w:spacing w:before="0" w:line="240" w:lineRule="auto"/>
        <w:rPr>
          <w:sz w:val="22"/>
          <w:szCs w:val="22"/>
        </w:rPr>
      </w:pPr>
      <w:r w:rsidRPr="0082484A">
        <w:rPr>
          <w:bCs/>
          <w:color w:val="FF0000"/>
          <w:sz w:val="22"/>
          <w:szCs w:val="22"/>
        </w:rPr>
        <w:br w:type="page"/>
      </w:r>
      <w:bookmarkStart w:id="191" w:name="_Ref501634864"/>
      <w:bookmarkStart w:id="192" w:name="_Toc8728127"/>
      <w:bookmarkStart w:id="193" w:name="_Toc19526782"/>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53</w:t>
      </w:r>
      <w:r w:rsidRPr="0082484A">
        <w:rPr>
          <w:bCs/>
          <w:noProof/>
          <w:sz w:val="22"/>
          <w:szCs w:val="22"/>
        </w:rPr>
        <w:fldChar w:fldCharType="end"/>
      </w:r>
      <w:bookmarkEnd w:id="191"/>
      <w:r w:rsidRPr="0082484A">
        <w:rPr>
          <w:bCs/>
          <w:sz w:val="22"/>
          <w:szCs w:val="22"/>
        </w:rPr>
        <w:t>: Secondary outcome for Trial 1: Mean systolic blood pressure in diabetes trial population (i.e. diabetes control arm vs risky prescribing arm) (WP4A)</w:t>
      </w:r>
      <w:bookmarkEnd w:id="192"/>
      <w:bookmarkEnd w:id="193"/>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651B5606"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B223180" w14:textId="77777777" w:rsidR="00B77EA3" w:rsidRPr="0082484A" w:rsidRDefault="00B77EA3" w:rsidP="00B77EA3">
            <w:pPr>
              <w:adjustRightInd w:val="0"/>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9D1D26B"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1822153"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8452772"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0072665"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D58AC55"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DD82932"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8B147B8"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4192E8A"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P-value</w:t>
            </w:r>
          </w:p>
        </w:tc>
      </w:tr>
      <w:tr w:rsidR="00B77EA3" w:rsidRPr="0082484A" w14:paraId="22DDABF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4C0019D"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50AD14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implementation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B0B8A8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-0.0361</w:t>
            </w:r>
          </w:p>
        </w:tc>
        <w:tc>
          <w:tcPr>
            <w:tcW w:w="1134" w:type="dxa"/>
            <w:tcBorders>
              <w:top w:val="nil"/>
              <w:left w:val="nil"/>
              <w:bottom w:val="nil"/>
              <w:right w:val="nil"/>
            </w:tcBorders>
            <w:shd w:val="clear" w:color="auto" w:fill="FFFFFF"/>
            <w:tcMar>
              <w:left w:w="67" w:type="dxa"/>
              <w:right w:w="67" w:type="dxa"/>
            </w:tcMar>
            <w:vAlign w:val="center"/>
          </w:tcPr>
          <w:p w14:paraId="04CF236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0.6486</w:t>
            </w:r>
          </w:p>
        </w:tc>
        <w:tc>
          <w:tcPr>
            <w:tcW w:w="1134" w:type="dxa"/>
            <w:tcBorders>
              <w:top w:val="nil"/>
              <w:left w:val="nil"/>
              <w:bottom w:val="nil"/>
              <w:right w:val="nil"/>
            </w:tcBorders>
            <w:shd w:val="clear" w:color="auto" w:fill="FFFFFF"/>
            <w:tcMar>
              <w:left w:w="67" w:type="dxa"/>
              <w:right w:w="67" w:type="dxa"/>
            </w:tcMar>
            <w:vAlign w:val="center"/>
          </w:tcPr>
          <w:p w14:paraId="198F157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-1.4900</w:t>
            </w:r>
          </w:p>
        </w:tc>
        <w:tc>
          <w:tcPr>
            <w:tcW w:w="1134" w:type="dxa"/>
            <w:tcBorders>
              <w:top w:val="nil"/>
              <w:left w:val="nil"/>
              <w:bottom w:val="nil"/>
              <w:right w:val="nil"/>
            </w:tcBorders>
            <w:shd w:val="clear" w:color="auto" w:fill="FFFFFF"/>
            <w:tcMar>
              <w:left w:w="67" w:type="dxa"/>
              <w:right w:w="67" w:type="dxa"/>
            </w:tcMar>
            <w:vAlign w:val="center"/>
          </w:tcPr>
          <w:p w14:paraId="2138572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1.4178</w:t>
            </w:r>
          </w:p>
        </w:tc>
        <w:tc>
          <w:tcPr>
            <w:tcW w:w="1134" w:type="dxa"/>
            <w:tcBorders>
              <w:top w:val="nil"/>
              <w:left w:val="nil"/>
              <w:bottom w:val="nil"/>
              <w:right w:val="nil"/>
            </w:tcBorders>
            <w:shd w:val="clear" w:color="auto" w:fill="FFFFFF"/>
            <w:tcMar>
              <w:left w:w="67" w:type="dxa"/>
              <w:right w:w="67" w:type="dxa"/>
            </w:tcMar>
            <w:vAlign w:val="center"/>
          </w:tcPr>
          <w:p w14:paraId="0973EE2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3F83FB2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545D3D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0.9556</w:t>
            </w:r>
          </w:p>
        </w:tc>
      </w:tr>
      <w:tr w:rsidR="00B77EA3" w:rsidRPr="0082484A" w14:paraId="11E722C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D19EA2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5639D84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Female vs. Male</w:t>
            </w:r>
          </w:p>
        </w:tc>
        <w:tc>
          <w:tcPr>
            <w:tcW w:w="1134" w:type="dxa"/>
            <w:tcBorders>
              <w:top w:val="nil"/>
              <w:left w:val="nil"/>
              <w:bottom w:val="nil"/>
              <w:right w:val="nil"/>
            </w:tcBorders>
            <w:shd w:val="clear" w:color="auto" w:fill="FFFFFF"/>
            <w:tcMar>
              <w:left w:w="67" w:type="dxa"/>
              <w:right w:w="67" w:type="dxa"/>
            </w:tcMar>
            <w:vAlign w:val="center"/>
          </w:tcPr>
          <w:p w14:paraId="042BE9E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0.5034</w:t>
            </w:r>
          </w:p>
        </w:tc>
        <w:tc>
          <w:tcPr>
            <w:tcW w:w="1134" w:type="dxa"/>
            <w:tcBorders>
              <w:top w:val="nil"/>
              <w:left w:val="nil"/>
              <w:bottom w:val="nil"/>
              <w:right w:val="nil"/>
            </w:tcBorders>
            <w:shd w:val="clear" w:color="auto" w:fill="FFFFFF"/>
            <w:tcMar>
              <w:left w:w="67" w:type="dxa"/>
              <w:right w:w="67" w:type="dxa"/>
            </w:tcMar>
            <w:vAlign w:val="center"/>
          </w:tcPr>
          <w:p w14:paraId="23B8F3E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0.1679</w:t>
            </w:r>
          </w:p>
        </w:tc>
        <w:tc>
          <w:tcPr>
            <w:tcW w:w="1134" w:type="dxa"/>
            <w:tcBorders>
              <w:top w:val="nil"/>
              <w:left w:val="nil"/>
              <w:bottom w:val="nil"/>
              <w:right w:val="nil"/>
            </w:tcBorders>
            <w:shd w:val="clear" w:color="auto" w:fill="FFFFFF"/>
            <w:tcMar>
              <w:left w:w="67" w:type="dxa"/>
              <w:right w:w="67" w:type="dxa"/>
            </w:tcMar>
            <w:vAlign w:val="center"/>
          </w:tcPr>
          <w:p w14:paraId="097276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0.1270</w:t>
            </w:r>
          </w:p>
        </w:tc>
        <w:tc>
          <w:tcPr>
            <w:tcW w:w="1134" w:type="dxa"/>
            <w:tcBorders>
              <w:top w:val="nil"/>
              <w:left w:val="nil"/>
              <w:bottom w:val="nil"/>
              <w:right w:val="nil"/>
            </w:tcBorders>
            <w:shd w:val="clear" w:color="auto" w:fill="FFFFFF"/>
            <w:tcMar>
              <w:left w:w="67" w:type="dxa"/>
              <w:right w:w="67" w:type="dxa"/>
            </w:tcMar>
            <w:vAlign w:val="center"/>
          </w:tcPr>
          <w:p w14:paraId="073DECC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0.8798</w:t>
            </w:r>
          </w:p>
        </w:tc>
        <w:tc>
          <w:tcPr>
            <w:tcW w:w="1134" w:type="dxa"/>
            <w:tcBorders>
              <w:top w:val="nil"/>
              <w:left w:val="nil"/>
              <w:bottom w:val="nil"/>
              <w:right w:val="nil"/>
            </w:tcBorders>
            <w:shd w:val="clear" w:color="auto" w:fill="FFFFFF"/>
            <w:tcMar>
              <w:left w:w="67" w:type="dxa"/>
              <w:right w:w="67" w:type="dxa"/>
            </w:tcMar>
            <w:vAlign w:val="center"/>
          </w:tcPr>
          <w:p w14:paraId="6DB19C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8.99</w:t>
            </w:r>
          </w:p>
        </w:tc>
        <w:tc>
          <w:tcPr>
            <w:tcW w:w="567" w:type="dxa"/>
            <w:tcBorders>
              <w:top w:val="nil"/>
              <w:left w:val="nil"/>
              <w:bottom w:val="nil"/>
              <w:right w:val="nil"/>
            </w:tcBorders>
            <w:shd w:val="clear" w:color="auto" w:fill="FFFFFF"/>
            <w:tcMar>
              <w:left w:w="67" w:type="dxa"/>
              <w:right w:w="67" w:type="dxa"/>
            </w:tcMar>
            <w:vAlign w:val="center"/>
          </w:tcPr>
          <w:p w14:paraId="51DC56F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019CC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0.0027</w:t>
            </w:r>
          </w:p>
        </w:tc>
      </w:tr>
      <w:tr w:rsidR="00B77EA3" w:rsidRPr="0082484A" w14:paraId="0DDF8E5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B2D1802"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3BFEF30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3EBDEF0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0.1147</w:t>
            </w:r>
          </w:p>
        </w:tc>
        <w:tc>
          <w:tcPr>
            <w:tcW w:w="1134" w:type="dxa"/>
            <w:tcBorders>
              <w:top w:val="nil"/>
              <w:left w:val="nil"/>
              <w:bottom w:val="nil"/>
              <w:right w:val="nil"/>
            </w:tcBorders>
            <w:shd w:val="clear" w:color="auto" w:fill="FFFFFF"/>
            <w:tcMar>
              <w:left w:w="67" w:type="dxa"/>
              <w:right w:w="67" w:type="dxa"/>
            </w:tcMar>
            <w:vAlign w:val="center"/>
          </w:tcPr>
          <w:p w14:paraId="178845E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0.0063</w:t>
            </w:r>
          </w:p>
        </w:tc>
        <w:tc>
          <w:tcPr>
            <w:tcW w:w="1134" w:type="dxa"/>
            <w:tcBorders>
              <w:top w:val="nil"/>
              <w:left w:val="nil"/>
              <w:bottom w:val="nil"/>
              <w:right w:val="nil"/>
            </w:tcBorders>
            <w:shd w:val="clear" w:color="auto" w:fill="FFFFFF"/>
            <w:tcMar>
              <w:left w:w="67" w:type="dxa"/>
              <w:right w:w="67" w:type="dxa"/>
            </w:tcMar>
            <w:vAlign w:val="center"/>
          </w:tcPr>
          <w:p w14:paraId="61ED63C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0.1007</w:t>
            </w:r>
          </w:p>
        </w:tc>
        <w:tc>
          <w:tcPr>
            <w:tcW w:w="1134" w:type="dxa"/>
            <w:tcBorders>
              <w:top w:val="nil"/>
              <w:left w:val="nil"/>
              <w:bottom w:val="nil"/>
              <w:right w:val="nil"/>
            </w:tcBorders>
            <w:shd w:val="clear" w:color="auto" w:fill="FFFFFF"/>
            <w:tcMar>
              <w:left w:w="67" w:type="dxa"/>
              <w:right w:w="67" w:type="dxa"/>
            </w:tcMar>
            <w:vAlign w:val="center"/>
          </w:tcPr>
          <w:p w14:paraId="6B1A05C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0.1288</w:t>
            </w:r>
          </w:p>
        </w:tc>
        <w:tc>
          <w:tcPr>
            <w:tcW w:w="1134" w:type="dxa"/>
            <w:tcBorders>
              <w:top w:val="nil"/>
              <w:left w:val="nil"/>
              <w:bottom w:val="nil"/>
              <w:right w:val="nil"/>
            </w:tcBorders>
            <w:shd w:val="clear" w:color="auto" w:fill="FFFFFF"/>
            <w:tcMar>
              <w:left w:w="67" w:type="dxa"/>
              <w:right w:w="67" w:type="dxa"/>
            </w:tcMar>
            <w:vAlign w:val="center"/>
          </w:tcPr>
          <w:p w14:paraId="605DD6B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334.91</w:t>
            </w:r>
          </w:p>
        </w:tc>
        <w:tc>
          <w:tcPr>
            <w:tcW w:w="567" w:type="dxa"/>
            <w:tcBorders>
              <w:top w:val="nil"/>
              <w:left w:val="nil"/>
              <w:bottom w:val="nil"/>
              <w:right w:val="nil"/>
            </w:tcBorders>
            <w:shd w:val="clear" w:color="auto" w:fill="FFFFFF"/>
            <w:tcMar>
              <w:left w:w="67" w:type="dxa"/>
              <w:right w:w="67" w:type="dxa"/>
            </w:tcMar>
            <w:vAlign w:val="center"/>
          </w:tcPr>
          <w:p w14:paraId="0B027EA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C1762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30D6FAF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463778A"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6EDD93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6DB355B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-0.0113</w:t>
            </w:r>
          </w:p>
        </w:tc>
        <w:tc>
          <w:tcPr>
            <w:tcW w:w="1134" w:type="dxa"/>
            <w:tcBorders>
              <w:top w:val="nil"/>
              <w:left w:val="nil"/>
              <w:bottom w:val="nil"/>
              <w:right w:val="nil"/>
            </w:tcBorders>
            <w:shd w:val="clear" w:color="auto" w:fill="FFFFFF"/>
            <w:tcMar>
              <w:left w:w="67" w:type="dxa"/>
              <w:right w:w="67" w:type="dxa"/>
            </w:tcMar>
            <w:vAlign w:val="center"/>
          </w:tcPr>
          <w:p w14:paraId="13EC50E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0.0098</w:t>
            </w:r>
          </w:p>
        </w:tc>
        <w:tc>
          <w:tcPr>
            <w:tcW w:w="1134" w:type="dxa"/>
            <w:tcBorders>
              <w:top w:val="nil"/>
              <w:left w:val="nil"/>
              <w:bottom w:val="nil"/>
              <w:right w:val="nil"/>
            </w:tcBorders>
            <w:shd w:val="clear" w:color="auto" w:fill="FFFFFF"/>
            <w:tcMar>
              <w:left w:w="67" w:type="dxa"/>
              <w:right w:w="67" w:type="dxa"/>
            </w:tcMar>
            <w:vAlign w:val="center"/>
          </w:tcPr>
          <w:p w14:paraId="6BE89ED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-0.0333</w:t>
            </w:r>
          </w:p>
        </w:tc>
        <w:tc>
          <w:tcPr>
            <w:tcW w:w="1134" w:type="dxa"/>
            <w:tcBorders>
              <w:top w:val="nil"/>
              <w:left w:val="nil"/>
              <w:bottom w:val="nil"/>
              <w:right w:val="nil"/>
            </w:tcBorders>
            <w:shd w:val="clear" w:color="auto" w:fill="FFFFFF"/>
            <w:tcMar>
              <w:left w:w="67" w:type="dxa"/>
              <w:right w:w="67" w:type="dxa"/>
            </w:tcMar>
            <w:vAlign w:val="center"/>
          </w:tcPr>
          <w:p w14:paraId="5622475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0.0107</w:t>
            </w:r>
          </w:p>
        </w:tc>
        <w:tc>
          <w:tcPr>
            <w:tcW w:w="1134" w:type="dxa"/>
            <w:tcBorders>
              <w:top w:val="nil"/>
              <w:left w:val="nil"/>
              <w:bottom w:val="nil"/>
              <w:right w:val="nil"/>
            </w:tcBorders>
            <w:shd w:val="clear" w:color="auto" w:fill="FFFFFF"/>
            <w:tcMar>
              <w:left w:w="67" w:type="dxa"/>
              <w:right w:w="67" w:type="dxa"/>
            </w:tcMar>
            <w:vAlign w:val="center"/>
          </w:tcPr>
          <w:p w14:paraId="7C16C4A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1.32</w:t>
            </w:r>
          </w:p>
        </w:tc>
        <w:tc>
          <w:tcPr>
            <w:tcW w:w="567" w:type="dxa"/>
            <w:tcBorders>
              <w:top w:val="nil"/>
              <w:left w:val="nil"/>
              <w:bottom w:val="nil"/>
              <w:right w:val="nil"/>
            </w:tcBorders>
            <w:shd w:val="clear" w:color="auto" w:fill="FFFFFF"/>
            <w:tcMar>
              <w:left w:w="67" w:type="dxa"/>
              <w:right w:w="67" w:type="dxa"/>
            </w:tcMar>
            <w:vAlign w:val="center"/>
          </w:tcPr>
          <w:p w14:paraId="1083B09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71A23A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0.2505</w:t>
            </w:r>
          </w:p>
        </w:tc>
      </w:tr>
      <w:tr w:rsidR="00B77EA3" w:rsidRPr="0082484A" w14:paraId="67E97F8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2659C4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F2960D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1757E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1.4850</w:t>
            </w:r>
          </w:p>
        </w:tc>
        <w:tc>
          <w:tcPr>
            <w:tcW w:w="1134" w:type="dxa"/>
            <w:tcBorders>
              <w:top w:val="nil"/>
              <w:left w:val="nil"/>
              <w:bottom w:val="nil"/>
              <w:right w:val="nil"/>
            </w:tcBorders>
            <w:shd w:val="clear" w:color="auto" w:fill="FFFFFF"/>
            <w:tcMar>
              <w:left w:w="67" w:type="dxa"/>
              <w:right w:w="67" w:type="dxa"/>
            </w:tcMar>
            <w:vAlign w:val="center"/>
          </w:tcPr>
          <w:p w14:paraId="1377B07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1.7812</w:t>
            </w:r>
          </w:p>
        </w:tc>
        <w:tc>
          <w:tcPr>
            <w:tcW w:w="1134" w:type="dxa"/>
            <w:tcBorders>
              <w:top w:val="nil"/>
              <w:left w:val="nil"/>
              <w:bottom w:val="nil"/>
              <w:right w:val="nil"/>
            </w:tcBorders>
            <w:shd w:val="clear" w:color="auto" w:fill="FFFFFF"/>
            <w:tcMar>
              <w:left w:w="67" w:type="dxa"/>
              <w:right w:w="67" w:type="dxa"/>
            </w:tcMar>
            <w:vAlign w:val="center"/>
          </w:tcPr>
          <w:p w14:paraId="71BA813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-2.5075</w:t>
            </w:r>
          </w:p>
        </w:tc>
        <w:tc>
          <w:tcPr>
            <w:tcW w:w="1134" w:type="dxa"/>
            <w:tcBorders>
              <w:top w:val="nil"/>
              <w:left w:val="nil"/>
              <w:bottom w:val="nil"/>
              <w:right w:val="nil"/>
            </w:tcBorders>
            <w:shd w:val="clear" w:color="auto" w:fill="FFFFFF"/>
            <w:tcMar>
              <w:left w:w="67" w:type="dxa"/>
              <w:right w:w="67" w:type="dxa"/>
            </w:tcMar>
            <w:vAlign w:val="center"/>
          </w:tcPr>
          <w:p w14:paraId="1AFB8C6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5.4776</w:t>
            </w:r>
          </w:p>
        </w:tc>
        <w:tc>
          <w:tcPr>
            <w:tcW w:w="1134" w:type="dxa"/>
            <w:tcBorders>
              <w:top w:val="nil"/>
              <w:left w:val="nil"/>
              <w:bottom w:val="nil"/>
              <w:right w:val="nil"/>
            </w:tcBorders>
            <w:shd w:val="clear" w:color="auto" w:fill="FFFFFF"/>
            <w:tcMar>
              <w:left w:w="67" w:type="dxa"/>
              <w:right w:w="67" w:type="dxa"/>
            </w:tcMar>
            <w:vAlign w:val="center"/>
          </w:tcPr>
          <w:p w14:paraId="3F4652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0.72</w:t>
            </w:r>
          </w:p>
        </w:tc>
        <w:tc>
          <w:tcPr>
            <w:tcW w:w="567" w:type="dxa"/>
            <w:tcBorders>
              <w:top w:val="nil"/>
              <w:left w:val="nil"/>
              <w:bottom w:val="nil"/>
              <w:right w:val="nil"/>
            </w:tcBorders>
            <w:shd w:val="clear" w:color="auto" w:fill="FFFFFF"/>
            <w:tcMar>
              <w:left w:w="67" w:type="dxa"/>
              <w:right w:w="67" w:type="dxa"/>
            </w:tcMar>
            <w:vAlign w:val="center"/>
          </w:tcPr>
          <w:p w14:paraId="07CCD90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8AFB61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0.6874</w:t>
            </w:r>
          </w:p>
        </w:tc>
      </w:tr>
      <w:tr w:rsidR="00B77EA3" w:rsidRPr="0082484A" w14:paraId="05127EC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3CF0CFB"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931BAF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3DEA85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-0.6727</w:t>
            </w:r>
          </w:p>
        </w:tc>
        <w:tc>
          <w:tcPr>
            <w:tcW w:w="1134" w:type="dxa"/>
            <w:tcBorders>
              <w:top w:val="nil"/>
              <w:left w:val="nil"/>
              <w:bottom w:val="nil"/>
              <w:right w:val="nil"/>
            </w:tcBorders>
            <w:shd w:val="clear" w:color="auto" w:fill="FFFFFF"/>
            <w:tcMar>
              <w:left w:w="67" w:type="dxa"/>
              <w:right w:w="67" w:type="dxa"/>
            </w:tcMar>
            <w:vAlign w:val="center"/>
          </w:tcPr>
          <w:p w14:paraId="4FEDE3A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1.5614</w:t>
            </w:r>
          </w:p>
        </w:tc>
        <w:tc>
          <w:tcPr>
            <w:tcW w:w="1134" w:type="dxa"/>
            <w:tcBorders>
              <w:top w:val="nil"/>
              <w:left w:val="nil"/>
              <w:bottom w:val="nil"/>
              <w:right w:val="nil"/>
            </w:tcBorders>
            <w:shd w:val="clear" w:color="auto" w:fill="FFFFFF"/>
            <w:tcMar>
              <w:left w:w="67" w:type="dxa"/>
              <w:right w:w="67" w:type="dxa"/>
            </w:tcMar>
            <w:vAlign w:val="center"/>
          </w:tcPr>
          <w:p w14:paraId="744479A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-4.1726</w:t>
            </w:r>
          </w:p>
        </w:tc>
        <w:tc>
          <w:tcPr>
            <w:tcW w:w="1134" w:type="dxa"/>
            <w:tcBorders>
              <w:top w:val="nil"/>
              <w:left w:val="nil"/>
              <w:bottom w:val="nil"/>
              <w:right w:val="nil"/>
            </w:tcBorders>
            <w:shd w:val="clear" w:color="auto" w:fill="FFFFFF"/>
            <w:tcMar>
              <w:left w:w="67" w:type="dxa"/>
              <w:right w:w="67" w:type="dxa"/>
            </w:tcMar>
            <w:vAlign w:val="center"/>
          </w:tcPr>
          <w:p w14:paraId="01FAF32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2.8272</w:t>
            </w:r>
          </w:p>
        </w:tc>
        <w:tc>
          <w:tcPr>
            <w:tcW w:w="1134" w:type="dxa"/>
            <w:tcBorders>
              <w:top w:val="nil"/>
              <w:left w:val="nil"/>
              <w:bottom w:val="nil"/>
              <w:right w:val="nil"/>
            </w:tcBorders>
            <w:shd w:val="clear" w:color="auto" w:fill="FFFFFF"/>
            <w:tcMar>
              <w:left w:w="67" w:type="dxa"/>
              <w:right w:w="67" w:type="dxa"/>
            </w:tcMar>
            <w:vAlign w:val="center"/>
          </w:tcPr>
          <w:p w14:paraId="134ED4BF"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24451FE"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0A6D5E"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2F9C9BA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197352C"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0DFA36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E8BF4F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-1.3201</w:t>
            </w:r>
          </w:p>
        </w:tc>
        <w:tc>
          <w:tcPr>
            <w:tcW w:w="1134" w:type="dxa"/>
            <w:tcBorders>
              <w:top w:val="nil"/>
              <w:left w:val="nil"/>
              <w:bottom w:val="nil"/>
              <w:right w:val="nil"/>
            </w:tcBorders>
            <w:shd w:val="clear" w:color="auto" w:fill="FFFFFF"/>
            <w:tcMar>
              <w:left w:w="67" w:type="dxa"/>
              <w:right w:w="67" w:type="dxa"/>
            </w:tcMar>
            <w:vAlign w:val="center"/>
          </w:tcPr>
          <w:p w14:paraId="0A41861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1.1399</w:t>
            </w:r>
          </w:p>
        </w:tc>
        <w:tc>
          <w:tcPr>
            <w:tcW w:w="1134" w:type="dxa"/>
            <w:tcBorders>
              <w:top w:val="nil"/>
              <w:left w:val="nil"/>
              <w:bottom w:val="nil"/>
              <w:right w:val="nil"/>
            </w:tcBorders>
            <w:shd w:val="clear" w:color="auto" w:fill="FFFFFF"/>
            <w:tcMar>
              <w:left w:w="67" w:type="dxa"/>
              <w:right w:w="67" w:type="dxa"/>
            </w:tcMar>
            <w:vAlign w:val="center"/>
          </w:tcPr>
          <w:p w14:paraId="0EC1080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-3.8751</w:t>
            </w:r>
          </w:p>
        </w:tc>
        <w:tc>
          <w:tcPr>
            <w:tcW w:w="1134" w:type="dxa"/>
            <w:tcBorders>
              <w:top w:val="nil"/>
              <w:left w:val="nil"/>
              <w:bottom w:val="nil"/>
              <w:right w:val="nil"/>
            </w:tcBorders>
            <w:shd w:val="clear" w:color="auto" w:fill="FFFFFF"/>
            <w:tcMar>
              <w:left w:w="67" w:type="dxa"/>
              <w:right w:w="67" w:type="dxa"/>
            </w:tcMar>
            <w:vAlign w:val="center"/>
          </w:tcPr>
          <w:p w14:paraId="1E5DC3D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1.2349</w:t>
            </w:r>
          </w:p>
        </w:tc>
        <w:tc>
          <w:tcPr>
            <w:tcW w:w="1134" w:type="dxa"/>
            <w:tcBorders>
              <w:top w:val="nil"/>
              <w:left w:val="nil"/>
              <w:bottom w:val="nil"/>
              <w:right w:val="nil"/>
            </w:tcBorders>
            <w:shd w:val="clear" w:color="auto" w:fill="FFFFFF"/>
            <w:tcMar>
              <w:left w:w="67" w:type="dxa"/>
              <w:right w:w="67" w:type="dxa"/>
            </w:tcMar>
            <w:vAlign w:val="center"/>
          </w:tcPr>
          <w:p w14:paraId="0E2E0983"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72F9F3D"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8FCA6ED"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07142DF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60D23ED"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127FA0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5B01B4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0.6920</w:t>
            </w:r>
          </w:p>
        </w:tc>
        <w:tc>
          <w:tcPr>
            <w:tcW w:w="1134" w:type="dxa"/>
            <w:tcBorders>
              <w:top w:val="nil"/>
              <w:left w:val="nil"/>
              <w:bottom w:val="nil"/>
              <w:right w:val="nil"/>
            </w:tcBorders>
            <w:shd w:val="clear" w:color="auto" w:fill="FFFFFF"/>
            <w:tcMar>
              <w:left w:w="67" w:type="dxa"/>
              <w:right w:w="67" w:type="dxa"/>
            </w:tcMar>
            <w:vAlign w:val="center"/>
          </w:tcPr>
          <w:p w14:paraId="6013AE9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1.5904</w:t>
            </w:r>
          </w:p>
        </w:tc>
        <w:tc>
          <w:tcPr>
            <w:tcW w:w="1134" w:type="dxa"/>
            <w:tcBorders>
              <w:top w:val="nil"/>
              <w:left w:val="nil"/>
              <w:bottom w:val="nil"/>
              <w:right w:val="nil"/>
            </w:tcBorders>
            <w:shd w:val="clear" w:color="auto" w:fill="FFFFFF"/>
            <w:tcMar>
              <w:left w:w="67" w:type="dxa"/>
              <w:right w:w="67" w:type="dxa"/>
            </w:tcMar>
            <w:vAlign w:val="center"/>
          </w:tcPr>
          <w:p w14:paraId="6E1CAB7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-2.8729</w:t>
            </w:r>
          </w:p>
        </w:tc>
        <w:tc>
          <w:tcPr>
            <w:tcW w:w="1134" w:type="dxa"/>
            <w:tcBorders>
              <w:top w:val="nil"/>
              <w:left w:val="nil"/>
              <w:bottom w:val="nil"/>
              <w:right w:val="nil"/>
            </w:tcBorders>
            <w:shd w:val="clear" w:color="auto" w:fill="FFFFFF"/>
            <w:tcMar>
              <w:left w:w="67" w:type="dxa"/>
              <w:right w:w="67" w:type="dxa"/>
            </w:tcMar>
            <w:vAlign w:val="center"/>
          </w:tcPr>
          <w:p w14:paraId="5CEBF12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4.2570</w:t>
            </w:r>
          </w:p>
        </w:tc>
        <w:tc>
          <w:tcPr>
            <w:tcW w:w="1134" w:type="dxa"/>
            <w:tcBorders>
              <w:top w:val="nil"/>
              <w:left w:val="nil"/>
              <w:bottom w:val="nil"/>
              <w:right w:val="nil"/>
            </w:tcBorders>
            <w:shd w:val="clear" w:color="auto" w:fill="FFFFFF"/>
            <w:tcMar>
              <w:left w:w="67" w:type="dxa"/>
              <w:right w:w="67" w:type="dxa"/>
            </w:tcMar>
            <w:vAlign w:val="center"/>
          </w:tcPr>
          <w:p w14:paraId="628FC3C7"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0569C3C"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5B475B3"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6EC077A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C334F3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771E01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6ADE12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0.3334</w:t>
            </w:r>
          </w:p>
        </w:tc>
        <w:tc>
          <w:tcPr>
            <w:tcW w:w="1134" w:type="dxa"/>
            <w:tcBorders>
              <w:top w:val="nil"/>
              <w:left w:val="nil"/>
              <w:bottom w:val="nil"/>
              <w:right w:val="nil"/>
            </w:tcBorders>
            <w:shd w:val="clear" w:color="auto" w:fill="FFFFFF"/>
            <w:tcMar>
              <w:left w:w="67" w:type="dxa"/>
              <w:right w:w="67" w:type="dxa"/>
            </w:tcMar>
            <w:vAlign w:val="center"/>
          </w:tcPr>
          <w:p w14:paraId="07A2EA5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1.5596</w:t>
            </w:r>
          </w:p>
        </w:tc>
        <w:tc>
          <w:tcPr>
            <w:tcW w:w="1134" w:type="dxa"/>
            <w:tcBorders>
              <w:top w:val="nil"/>
              <w:left w:val="nil"/>
              <w:bottom w:val="nil"/>
              <w:right w:val="nil"/>
            </w:tcBorders>
            <w:shd w:val="clear" w:color="auto" w:fill="FFFFFF"/>
            <w:tcMar>
              <w:left w:w="67" w:type="dxa"/>
              <w:right w:w="67" w:type="dxa"/>
            </w:tcMar>
            <w:vAlign w:val="center"/>
          </w:tcPr>
          <w:p w14:paraId="1003B67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-3.1624</w:t>
            </w:r>
          </w:p>
        </w:tc>
        <w:tc>
          <w:tcPr>
            <w:tcW w:w="1134" w:type="dxa"/>
            <w:tcBorders>
              <w:top w:val="nil"/>
              <w:left w:val="nil"/>
              <w:bottom w:val="nil"/>
              <w:right w:val="nil"/>
            </w:tcBorders>
            <w:shd w:val="clear" w:color="auto" w:fill="FFFFFF"/>
            <w:tcMar>
              <w:left w:w="67" w:type="dxa"/>
              <w:right w:w="67" w:type="dxa"/>
            </w:tcMar>
            <w:vAlign w:val="center"/>
          </w:tcPr>
          <w:p w14:paraId="797AA31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3.8293</w:t>
            </w:r>
          </w:p>
        </w:tc>
        <w:tc>
          <w:tcPr>
            <w:tcW w:w="1134" w:type="dxa"/>
            <w:tcBorders>
              <w:top w:val="nil"/>
              <w:left w:val="nil"/>
              <w:bottom w:val="nil"/>
              <w:right w:val="nil"/>
            </w:tcBorders>
            <w:shd w:val="clear" w:color="auto" w:fill="FFFFFF"/>
            <w:tcMar>
              <w:left w:w="67" w:type="dxa"/>
              <w:right w:w="67" w:type="dxa"/>
            </w:tcMar>
            <w:vAlign w:val="center"/>
          </w:tcPr>
          <w:p w14:paraId="70CF1F8A"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4F9D2EA"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1D3680"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5206938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8BB59D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672B05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8E524D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-1.8836</w:t>
            </w:r>
          </w:p>
        </w:tc>
        <w:tc>
          <w:tcPr>
            <w:tcW w:w="1134" w:type="dxa"/>
            <w:tcBorders>
              <w:top w:val="nil"/>
              <w:left w:val="nil"/>
              <w:bottom w:val="nil"/>
              <w:right w:val="nil"/>
            </w:tcBorders>
            <w:shd w:val="clear" w:color="auto" w:fill="FFFFFF"/>
            <w:tcMar>
              <w:left w:w="67" w:type="dxa"/>
              <w:right w:w="67" w:type="dxa"/>
            </w:tcMar>
            <w:vAlign w:val="center"/>
          </w:tcPr>
          <w:p w14:paraId="79C367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1.7545</w:t>
            </w:r>
          </w:p>
        </w:tc>
        <w:tc>
          <w:tcPr>
            <w:tcW w:w="1134" w:type="dxa"/>
            <w:tcBorders>
              <w:top w:val="nil"/>
              <w:left w:val="nil"/>
              <w:bottom w:val="nil"/>
              <w:right w:val="nil"/>
            </w:tcBorders>
            <w:shd w:val="clear" w:color="auto" w:fill="FFFFFF"/>
            <w:tcMar>
              <w:left w:w="67" w:type="dxa"/>
              <w:right w:w="67" w:type="dxa"/>
            </w:tcMar>
            <w:vAlign w:val="center"/>
          </w:tcPr>
          <w:p w14:paraId="587514C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-5.8163</w:t>
            </w:r>
          </w:p>
        </w:tc>
        <w:tc>
          <w:tcPr>
            <w:tcW w:w="1134" w:type="dxa"/>
            <w:tcBorders>
              <w:top w:val="nil"/>
              <w:left w:val="nil"/>
              <w:bottom w:val="nil"/>
              <w:right w:val="nil"/>
            </w:tcBorders>
            <w:shd w:val="clear" w:color="auto" w:fill="FFFFFF"/>
            <w:tcMar>
              <w:left w:w="67" w:type="dxa"/>
              <w:right w:w="67" w:type="dxa"/>
            </w:tcMar>
            <w:vAlign w:val="center"/>
          </w:tcPr>
          <w:p w14:paraId="1EAB01D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2.0491</w:t>
            </w:r>
          </w:p>
        </w:tc>
        <w:tc>
          <w:tcPr>
            <w:tcW w:w="1134" w:type="dxa"/>
            <w:tcBorders>
              <w:top w:val="nil"/>
              <w:left w:val="nil"/>
              <w:bottom w:val="nil"/>
              <w:right w:val="nil"/>
            </w:tcBorders>
            <w:shd w:val="clear" w:color="auto" w:fill="FFFFFF"/>
            <w:tcMar>
              <w:left w:w="67" w:type="dxa"/>
              <w:right w:w="67" w:type="dxa"/>
            </w:tcMar>
            <w:vAlign w:val="center"/>
          </w:tcPr>
          <w:p w14:paraId="21717B81"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99BCFC5"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7E6C1F"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3BA7057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56EA6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E6B400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383C80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-0.6526</w:t>
            </w:r>
          </w:p>
        </w:tc>
        <w:tc>
          <w:tcPr>
            <w:tcW w:w="1134" w:type="dxa"/>
            <w:tcBorders>
              <w:top w:val="nil"/>
              <w:left w:val="nil"/>
              <w:bottom w:val="nil"/>
              <w:right w:val="nil"/>
            </w:tcBorders>
            <w:shd w:val="clear" w:color="auto" w:fill="FFFFFF"/>
            <w:tcMar>
              <w:left w:w="67" w:type="dxa"/>
              <w:right w:w="67" w:type="dxa"/>
            </w:tcMar>
            <w:vAlign w:val="center"/>
          </w:tcPr>
          <w:p w14:paraId="019E521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1.3570</w:t>
            </w:r>
          </w:p>
        </w:tc>
        <w:tc>
          <w:tcPr>
            <w:tcW w:w="1134" w:type="dxa"/>
            <w:tcBorders>
              <w:top w:val="nil"/>
              <w:left w:val="nil"/>
              <w:bottom w:val="nil"/>
              <w:right w:val="nil"/>
            </w:tcBorders>
            <w:shd w:val="clear" w:color="auto" w:fill="FFFFFF"/>
            <w:tcMar>
              <w:left w:w="67" w:type="dxa"/>
              <w:right w:w="67" w:type="dxa"/>
            </w:tcMar>
            <w:vAlign w:val="center"/>
          </w:tcPr>
          <w:p w14:paraId="31C0457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-3.6944</w:t>
            </w:r>
          </w:p>
        </w:tc>
        <w:tc>
          <w:tcPr>
            <w:tcW w:w="1134" w:type="dxa"/>
            <w:tcBorders>
              <w:top w:val="nil"/>
              <w:left w:val="nil"/>
              <w:bottom w:val="nil"/>
              <w:right w:val="nil"/>
            </w:tcBorders>
            <w:shd w:val="clear" w:color="auto" w:fill="FFFFFF"/>
            <w:tcMar>
              <w:left w:w="67" w:type="dxa"/>
              <w:right w:w="67" w:type="dxa"/>
            </w:tcMar>
            <w:vAlign w:val="center"/>
          </w:tcPr>
          <w:p w14:paraId="38361C3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2.3892</w:t>
            </w:r>
          </w:p>
        </w:tc>
        <w:tc>
          <w:tcPr>
            <w:tcW w:w="1134" w:type="dxa"/>
            <w:tcBorders>
              <w:top w:val="nil"/>
              <w:left w:val="nil"/>
              <w:bottom w:val="nil"/>
              <w:right w:val="nil"/>
            </w:tcBorders>
            <w:shd w:val="clear" w:color="auto" w:fill="FFFFFF"/>
            <w:tcMar>
              <w:left w:w="67" w:type="dxa"/>
              <w:right w:w="67" w:type="dxa"/>
            </w:tcMar>
            <w:vAlign w:val="center"/>
          </w:tcPr>
          <w:p w14:paraId="0EE5F0A5"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4DA6A3"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BFE73A4"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24BE5CE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1886FA2"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2F5A7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5AD6A8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-0.3393</w:t>
            </w:r>
          </w:p>
        </w:tc>
        <w:tc>
          <w:tcPr>
            <w:tcW w:w="1134" w:type="dxa"/>
            <w:tcBorders>
              <w:top w:val="nil"/>
              <w:left w:val="nil"/>
              <w:bottom w:val="nil"/>
              <w:right w:val="nil"/>
            </w:tcBorders>
            <w:shd w:val="clear" w:color="auto" w:fill="FFFFFF"/>
            <w:tcMar>
              <w:left w:w="67" w:type="dxa"/>
              <w:right w:w="67" w:type="dxa"/>
            </w:tcMar>
            <w:vAlign w:val="center"/>
          </w:tcPr>
          <w:p w14:paraId="28DDAAB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1.5429</w:t>
            </w:r>
          </w:p>
        </w:tc>
        <w:tc>
          <w:tcPr>
            <w:tcW w:w="1134" w:type="dxa"/>
            <w:tcBorders>
              <w:top w:val="nil"/>
              <w:left w:val="nil"/>
              <w:bottom w:val="nil"/>
              <w:right w:val="nil"/>
            </w:tcBorders>
            <w:shd w:val="clear" w:color="auto" w:fill="FFFFFF"/>
            <w:tcMar>
              <w:left w:w="67" w:type="dxa"/>
              <w:right w:w="67" w:type="dxa"/>
            </w:tcMar>
            <w:vAlign w:val="center"/>
          </w:tcPr>
          <w:p w14:paraId="5AEA31B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-3.7977</w:t>
            </w:r>
          </w:p>
        </w:tc>
        <w:tc>
          <w:tcPr>
            <w:tcW w:w="1134" w:type="dxa"/>
            <w:tcBorders>
              <w:top w:val="nil"/>
              <w:left w:val="nil"/>
              <w:bottom w:val="nil"/>
              <w:right w:val="nil"/>
            </w:tcBorders>
            <w:shd w:val="clear" w:color="auto" w:fill="FFFFFF"/>
            <w:tcMar>
              <w:left w:w="67" w:type="dxa"/>
              <w:right w:w="67" w:type="dxa"/>
            </w:tcMar>
            <w:vAlign w:val="center"/>
          </w:tcPr>
          <w:p w14:paraId="658275D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3.1191</w:t>
            </w:r>
          </w:p>
        </w:tc>
        <w:tc>
          <w:tcPr>
            <w:tcW w:w="1134" w:type="dxa"/>
            <w:tcBorders>
              <w:top w:val="nil"/>
              <w:left w:val="nil"/>
              <w:bottom w:val="nil"/>
              <w:right w:val="nil"/>
            </w:tcBorders>
            <w:shd w:val="clear" w:color="auto" w:fill="FFFFFF"/>
            <w:tcMar>
              <w:left w:w="67" w:type="dxa"/>
              <w:right w:w="67" w:type="dxa"/>
            </w:tcMar>
            <w:vAlign w:val="center"/>
          </w:tcPr>
          <w:p w14:paraId="58EFF865"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919307B"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65A6D7"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408883E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5FDBDE4"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6A965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E17530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-1.1683</w:t>
            </w:r>
          </w:p>
        </w:tc>
        <w:tc>
          <w:tcPr>
            <w:tcW w:w="1134" w:type="dxa"/>
            <w:tcBorders>
              <w:top w:val="nil"/>
              <w:left w:val="nil"/>
              <w:bottom w:val="nil"/>
              <w:right w:val="nil"/>
            </w:tcBorders>
            <w:shd w:val="clear" w:color="auto" w:fill="FFFFFF"/>
            <w:tcMar>
              <w:left w:w="67" w:type="dxa"/>
              <w:right w:w="67" w:type="dxa"/>
            </w:tcMar>
            <w:vAlign w:val="center"/>
          </w:tcPr>
          <w:p w14:paraId="4FD8832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1.4188</w:t>
            </w:r>
          </w:p>
        </w:tc>
        <w:tc>
          <w:tcPr>
            <w:tcW w:w="1134" w:type="dxa"/>
            <w:tcBorders>
              <w:top w:val="nil"/>
              <w:left w:val="nil"/>
              <w:bottom w:val="nil"/>
              <w:right w:val="nil"/>
            </w:tcBorders>
            <w:shd w:val="clear" w:color="auto" w:fill="FFFFFF"/>
            <w:tcMar>
              <w:left w:w="67" w:type="dxa"/>
              <w:right w:w="67" w:type="dxa"/>
            </w:tcMar>
            <w:vAlign w:val="center"/>
          </w:tcPr>
          <w:p w14:paraId="402BC8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-4.3486</w:t>
            </w:r>
          </w:p>
        </w:tc>
        <w:tc>
          <w:tcPr>
            <w:tcW w:w="1134" w:type="dxa"/>
            <w:tcBorders>
              <w:top w:val="nil"/>
              <w:left w:val="nil"/>
              <w:bottom w:val="nil"/>
              <w:right w:val="nil"/>
            </w:tcBorders>
            <w:shd w:val="clear" w:color="auto" w:fill="FFFFFF"/>
            <w:tcMar>
              <w:left w:w="67" w:type="dxa"/>
              <w:right w:w="67" w:type="dxa"/>
            </w:tcMar>
            <w:vAlign w:val="center"/>
          </w:tcPr>
          <w:p w14:paraId="6AC6408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2.0120</w:t>
            </w:r>
          </w:p>
        </w:tc>
        <w:tc>
          <w:tcPr>
            <w:tcW w:w="1134" w:type="dxa"/>
            <w:tcBorders>
              <w:top w:val="nil"/>
              <w:left w:val="nil"/>
              <w:bottom w:val="nil"/>
              <w:right w:val="nil"/>
            </w:tcBorders>
            <w:shd w:val="clear" w:color="auto" w:fill="FFFFFF"/>
            <w:tcMar>
              <w:left w:w="67" w:type="dxa"/>
              <w:right w:w="67" w:type="dxa"/>
            </w:tcMar>
            <w:vAlign w:val="center"/>
          </w:tcPr>
          <w:p w14:paraId="52A70869"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CFA7DFB" w14:textId="77777777" w:rsidR="00B77EA3" w:rsidRPr="0082484A" w:rsidRDefault="00B77EA3" w:rsidP="00B77EA3">
            <w:pPr>
              <w:adjustRightInd w:val="0"/>
              <w:spacing w:beforeLines="10" w:before="24" w:afterLines="10" w:after="24" w:line="240" w:lineRule="auto"/>
              <w:jc w:val="center"/>
              <w:rPr>
                <w:color w:val="FF0000"/>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BFFE38" w14:textId="77777777" w:rsidR="00B77EA3" w:rsidRPr="0082484A" w:rsidRDefault="00B77EA3" w:rsidP="00B77EA3">
            <w:pPr>
              <w:adjustRightInd w:val="0"/>
              <w:spacing w:beforeLines="10" w:before="24" w:afterLines="10" w:after="24" w:line="240" w:lineRule="auto"/>
              <w:jc w:val="center"/>
              <w:rPr>
                <w:color w:val="FF0000"/>
                <w:sz w:val="22"/>
                <w:szCs w:val="22"/>
              </w:rPr>
            </w:pPr>
          </w:p>
        </w:tc>
      </w:tr>
      <w:tr w:rsidR="00B77EA3" w:rsidRPr="0082484A" w14:paraId="20A5B79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385143"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B926137"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9A847B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-0.0079</w:t>
            </w:r>
          </w:p>
        </w:tc>
        <w:tc>
          <w:tcPr>
            <w:tcW w:w="1134" w:type="dxa"/>
            <w:tcBorders>
              <w:top w:val="nil"/>
              <w:left w:val="nil"/>
              <w:bottom w:val="nil"/>
              <w:right w:val="nil"/>
            </w:tcBorders>
            <w:shd w:val="clear" w:color="auto" w:fill="FFFFFF"/>
            <w:tcMar>
              <w:left w:w="67" w:type="dxa"/>
              <w:right w:w="67" w:type="dxa"/>
            </w:tcMar>
            <w:vAlign w:val="center"/>
          </w:tcPr>
          <w:p w14:paraId="27D3C49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0.0791</w:t>
            </w:r>
          </w:p>
        </w:tc>
        <w:tc>
          <w:tcPr>
            <w:tcW w:w="1134" w:type="dxa"/>
            <w:tcBorders>
              <w:top w:val="nil"/>
              <w:left w:val="nil"/>
              <w:bottom w:val="nil"/>
              <w:right w:val="nil"/>
            </w:tcBorders>
            <w:shd w:val="clear" w:color="auto" w:fill="FFFFFF"/>
            <w:tcMar>
              <w:left w:w="67" w:type="dxa"/>
              <w:right w:w="67" w:type="dxa"/>
            </w:tcMar>
            <w:vAlign w:val="center"/>
          </w:tcPr>
          <w:p w14:paraId="0229CCE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-0.1851</w:t>
            </w:r>
          </w:p>
        </w:tc>
        <w:tc>
          <w:tcPr>
            <w:tcW w:w="1134" w:type="dxa"/>
            <w:tcBorders>
              <w:top w:val="nil"/>
              <w:left w:val="nil"/>
              <w:bottom w:val="nil"/>
              <w:right w:val="nil"/>
            </w:tcBorders>
            <w:shd w:val="clear" w:color="auto" w:fill="FFFFFF"/>
            <w:tcMar>
              <w:left w:w="67" w:type="dxa"/>
              <w:right w:w="67" w:type="dxa"/>
            </w:tcMar>
            <w:vAlign w:val="center"/>
          </w:tcPr>
          <w:p w14:paraId="18A6203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0.1694</w:t>
            </w:r>
          </w:p>
        </w:tc>
        <w:tc>
          <w:tcPr>
            <w:tcW w:w="1134" w:type="dxa"/>
            <w:tcBorders>
              <w:top w:val="nil"/>
              <w:left w:val="nil"/>
              <w:bottom w:val="nil"/>
              <w:right w:val="nil"/>
            </w:tcBorders>
            <w:shd w:val="clear" w:color="auto" w:fill="FFFFFF"/>
            <w:tcMar>
              <w:left w:w="67" w:type="dxa"/>
              <w:right w:w="67" w:type="dxa"/>
            </w:tcMar>
            <w:vAlign w:val="center"/>
          </w:tcPr>
          <w:p w14:paraId="382ED29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77510DC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B8B0E0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0.9205</w:t>
            </w:r>
          </w:p>
        </w:tc>
      </w:tr>
      <w:tr w:rsidR="00B77EA3" w:rsidRPr="0082484A" w14:paraId="4939359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0814413"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A1D3810"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DFC894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-0.0922</w:t>
            </w:r>
          </w:p>
        </w:tc>
        <w:tc>
          <w:tcPr>
            <w:tcW w:w="1134" w:type="dxa"/>
            <w:tcBorders>
              <w:top w:val="nil"/>
              <w:left w:val="nil"/>
              <w:bottom w:val="nil"/>
              <w:right w:val="nil"/>
            </w:tcBorders>
            <w:shd w:val="clear" w:color="auto" w:fill="FFFFFF"/>
            <w:tcMar>
              <w:left w:w="67" w:type="dxa"/>
              <w:right w:w="67" w:type="dxa"/>
            </w:tcMar>
            <w:vAlign w:val="center"/>
          </w:tcPr>
          <w:p w14:paraId="3C2ACC2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0.0486</w:t>
            </w:r>
          </w:p>
        </w:tc>
        <w:tc>
          <w:tcPr>
            <w:tcW w:w="1134" w:type="dxa"/>
            <w:tcBorders>
              <w:top w:val="nil"/>
              <w:left w:val="nil"/>
              <w:bottom w:val="nil"/>
              <w:right w:val="nil"/>
            </w:tcBorders>
            <w:shd w:val="clear" w:color="auto" w:fill="FFFFFF"/>
            <w:tcMar>
              <w:left w:w="67" w:type="dxa"/>
              <w:right w:w="67" w:type="dxa"/>
            </w:tcMar>
            <w:vAlign w:val="center"/>
          </w:tcPr>
          <w:p w14:paraId="50E77EF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-0.2012</w:t>
            </w:r>
          </w:p>
        </w:tc>
        <w:tc>
          <w:tcPr>
            <w:tcW w:w="1134" w:type="dxa"/>
            <w:tcBorders>
              <w:top w:val="nil"/>
              <w:left w:val="nil"/>
              <w:bottom w:val="nil"/>
              <w:right w:val="nil"/>
            </w:tcBorders>
            <w:shd w:val="clear" w:color="auto" w:fill="FFFFFF"/>
            <w:tcMar>
              <w:left w:w="67" w:type="dxa"/>
              <w:right w:w="67" w:type="dxa"/>
            </w:tcMar>
            <w:vAlign w:val="center"/>
          </w:tcPr>
          <w:p w14:paraId="5BFF82E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0.0167</w:t>
            </w:r>
          </w:p>
        </w:tc>
        <w:tc>
          <w:tcPr>
            <w:tcW w:w="1134" w:type="dxa"/>
            <w:tcBorders>
              <w:top w:val="nil"/>
              <w:left w:val="nil"/>
              <w:bottom w:val="nil"/>
              <w:right w:val="nil"/>
            </w:tcBorders>
            <w:shd w:val="clear" w:color="auto" w:fill="FFFFFF"/>
            <w:tcMar>
              <w:left w:w="67" w:type="dxa"/>
              <w:right w:w="67" w:type="dxa"/>
            </w:tcMar>
            <w:vAlign w:val="center"/>
          </w:tcPr>
          <w:p w14:paraId="744EC83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3.60</w:t>
            </w:r>
          </w:p>
        </w:tc>
        <w:tc>
          <w:tcPr>
            <w:tcW w:w="567" w:type="dxa"/>
            <w:tcBorders>
              <w:top w:val="nil"/>
              <w:left w:val="nil"/>
              <w:bottom w:val="nil"/>
              <w:right w:val="nil"/>
            </w:tcBorders>
            <w:shd w:val="clear" w:color="auto" w:fill="FFFFFF"/>
            <w:tcMar>
              <w:left w:w="67" w:type="dxa"/>
              <w:right w:w="67" w:type="dxa"/>
            </w:tcMar>
            <w:vAlign w:val="center"/>
          </w:tcPr>
          <w:p w14:paraId="0D62D09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E86A0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0.0578</w:t>
            </w:r>
          </w:p>
        </w:tc>
      </w:tr>
      <w:tr w:rsidR="00B77EA3" w:rsidRPr="0082484A" w14:paraId="690D443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2CA870D"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1EABCE59"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017F0E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71813C6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0.0124</w:t>
            </w:r>
          </w:p>
        </w:tc>
        <w:tc>
          <w:tcPr>
            <w:tcW w:w="1134" w:type="dxa"/>
            <w:tcBorders>
              <w:top w:val="nil"/>
              <w:left w:val="nil"/>
              <w:bottom w:val="nil"/>
              <w:right w:val="nil"/>
            </w:tcBorders>
            <w:shd w:val="clear" w:color="auto" w:fill="FFFFFF"/>
            <w:tcMar>
              <w:left w:w="67" w:type="dxa"/>
              <w:right w:w="67" w:type="dxa"/>
            </w:tcMar>
            <w:vAlign w:val="center"/>
          </w:tcPr>
          <w:p w14:paraId="05F6687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-0.0295</w:t>
            </w:r>
          </w:p>
        </w:tc>
        <w:tc>
          <w:tcPr>
            <w:tcW w:w="1134" w:type="dxa"/>
            <w:tcBorders>
              <w:top w:val="nil"/>
              <w:left w:val="nil"/>
              <w:bottom w:val="nil"/>
              <w:right w:val="nil"/>
            </w:tcBorders>
            <w:shd w:val="clear" w:color="auto" w:fill="FFFFFF"/>
            <w:tcMar>
              <w:left w:w="67" w:type="dxa"/>
              <w:right w:w="67" w:type="dxa"/>
            </w:tcMar>
            <w:vAlign w:val="center"/>
          </w:tcPr>
          <w:p w14:paraId="5912C0F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0.0261</w:t>
            </w:r>
          </w:p>
        </w:tc>
        <w:tc>
          <w:tcPr>
            <w:tcW w:w="1134" w:type="dxa"/>
            <w:tcBorders>
              <w:top w:val="nil"/>
              <w:left w:val="nil"/>
              <w:bottom w:val="nil"/>
              <w:right w:val="nil"/>
            </w:tcBorders>
            <w:shd w:val="clear" w:color="auto" w:fill="FFFFFF"/>
            <w:tcMar>
              <w:left w:w="67" w:type="dxa"/>
              <w:right w:w="67" w:type="dxa"/>
            </w:tcMar>
            <w:vAlign w:val="center"/>
          </w:tcPr>
          <w:p w14:paraId="3F80FFB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w:t>
            </w:r>
          </w:p>
        </w:tc>
        <w:tc>
          <w:tcPr>
            <w:tcW w:w="567" w:type="dxa"/>
            <w:tcBorders>
              <w:top w:val="nil"/>
              <w:left w:val="nil"/>
              <w:bottom w:val="nil"/>
              <w:right w:val="nil"/>
            </w:tcBorders>
            <w:shd w:val="clear" w:color="auto" w:fill="FFFFFF"/>
            <w:tcMar>
              <w:left w:w="67" w:type="dxa"/>
              <w:right w:w="67" w:type="dxa"/>
            </w:tcMar>
            <w:vAlign w:val="center"/>
          </w:tcPr>
          <w:p w14:paraId="52DE2C3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5286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0.8902</w:t>
            </w:r>
          </w:p>
        </w:tc>
      </w:tr>
      <w:tr w:rsidR="00B77EA3" w:rsidRPr="0082484A" w14:paraId="6D483CB3"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CFF1A6B"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21A5614D"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092861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-0.1415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2DEB6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0.3940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CACB53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-1.0246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8B1074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0.7417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A70F1C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19F8481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4F3852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0.7196</w:t>
            </w:r>
          </w:p>
        </w:tc>
      </w:tr>
    </w:tbl>
    <w:p w14:paraId="679DCF6C" w14:textId="77777777" w:rsidR="00DB0F0B" w:rsidRPr="0082484A" w:rsidRDefault="00DB0F0B" w:rsidP="00B77EA3">
      <w:pPr>
        <w:spacing w:before="0" w:line="240" w:lineRule="auto"/>
        <w:rPr>
          <w:bCs/>
          <w:sz w:val="22"/>
          <w:szCs w:val="22"/>
        </w:rPr>
      </w:pPr>
      <w:bookmarkStart w:id="194" w:name="_Ref501634866"/>
      <w:bookmarkStart w:id="195" w:name="_Toc8728128"/>
    </w:p>
    <w:p w14:paraId="13A65FD1" w14:textId="77777777" w:rsidR="00DB0F0B" w:rsidRPr="0082484A" w:rsidRDefault="00DB0F0B">
      <w:pPr>
        <w:spacing w:before="0" w:after="200"/>
        <w:rPr>
          <w:bCs/>
          <w:sz w:val="22"/>
          <w:szCs w:val="22"/>
        </w:rPr>
      </w:pPr>
      <w:r w:rsidRPr="0082484A">
        <w:rPr>
          <w:bCs/>
          <w:sz w:val="22"/>
          <w:szCs w:val="22"/>
        </w:rPr>
        <w:br w:type="page"/>
      </w:r>
    </w:p>
    <w:p w14:paraId="074D91D2" w14:textId="2B03F82F" w:rsidR="00B77EA3" w:rsidRPr="0082484A" w:rsidRDefault="00B77EA3" w:rsidP="00B77EA3">
      <w:pPr>
        <w:spacing w:before="0" w:line="240" w:lineRule="auto"/>
        <w:rPr>
          <w:sz w:val="22"/>
          <w:szCs w:val="22"/>
        </w:rPr>
      </w:pPr>
      <w:bookmarkStart w:id="196" w:name="_Toc19526783"/>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54</w:t>
      </w:r>
      <w:r w:rsidRPr="0082484A">
        <w:rPr>
          <w:bCs/>
          <w:noProof/>
          <w:sz w:val="22"/>
          <w:szCs w:val="22"/>
        </w:rPr>
        <w:fldChar w:fldCharType="end"/>
      </w:r>
      <w:bookmarkEnd w:id="194"/>
      <w:r w:rsidRPr="0082484A">
        <w:rPr>
          <w:bCs/>
          <w:sz w:val="22"/>
          <w:szCs w:val="22"/>
        </w:rPr>
        <w:t>: Secondary outcome for Trial 1: Mean total serum cholesterol (log scale) in diabetes trial population (i.e. diabetes control arm vs risky prescribing arm) (WP4A)</w:t>
      </w:r>
      <w:bookmarkEnd w:id="195"/>
      <w:bookmarkEnd w:id="196"/>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58BF5F03"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5DFE341" w14:textId="77777777" w:rsidR="00B77EA3" w:rsidRPr="0082484A" w:rsidRDefault="00B77EA3" w:rsidP="00B77EA3">
            <w:pPr>
              <w:adjustRightInd w:val="0"/>
              <w:spacing w:beforeLines="10" w:before="24" w:afterLines="10" w:after="24" w:line="240" w:lineRule="auto"/>
              <w:rPr>
                <w:bCs/>
                <w:sz w:val="22"/>
                <w:szCs w:val="22"/>
              </w:rPr>
            </w:pPr>
            <w:bookmarkStart w:id="197" w:name="IDX102"/>
            <w:bookmarkEnd w:id="197"/>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1E16C5"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5C5B75"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C2D73D1"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6C0EA60"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1EC295D"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BFB8902"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BC402B7"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9A92363"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P-value</w:t>
            </w:r>
          </w:p>
        </w:tc>
      </w:tr>
      <w:tr w:rsidR="00B77EA3" w:rsidRPr="0082484A" w14:paraId="5E6F856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ACCBF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01955F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implementation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270498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0.00918</w:t>
            </w:r>
          </w:p>
        </w:tc>
        <w:tc>
          <w:tcPr>
            <w:tcW w:w="1134" w:type="dxa"/>
            <w:tcBorders>
              <w:top w:val="nil"/>
              <w:left w:val="nil"/>
              <w:bottom w:val="nil"/>
              <w:right w:val="nil"/>
            </w:tcBorders>
            <w:shd w:val="clear" w:color="auto" w:fill="FFFFFF"/>
            <w:tcMar>
              <w:left w:w="67" w:type="dxa"/>
              <w:right w:w="67" w:type="dxa"/>
            </w:tcMar>
            <w:vAlign w:val="center"/>
          </w:tcPr>
          <w:p w14:paraId="765CA08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0.0070</w:t>
            </w:r>
          </w:p>
        </w:tc>
        <w:tc>
          <w:tcPr>
            <w:tcW w:w="1134" w:type="dxa"/>
            <w:tcBorders>
              <w:top w:val="nil"/>
              <w:left w:val="nil"/>
              <w:bottom w:val="nil"/>
              <w:right w:val="nil"/>
            </w:tcBorders>
            <w:shd w:val="clear" w:color="auto" w:fill="FFFFFF"/>
            <w:tcMar>
              <w:left w:w="67" w:type="dxa"/>
              <w:right w:w="67" w:type="dxa"/>
            </w:tcMar>
            <w:vAlign w:val="center"/>
          </w:tcPr>
          <w:p w14:paraId="5A863B7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-0.0066</w:t>
            </w:r>
          </w:p>
        </w:tc>
        <w:tc>
          <w:tcPr>
            <w:tcW w:w="1134" w:type="dxa"/>
            <w:tcBorders>
              <w:top w:val="nil"/>
              <w:left w:val="nil"/>
              <w:bottom w:val="nil"/>
              <w:right w:val="nil"/>
            </w:tcBorders>
            <w:shd w:val="clear" w:color="auto" w:fill="FFFFFF"/>
            <w:tcMar>
              <w:left w:w="67" w:type="dxa"/>
              <w:right w:w="67" w:type="dxa"/>
            </w:tcMar>
            <w:vAlign w:val="center"/>
          </w:tcPr>
          <w:p w14:paraId="6AA3627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0.0250</w:t>
            </w:r>
          </w:p>
        </w:tc>
        <w:tc>
          <w:tcPr>
            <w:tcW w:w="1134" w:type="dxa"/>
            <w:tcBorders>
              <w:top w:val="nil"/>
              <w:left w:val="nil"/>
              <w:bottom w:val="nil"/>
              <w:right w:val="nil"/>
            </w:tcBorders>
            <w:shd w:val="clear" w:color="auto" w:fill="FFFFFF"/>
            <w:tcMar>
              <w:left w:w="67" w:type="dxa"/>
              <w:right w:w="67" w:type="dxa"/>
            </w:tcMar>
            <w:vAlign w:val="center"/>
          </w:tcPr>
          <w:p w14:paraId="1904AE0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1.70</w:t>
            </w:r>
          </w:p>
        </w:tc>
        <w:tc>
          <w:tcPr>
            <w:tcW w:w="567" w:type="dxa"/>
            <w:tcBorders>
              <w:top w:val="nil"/>
              <w:left w:val="nil"/>
              <w:bottom w:val="nil"/>
              <w:right w:val="nil"/>
            </w:tcBorders>
            <w:shd w:val="clear" w:color="auto" w:fill="FFFFFF"/>
            <w:tcMar>
              <w:left w:w="67" w:type="dxa"/>
              <w:right w:w="67" w:type="dxa"/>
            </w:tcMar>
            <w:vAlign w:val="center"/>
          </w:tcPr>
          <w:p w14:paraId="6395B4C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145663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0.1926</w:t>
            </w:r>
          </w:p>
        </w:tc>
      </w:tr>
      <w:tr w:rsidR="00B77EA3" w:rsidRPr="0082484A" w14:paraId="506CF7E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75E95F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02AB20B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Female vs. Male</w:t>
            </w:r>
          </w:p>
        </w:tc>
        <w:tc>
          <w:tcPr>
            <w:tcW w:w="1134" w:type="dxa"/>
            <w:tcBorders>
              <w:top w:val="nil"/>
              <w:left w:val="nil"/>
              <w:bottom w:val="nil"/>
              <w:right w:val="nil"/>
            </w:tcBorders>
            <w:shd w:val="clear" w:color="auto" w:fill="FFFFFF"/>
            <w:tcMar>
              <w:left w:w="67" w:type="dxa"/>
              <w:right w:w="67" w:type="dxa"/>
            </w:tcMar>
            <w:vAlign w:val="center"/>
          </w:tcPr>
          <w:p w14:paraId="7A1297C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0.09336</w:t>
            </w:r>
          </w:p>
        </w:tc>
        <w:tc>
          <w:tcPr>
            <w:tcW w:w="1134" w:type="dxa"/>
            <w:tcBorders>
              <w:top w:val="nil"/>
              <w:left w:val="nil"/>
              <w:bottom w:val="nil"/>
              <w:right w:val="nil"/>
            </w:tcBorders>
            <w:shd w:val="clear" w:color="auto" w:fill="FFFFFF"/>
            <w:tcMar>
              <w:left w:w="67" w:type="dxa"/>
              <w:right w:w="67" w:type="dxa"/>
            </w:tcMar>
            <w:vAlign w:val="center"/>
          </w:tcPr>
          <w:p w14:paraId="365630F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23A286E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0.0868</w:t>
            </w:r>
          </w:p>
        </w:tc>
        <w:tc>
          <w:tcPr>
            <w:tcW w:w="1134" w:type="dxa"/>
            <w:tcBorders>
              <w:top w:val="nil"/>
              <w:left w:val="nil"/>
              <w:bottom w:val="nil"/>
              <w:right w:val="nil"/>
            </w:tcBorders>
            <w:shd w:val="clear" w:color="auto" w:fill="FFFFFF"/>
            <w:tcMar>
              <w:left w:w="67" w:type="dxa"/>
              <w:right w:w="67" w:type="dxa"/>
            </w:tcMar>
            <w:vAlign w:val="center"/>
          </w:tcPr>
          <w:p w14:paraId="2D1ECED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0.0999</w:t>
            </w:r>
          </w:p>
        </w:tc>
        <w:tc>
          <w:tcPr>
            <w:tcW w:w="1134" w:type="dxa"/>
            <w:tcBorders>
              <w:top w:val="nil"/>
              <w:left w:val="nil"/>
              <w:bottom w:val="nil"/>
              <w:right w:val="nil"/>
            </w:tcBorders>
            <w:shd w:val="clear" w:color="auto" w:fill="FFFFFF"/>
            <w:tcMar>
              <w:left w:w="67" w:type="dxa"/>
              <w:right w:w="67" w:type="dxa"/>
            </w:tcMar>
            <w:vAlign w:val="center"/>
          </w:tcPr>
          <w:p w14:paraId="11F3114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1018.57</w:t>
            </w:r>
          </w:p>
        </w:tc>
        <w:tc>
          <w:tcPr>
            <w:tcW w:w="567" w:type="dxa"/>
            <w:tcBorders>
              <w:top w:val="nil"/>
              <w:left w:val="nil"/>
              <w:bottom w:val="nil"/>
              <w:right w:val="nil"/>
            </w:tcBorders>
            <w:shd w:val="clear" w:color="auto" w:fill="FFFFFF"/>
            <w:tcMar>
              <w:left w:w="67" w:type="dxa"/>
              <w:right w:w="67" w:type="dxa"/>
            </w:tcMar>
            <w:vAlign w:val="center"/>
          </w:tcPr>
          <w:p w14:paraId="34E9FF6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F8A20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69CB346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6F417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6A2E74C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1343B3E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-0.00351</w:t>
            </w:r>
          </w:p>
        </w:tc>
        <w:tc>
          <w:tcPr>
            <w:tcW w:w="1134" w:type="dxa"/>
            <w:tcBorders>
              <w:top w:val="nil"/>
              <w:left w:val="nil"/>
              <w:bottom w:val="nil"/>
              <w:right w:val="nil"/>
            </w:tcBorders>
            <w:shd w:val="clear" w:color="auto" w:fill="FFFFFF"/>
            <w:tcMar>
              <w:left w:w="67" w:type="dxa"/>
              <w:right w:w="67" w:type="dxa"/>
            </w:tcMar>
            <w:vAlign w:val="center"/>
          </w:tcPr>
          <w:p w14:paraId="2759F0E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407A852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375444A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36DB6A3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1017.60</w:t>
            </w:r>
          </w:p>
        </w:tc>
        <w:tc>
          <w:tcPr>
            <w:tcW w:w="567" w:type="dxa"/>
            <w:tcBorders>
              <w:top w:val="nil"/>
              <w:left w:val="nil"/>
              <w:bottom w:val="nil"/>
              <w:right w:val="nil"/>
            </w:tcBorders>
            <w:shd w:val="clear" w:color="auto" w:fill="FFFFFF"/>
            <w:tcMar>
              <w:left w:w="67" w:type="dxa"/>
              <w:right w:w="67" w:type="dxa"/>
            </w:tcMar>
            <w:vAlign w:val="center"/>
          </w:tcPr>
          <w:p w14:paraId="1A86201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88D11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465E65D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3A7333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0644A8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128BE17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0.00001</w:t>
            </w:r>
          </w:p>
        </w:tc>
        <w:tc>
          <w:tcPr>
            <w:tcW w:w="1134" w:type="dxa"/>
            <w:tcBorders>
              <w:top w:val="nil"/>
              <w:left w:val="nil"/>
              <w:bottom w:val="nil"/>
              <w:right w:val="nil"/>
            </w:tcBorders>
            <w:shd w:val="clear" w:color="auto" w:fill="FFFFFF"/>
            <w:tcMar>
              <w:left w:w="67" w:type="dxa"/>
              <w:right w:w="67" w:type="dxa"/>
            </w:tcMar>
            <w:vAlign w:val="center"/>
          </w:tcPr>
          <w:p w14:paraId="1B54F2C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24F1F19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70CE040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2A7D2FA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w:t>
            </w:r>
          </w:p>
        </w:tc>
        <w:tc>
          <w:tcPr>
            <w:tcW w:w="567" w:type="dxa"/>
            <w:tcBorders>
              <w:top w:val="nil"/>
              <w:left w:val="nil"/>
              <w:bottom w:val="nil"/>
              <w:right w:val="nil"/>
            </w:tcBorders>
            <w:shd w:val="clear" w:color="auto" w:fill="FFFFFF"/>
            <w:tcMar>
              <w:left w:w="67" w:type="dxa"/>
              <w:right w:w="67" w:type="dxa"/>
            </w:tcMar>
            <w:vAlign w:val="center"/>
          </w:tcPr>
          <w:p w14:paraId="1F9ABD1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53F80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0.8922</w:t>
            </w:r>
          </w:p>
        </w:tc>
      </w:tr>
      <w:tr w:rsidR="00B77EA3" w:rsidRPr="0082484A" w14:paraId="0147097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E754E9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54786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49CE6A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0.02200</w:t>
            </w:r>
          </w:p>
        </w:tc>
        <w:tc>
          <w:tcPr>
            <w:tcW w:w="1134" w:type="dxa"/>
            <w:tcBorders>
              <w:top w:val="nil"/>
              <w:left w:val="nil"/>
              <w:bottom w:val="nil"/>
              <w:right w:val="nil"/>
            </w:tcBorders>
            <w:shd w:val="clear" w:color="auto" w:fill="FFFFFF"/>
            <w:tcMar>
              <w:left w:w="67" w:type="dxa"/>
              <w:right w:w="67" w:type="dxa"/>
            </w:tcMar>
            <w:vAlign w:val="center"/>
          </w:tcPr>
          <w:p w14:paraId="424A8F6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0.0185</w:t>
            </w:r>
          </w:p>
        </w:tc>
        <w:tc>
          <w:tcPr>
            <w:tcW w:w="1134" w:type="dxa"/>
            <w:tcBorders>
              <w:top w:val="nil"/>
              <w:left w:val="nil"/>
              <w:bottom w:val="nil"/>
              <w:right w:val="nil"/>
            </w:tcBorders>
            <w:shd w:val="clear" w:color="auto" w:fill="FFFFFF"/>
            <w:tcMar>
              <w:left w:w="67" w:type="dxa"/>
              <w:right w:w="67" w:type="dxa"/>
            </w:tcMar>
            <w:vAlign w:val="center"/>
          </w:tcPr>
          <w:p w14:paraId="416D504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-0.0195</w:t>
            </w:r>
          </w:p>
        </w:tc>
        <w:tc>
          <w:tcPr>
            <w:tcW w:w="1134" w:type="dxa"/>
            <w:tcBorders>
              <w:top w:val="nil"/>
              <w:left w:val="nil"/>
              <w:bottom w:val="nil"/>
              <w:right w:val="nil"/>
            </w:tcBorders>
            <w:shd w:val="clear" w:color="auto" w:fill="FFFFFF"/>
            <w:tcMar>
              <w:left w:w="67" w:type="dxa"/>
              <w:right w:w="67" w:type="dxa"/>
            </w:tcMar>
            <w:vAlign w:val="center"/>
          </w:tcPr>
          <w:p w14:paraId="19AE25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0.0635</w:t>
            </w:r>
          </w:p>
        </w:tc>
        <w:tc>
          <w:tcPr>
            <w:tcW w:w="1134" w:type="dxa"/>
            <w:tcBorders>
              <w:top w:val="nil"/>
              <w:left w:val="nil"/>
              <w:bottom w:val="nil"/>
              <w:right w:val="nil"/>
            </w:tcBorders>
            <w:shd w:val="clear" w:color="auto" w:fill="FFFFFF"/>
            <w:tcMar>
              <w:left w:w="67" w:type="dxa"/>
              <w:right w:w="67" w:type="dxa"/>
            </w:tcMar>
            <w:vAlign w:val="center"/>
          </w:tcPr>
          <w:p w14:paraId="48D66BE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3.79</w:t>
            </w:r>
          </w:p>
        </w:tc>
        <w:tc>
          <w:tcPr>
            <w:tcW w:w="567" w:type="dxa"/>
            <w:tcBorders>
              <w:top w:val="nil"/>
              <w:left w:val="nil"/>
              <w:bottom w:val="nil"/>
              <w:right w:val="nil"/>
            </w:tcBorders>
            <w:shd w:val="clear" w:color="auto" w:fill="FFFFFF"/>
            <w:tcMar>
              <w:left w:w="67" w:type="dxa"/>
              <w:right w:w="67" w:type="dxa"/>
            </w:tcMar>
            <w:vAlign w:val="center"/>
          </w:tcPr>
          <w:p w14:paraId="64F623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CB59F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0E55512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41C3B7"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FDF58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FC154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-0.03656</w:t>
            </w:r>
          </w:p>
        </w:tc>
        <w:tc>
          <w:tcPr>
            <w:tcW w:w="1134" w:type="dxa"/>
            <w:tcBorders>
              <w:top w:val="nil"/>
              <w:left w:val="nil"/>
              <w:bottom w:val="nil"/>
              <w:right w:val="nil"/>
            </w:tcBorders>
            <w:shd w:val="clear" w:color="auto" w:fill="FFFFFF"/>
            <w:tcMar>
              <w:left w:w="67" w:type="dxa"/>
              <w:right w:w="67" w:type="dxa"/>
            </w:tcMar>
            <w:vAlign w:val="center"/>
          </w:tcPr>
          <w:p w14:paraId="66D8B49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0.0172</w:t>
            </w:r>
          </w:p>
        </w:tc>
        <w:tc>
          <w:tcPr>
            <w:tcW w:w="1134" w:type="dxa"/>
            <w:tcBorders>
              <w:top w:val="nil"/>
              <w:left w:val="nil"/>
              <w:bottom w:val="nil"/>
              <w:right w:val="nil"/>
            </w:tcBorders>
            <w:shd w:val="clear" w:color="auto" w:fill="FFFFFF"/>
            <w:tcMar>
              <w:left w:w="67" w:type="dxa"/>
              <w:right w:w="67" w:type="dxa"/>
            </w:tcMar>
            <w:vAlign w:val="center"/>
          </w:tcPr>
          <w:p w14:paraId="229450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-0.0751</w:t>
            </w:r>
          </w:p>
        </w:tc>
        <w:tc>
          <w:tcPr>
            <w:tcW w:w="1134" w:type="dxa"/>
            <w:tcBorders>
              <w:top w:val="nil"/>
              <w:left w:val="nil"/>
              <w:bottom w:val="nil"/>
              <w:right w:val="nil"/>
            </w:tcBorders>
            <w:shd w:val="clear" w:color="auto" w:fill="FFFFFF"/>
            <w:tcMar>
              <w:left w:w="67" w:type="dxa"/>
              <w:right w:w="67" w:type="dxa"/>
            </w:tcMar>
            <w:vAlign w:val="center"/>
          </w:tcPr>
          <w:p w14:paraId="2EE619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4C6E8FE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4894A4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7CA86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7FBFEBE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1842C6"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FC6A9C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36D11B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-0.02843</w:t>
            </w:r>
          </w:p>
        </w:tc>
        <w:tc>
          <w:tcPr>
            <w:tcW w:w="1134" w:type="dxa"/>
            <w:tcBorders>
              <w:top w:val="nil"/>
              <w:left w:val="nil"/>
              <w:bottom w:val="nil"/>
              <w:right w:val="nil"/>
            </w:tcBorders>
            <w:shd w:val="clear" w:color="auto" w:fill="FFFFFF"/>
            <w:tcMar>
              <w:left w:w="67" w:type="dxa"/>
              <w:right w:w="67" w:type="dxa"/>
            </w:tcMar>
            <w:vAlign w:val="center"/>
          </w:tcPr>
          <w:p w14:paraId="1A4C5C3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0.0122</w:t>
            </w:r>
          </w:p>
        </w:tc>
        <w:tc>
          <w:tcPr>
            <w:tcW w:w="1134" w:type="dxa"/>
            <w:tcBorders>
              <w:top w:val="nil"/>
              <w:left w:val="nil"/>
              <w:bottom w:val="nil"/>
              <w:right w:val="nil"/>
            </w:tcBorders>
            <w:shd w:val="clear" w:color="auto" w:fill="FFFFFF"/>
            <w:tcMar>
              <w:left w:w="67" w:type="dxa"/>
              <w:right w:w="67" w:type="dxa"/>
            </w:tcMar>
            <w:vAlign w:val="center"/>
          </w:tcPr>
          <w:p w14:paraId="7E7A643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-0.0558</w:t>
            </w:r>
          </w:p>
        </w:tc>
        <w:tc>
          <w:tcPr>
            <w:tcW w:w="1134" w:type="dxa"/>
            <w:tcBorders>
              <w:top w:val="nil"/>
              <w:left w:val="nil"/>
              <w:bottom w:val="nil"/>
              <w:right w:val="nil"/>
            </w:tcBorders>
            <w:shd w:val="clear" w:color="auto" w:fill="FFFFFF"/>
            <w:tcMar>
              <w:left w:w="67" w:type="dxa"/>
              <w:right w:w="67" w:type="dxa"/>
            </w:tcMar>
            <w:vAlign w:val="center"/>
          </w:tcPr>
          <w:p w14:paraId="3862D7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42F388E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13D7A92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80656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5D211DF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C9C694"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7D3BE2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132ECA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-0.02541</w:t>
            </w:r>
          </w:p>
        </w:tc>
        <w:tc>
          <w:tcPr>
            <w:tcW w:w="1134" w:type="dxa"/>
            <w:tcBorders>
              <w:top w:val="nil"/>
              <w:left w:val="nil"/>
              <w:bottom w:val="nil"/>
              <w:right w:val="nil"/>
            </w:tcBorders>
            <w:shd w:val="clear" w:color="auto" w:fill="FFFFFF"/>
            <w:tcMar>
              <w:left w:w="67" w:type="dxa"/>
              <w:right w:w="67" w:type="dxa"/>
            </w:tcMar>
            <w:vAlign w:val="center"/>
          </w:tcPr>
          <w:p w14:paraId="49AEC6F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0.0170</w:t>
            </w:r>
          </w:p>
        </w:tc>
        <w:tc>
          <w:tcPr>
            <w:tcW w:w="1134" w:type="dxa"/>
            <w:tcBorders>
              <w:top w:val="nil"/>
              <w:left w:val="nil"/>
              <w:bottom w:val="nil"/>
              <w:right w:val="nil"/>
            </w:tcBorders>
            <w:shd w:val="clear" w:color="auto" w:fill="FFFFFF"/>
            <w:tcMar>
              <w:left w:w="67" w:type="dxa"/>
              <w:right w:w="67" w:type="dxa"/>
            </w:tcMar>
            <w:vAlign w:val="center"/>
          </w:tcPr>
          <w:p w14:paraId="511315F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-0.0636</w:t>
            </w:r>
          </w:p>
        </w:tc>
        <w:tc>
          <w:tcPr>
            <w:tcW w:w="1134" w:type="dxa"/>
            <w:tcBorders>
              <w:top w:val="nil"/>
              <w:left w:val="nil"/>
              <w:bottom w:val="nil"/>
              <w:right w:val="nil"/>
            </w:tcBorders>
            <w:shd w:val="clear" w:color="auto" w:fill="FFFFFF"/>
            <w:tcMar>
              <w:left w:w="67" w:type="dxa"/>
              <w:right w:w="67" w:type="dxa"/>
            </w:tcMar>
            <w:vAlign w:val="center"/>
          </w:tcPr>
          <w:p w14:paraId="643DAB3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0.0128</w:t>
            </w:r>
          </w:p>
        </w:tc>
        <w:tc>
          <w:tcPr>
            <w:tcW w:w="1134" w:type="dxa"/>
            <w:tcBorders>
              <w:top w:val="nil"/>
              <w:left w:val="nil"/>
              <w:bottom w:val="nil"/>
              <w:right w:val="nil"/>
            </w:tcBorders>
            <w:shd w:val="clear" w:color="auto" w:fill="FFFFFF"/>
            <w:tcMar>
              <w:left w:w="67" w:type="dxa"/>
              <w:right w:w="67" w:type="dxa"/>
            </w:tcMar>
            <w:vAlign w:val="center"/>
          </w:tcPr>
          <w:p w14:paraId="2CDD85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4958D9F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ADF87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62C8C0A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87133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AFA508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FEFE91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0.01387</w:t>
            </w:r>
          </w:p>
        </w:tc>
        <w:tc>
          <w:tcPr>
            <w:tcW w:w="1134" w:type="dxa"/>
            <w:tcBorders>
              <w:top w:val="nil"/>
              <w:left w:val="nil"/>
              <w:bottom w:val="nil"/>
              <w:right w:val="nil"/>
            </w:tcBorders>
            <w:shd w:val="clear" w:color="auto" w:fill="FFFFFF"/>
            <w:tcMar>
              <w:left w:w="67" w:type="dxa"/>
              <w:right w:w="67" w:type="dxa"/>
            </w:tcMar>
            <w:vAlign w:val="center"/>
          </w:tcPr>
          <w:p w14:paraId="71CDEAF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0.0171</w:t>
            </w:r>
          </w:p>
        </w:tc>
        <w:tc>
          <w:tcPr>
            <w:tcW w:w="1134" w:type="dxa"/>
            <w:tcBorders>
              <w:top w:val="nil"/>
              <w:left w:val="nil"/>
              <w:bottom w:val="nil"/>
              <w:right w:val="nil"/>
            </w:tcBorders>
            <w:shd w:val="clear" w:color="auto" w:fill="FFFFFF"/>
            <w:tcMar>
              <w:left w:w="67" w:type="dxa"/>
              <w:right w:w="67" w:type="dxa"/>
            </w:tcMar>
            <w:vAlign w:val="center"/>
          </w:tcPr>
          <w:p w14:paraId="03BC479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-0.0245</w:t>
            </w:r>
          </w:p>
        </w:tc>
        <w:tc>
          <w:tcPr>
            <w:tcW w:w="1134" w:type="dxa"/>
            <w:tcBorders>
              <w:top w:val="nil"/>
              <w:left w:val="nil"/>
              <w:bottom w:val="nil"/>
              <w:right w:val="nil"/>
            </w:tcBorders>
            <w:shd w:val="clear" w:color="auto" w:fill="FFFFFF"/>
            <w:tcMar>
              <w:left w:w="67" w:type="dxa"/>
              <w:right w:w="67" w:type="dxa"/>
            </w:tcMar>
            <w:vAlign w:val="center"/>
          </w:tcPr>
          <w:p w14:paraId="6912824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0.0522</w:t>
            </w:r>
          </w:p>
        </w:tc>
        <w:tc>
          <w:tcPr>
            <w:tcW w:w="1134" w:type="dxa"/>
            <w:tcBorders>
              <w:top w:val="nil"/>
              <w:left w:val="nil"/>
              <w:bottom w:val="nil"/>
              <w:right w:val="nil"/>
            </w:tcBorders>
            <w:shd w:val="clear" w:color="auto" w:fill="FFFFFF"/>
            <w:tcMar>
              <w:left w:w="67" w:type="dxa"/>
              <w:right w:w="67" w:type="dxa"/>
            </w:tcMar>
            <w:vAlign w:val="center"/>
          </w:tcPr>
          <w:p w14:paraId="061CE09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1CE1ECC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45974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63C552D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9496CC"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69E3C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6552B8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-0.04530</w:t>
            </w:r>
          </w:p>
        </w:tc>
        <w:tc>
          <w:tcPr>
            <w:tcW w:w="1134" w:type="dxa"/>
            <w:tcBorders>
              <w:top w:val="nil"/>
              <w:left w:val="nil"/>
              <w:bottom w:val="nil"/>
              <w:right w:val="nil"/>
            </w:tcBorders>
            <w:shd w:val="clear" w:color="auto" w:fill="FFFFFF"/>
            <w:tcMar>
              <w:left w:w="67" w:type="dxa"/>
              <w:right w:w="67" w:type="dxa"/>
            </w:tcMar>
            <w:vAlign w:val="center"/>
          </w:tcPr>
          <w:p w14:paraId="5C74B8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0.0190</w:t>
            </w:r>
          </w:p>
        </w:tc>
        <w:tc>
          <w:tcPr>
            <w:tcW w:w="1134" w:type="dxa"/>
            <w:tcBorders>
              <w:top w:val="nil"/>
              <w:left w:val="nil"/>
              <w:bottom w:val="nil"/>
              <w:right w:val="nil"/>
            </w:tcBorders>
            <w:shd w:val="clear" w:color="auto" w:fill="FFFFFF"/>
            <w:tcMar>
              <w:left w:w="67" w:type="dxa"/>
              <w:right w:w="67" w:type="dxa"/>
            </w:tcMar>
            <w:vAlign w:val="center"/>
          </w:tcPr>
          <w:p w14:paraId="04DBF4B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-0.0880</w:t>
            </w:r>
          </w:p>
        </w:tc>
        <w:tc>
          <w:tcPr>
            <w:tcW w:w="1134" w:type="dxa"/>
            <w:tcBorders>
              <w:top w:val="nil"/>
              <w:left w:val="nil"/>
              <w:bottom w:val="nil"/>
              <w:right w:val="nil"/>
            </w:tcBorders>
            <w:shd w:val="clear" w:color="auto" w:fill="FFFFFF"/>
            <w:tcMar>
              <w:left w:w="67" w:type="dxa"/>
              <w:right w:w="67" w:type="dxa"/>
            </w:tcMar>
            <w:vAlign w:val="center"/>
          </w:tcPr>
          <w:p w14:paraId="054816D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39A090A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5FD9C44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4CF7A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4C99E5F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4075959"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8FB660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F84F07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-0.04246</w:t>
            </w:r>
          </w:p>
        </w:tc>
        <w:tc>
          <w:tcPr>
            <w:tcW w:w="1134" w:type="dxa"/>
            <w:tcBorders>
              <w:top w:val="nil"/>
              <w:left w:val="nil"/>
              <w:bottom w:val="nil"/>
              <w:right w:val="nil"/>
            </w:tcBorders>
            <w:shd w:val="clear" w:color="auto" w:fill="FFFFFF"/>
            <w:tcMar>
              <w:left w:w="67" w:type="dxa"/>
              <w:right w:w="67" w:type="dxa"/>
            </w:tcMar>
            <w:vAlign w:val="center"/>
          </w:tcPr>
          <w:p w14:paraId="5A0985E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0.0148</w:t>
            </w:r>
          </w:p>
        </w:tc>
        <w:tc>
          <w:tcPr>
            <w:tcW w:w="1134" w:type="dxa"/>
            <w:tcBorders>
              <w:top w:val="nil"/>
              <w:left w:val="nil"/>
              <w:bottom w:val="nil"/>
              <w:right w:val="nil"/>
            </w:tcBorders>
            <w:shd w:val="clear" w:color="auto" w:fill="FFFFFF"/>
            <w:tcMar>
              <w:left w:w="67" w:type="dxa"/>
              <w:right w:w="67" w:type="dxa"/>
            </w:tcMar>
            <w:vAlign w:val="center"/>
          </w:tcPr>
          <w:p w14:paraId="3A62E12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-0.0755</w:t>
            </w:r>
          </w:p>
        </w:tc>
        <w:tc>
          <w:tcPr>
            <w:tcW w:w="1134" w:type="dxa"/>
            <w:tcBorders>
              <w:top w:val="nil"/>
              <w:left w:val="nil"/>
              <w:bottom w:val="nil"/>
              <w:right w:val="nil"/>
            </w:tcBorders>
            <w:shd w:val="clear" w:color="auto" w:fill="FFFFFF"/>
            <w:tcMar>
              <w:left w:w="67" w:type="dxa"/>
              <w:right w:w="67" w:type="dxa"/>
            </w:tcMar>
            <w:vAlign w:val="center"/>
          </w:tcPr>
          <w:p w14:paraId="7E65A1F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-0.0094</w:t>
            </w:r>
          </w:p>
        </w:tc>
        <w:tc>
          <w:tcPr>
            <w:tcW w:w="1134" w:type="dxa"/>
            <w:tcBorders>
              <w:top w:val="nil"/>
              <w:left w:val="nil"/>
              <w:bottom w:val="nil"/>
              <w:right w:val="nil"/>
            </w:tcBorders>
            <w:shd w:val="clear" w:color="auto" w:fill="FFFFFF"/>
            <w:tcMar>
              <w:left w:w="67" w:type="dxa"/>
              <w:right w:w="67" w:type="dxa"/>
            </w:tcMar>
            <w:vAlign w:val="center"/>
          </w:tcPr>
          <w:p w14:paraId="1C043F8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6A06D99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3D5653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7602445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71945B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F958F9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B39B6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-0.02465</w:t>
            </w:r>
          </w:p>
        </w:tc>
        <w:tc>
          <w:tcPr>
            <w:tcW w:w="1134" w:type="dxa"/>
            <w:tcBorders>
              <w:top w:val="nil"/>
              <w:left w:val="nil"/>
              <w:bottom w:val="nil"/>
              <w:right w:val="nil"/>
            </w:tcBorders>
            <w:shd w:val="clear" w:color="auto" w:fill="FFFFFF"/>
            <w:tcMar>
              <w:left w:w="67" w:type="dxa"/>
              <w:right w:w="67" w:type="dxa"/>
            </w:tcMar>
            <w:vAlign w:val="center"/>
          </w:tcPr>
          <w:p w14:paraId="605EAE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0.0170</w:t>
            </w:r>
          </w:p>
        </w:tc>
        <w:tc>
          <w:tcPr>
            <w:tcW w:w="1134" w:type="dxa"/>
            <w:tcBorders>
              <w:top w:val="nil"/>
              <w:left w:val="nil"/>
              <w:bottom w:val="nil"/>
              <w:right w:val="nil"/>
            </w:tcBorders>
            <w:shd w:val="clear" w:color="auto" w:fill="FFFFFF"/>
            <w:tcMar>
              <w:left w:w="67" w:type="dxa"/>
              <w:right w:w="67" w:type="dxa"/>
            </w:tcMar>
            <w:vAlign w:val="center"/>
          </w:tcPr>
          <w:p w14:paraId="2B5ACD5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-0.0627</w:t>
            </w:r>
          </w:p>
        </w:tc>
        <w:tc>
          <w:tcPr>
            <w:tcW w:w="1134" w:type="dxa"/>
            <w:tcBorders>
              <w:top w:val="nil"/>
              <w:left w:val="nil"/>
              <w:bottom w:val="nil"/>
              <w:right w:val="nil"/>
            </w:tcBorders>
            <w:shd w:val="clear" w:color="auto" w:fill="FFFFFF"/>
            <w:tcMar>
              <w:left w:w="67" w:type="dxa"/>
              <w:right w:w="67" w:type="dxa"/>
            </w:tcMar>
            <w:vAlign w:val="center"/>
          </w:tcPr>
          <w:p w14:paraId="5584109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0.0134</w:t>
            </w:r>
          </w:p>
        </w:tc>
        <w:tc>
          <w:tcPr>
            <w:tcW w:w="1134" w:type="dxa"/>
            <w:tcBorders>
              <w:top w:val="nil"/>
              <w:left w:val="nil"/>
              <w:bottom w:val="nil"/>
              <w:right w:val="nil"/>
            </w:tcBorders>
            <w:shd w:val="clear" w:color="auto" w:fill="FFFFFF"/>
            <w:tcMar>
              <w:left w:w="67" w:type="dxa"/>
              <w:right w:w="67" w:type="dxa"/>
            </w:tcMar>
            <w:vAlign w:val="center"/>
          </w:tcPr>
          <w:p w14:paraId="467E55F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77B4B30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450CA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026CCC2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04C53A"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0F133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611A5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0.00501</w:t>
            </w:r>
          </w:p>
        </w:tc>
        <w:tc>
          <w:tcPr>
            <w:tcW w:w="1134" w:type="dxa"/>
            <w:tcBorders>
              <w:top w:val="nil"/>
              <w:left w:val="nil"/>
              <w:bottom w:val="nil"/>
              <w:right w:val="nil"/>
            </w:tcBorders>
            <w:shd w:val="clear" w:color="auto" w:fill="FFFFFF"/>
            <w:tcMar>
              <w:left w:w="67" w:type="dxa"/>
              <w:right w:w="67" w:type="dxa"/>
            </w:tcMar>
            <w:vAlign w:val="center"/>
          </w:tcPr>
          <w:p w14:paraId="633B807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0.0153</w:t>
            </w:r>
          </w:p>
        </w:tc>
        <w:tc>
          <w:tcPr>
            <w:tcW w:w="1134" w:type="dxa"/>
            <w:tcBorders>
              <w:top w:val="nil"/>
              <w:left w:val="nil"/>
              <w:bottom w:val="nil"/>
              <w:right w:val="nil"/>
            </w:tcBorders>
            <w:shd w:val="clear" w:color="auto" w:fill="FFFFFF"/>
            <w:tcMar>
              <w:left w:w="67" w:type="dxa"/>
              <w:right w:w="67" w:type="dxa"/>
            </w:tcMar>
            <w:vAlign w:val="center"/>
          </w:tcPr>
          <w:p w14:paraId="7CBD77B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-0.0292</w:t>
            </w:r>
          </w:p>
        </w:tc>
        <w:tc>
          <w:tcPr>
            <w:tcW w:w="1134" w:type="dxa"/>
            <w:tcBorders>
              <w:top w:val="nil"/>
              <w:left w:val="nil"/>
              <w:bottom w:val="nil"/>
              <w:right w:val="nil"/>
            </w:tcBorders>
            <w:shd w:val="clear" w:color="auto" w:fill="FFFFFF"/>
            <w:tcMar>
              <w:left w:w="67" w:type="dxa"/>
              <w:right w:w="67" w:type="dxa"/>
            </w:tcMar>
            <w:vAlign w:val="center"/>
          </w:tcPr>
          <w:p w14:paraId="0BA61FF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0.0392</w:t>
            </w:r>
          </w:p>
        </w:tc>
        <w:tc>
          <w:tcPr>
            <w:tcW w:w="1134" w:type="dxa"/>
            <w:tcBorders>
              <w:top w:val="nil"/>
              <w:left w:val="nil"/>
              <w:bottom w:val="nil"/>
              <w:right w:val="nil"/>
            </w:tcBorders>
            <w:shd w:val="clear" w:color="auto" w:fill="FFFFFF"/>
            <w:tcMar>
              <w:left w:w="67" w:type="dxa"/>
              <w:right w:w="67" w:type="dxa"/>
            </w:tcMar>
            <w:vAlign w:val="center"/>
          </w:tcPr>
          <w:p w14:paraId="7F26007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567" w:type="dxa"/>
            <w:tcBorders>
              <w:top w:val="nil"/>
              <w:left w:val="nil"/>
              <w:bottom w:val="nil"/>
              <w:right w:val="nil"/>
            </w:tcBorders>
            <w:shd w:val="clear" w:color="auto" w:fill="FFFFFF"/>
            <w:tcMar>
              <w:left w:w="67" w:type="dxa"/>
              <w:right w:w="67" w:type="dxa"/>
            </w:tcMar>
            <w:vAlign w:val="center"/>
          </w:tcPr>
          <w:p w14:paraId="6FEC504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D0DAF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w:t>
            </w:r>
          </w:p>
        </w:tc>
      </w:tr>
      <w:tr w:rsidR="00B77EA3" w:rsidRPr="0082484A" w14:paraId="3123795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2E01A1B"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0A564AEA"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B84B9F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0.00022</w:t>
            </w:r>
          </w:p>
        </w:tc>
        <w:tc>
          <w:tcPr>
            <w:tcW w:w="1134" w:type="dxa"/>
            <w:tcBorders>
              <w:top w:val="nil"/>
              <w:left w:val="nil"/>
              <w:bottom w:val="nil"/>
              <w:right w:val="nil"/>
            </w:tcBorders>
            <w:shd w:val="clear" w:color="auto" w:fill="FFFFFF"/>
            <w:tcMar>
              <w:left w:w="67" w:type="dxa"/>
              <w:right w:w="67" w:type="dxa"/>
            </w:tcMar>
            <w:vAlign w:val="center"/>
          </w:tcPr>
          <w:p w14:paraId="1DDF131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11EC5BC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338AD0B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0.0022</w:t>
            </w:r>
          </w:p>
        </w:tc>
        <w:tc>
          <w:tcPr>
            <w:tcW w:w="1134" w:type="dxa"/>
            <w:tcBorders>
              <w:top w:val="nil"/>
              <w:left w:val="nil"/>
              <w:bottom w:val="nil"/>
              <w:right w:val="nil"/>
            </w:tcBorders>
            <w:shd w:val="clear" w:color="auto" w:fill="FFFFFF"/>
            <w:tcMar>
              <w:left w:w="67" w:type="dxa"/>
              <w:right w:w="67" w:type="dxa"/>
            </w:tcMar>
            <w:vAlign w:val="center"/>
          </w:tcPr>
          <w:p w14:paraId="6F76D9D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w:t>
            </w:r>
          </w:p>
        </w:tc>
        <w:tc>
          <w:tcPr>
            <w:tcW w:w="567" w:type="dxa"/>
            <w:tcBorders>
              <w:top w:val="nil"/>
              <w:left w:val="nil"/>
              <w:bottom w:val="nil"/>
              <w:right w:val="nil"/>
            </w:tcBorders>
            <w:shd w:val="clear" w:color="auto" w:fill="FFFFFF"/>
            <w:tcMar>
              <w:left w:w="67" w:type="dxa"/>
              <w:right w:w="67" w:type="dxa"/>
            </w:tcMar>
            <w:vAlign w:val="center"/>
          </w:tcPr>
          <w:p w14:paraId="3D91197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8B32A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0.8040</w:t>
            </w:r>
          </w:p>
        </w:tc>
      </w:tr>
      <w:tr w:rsidR="00B77EA3" w:rsidRPr="0082484A" w14:paraId="6BA10F14" w14:textId="77777777" w:rsidTr="0082484A">
        <w:trPr>
          <w:cantSplit/>
          <w:jc w:val="center"/>
        </w:trPr>
        <w:tc>
          <w:tcPr>
            <w:tcW w:w="2835" w:type="dxa"/>
            <w:tcBorders>
              <w:top w:val="nil"/>
              <w:left w:val="single" w:sz="11" w:space="0" w:color="000000"/>
              <w:right w:val="nil"/>
            </w:tcBorders>
            <w:shd w:val="clear" w:color="auto" w:fill="FFFFFF"/>
            <w:tcMar>
              <w:left w:w="67" w:type="dxa"/>
              <w:right w:w="67" w:type="dxa"/>
            </w:tcMar>
            <w:vAlign w:val="center"/>
          </w:tcPr>
          <w:p w14:paraId="38F24FA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right w:val="nil"/>
            </w:tcBorders>
            <w:shd w:val="clear" w:color="auto" w:fill="FFFFFF"/>
            <w:tcMar>
              <w:left w:w="67" w:type="dxa"/>
              <w:right w:w="67" w:type="dxa"/>
            </w:tcMar>
            <w:vAlign w:val="center"/>
          </w:tcPr>
          <w:p w14:paraId="42E5A23D"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right w:val="nil"/>
            </w:tcBorders>
            <w:shd w:val="clear" w:color="auto" w:fill="FFFFFF"/>
            <w:tcMar>
              <w:left w:w="67" w:type="dxa"/>
              <w:right w:w="67" w:type="dxa"/>
            </w:tcMar>
            <w:vAlign w:val="center"/>
          </w:tcPr>
          <w:p w14:paraId="7E8DD45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-0.00037</w:t>
            </w:r>
          </w:p>
        </w:tc>
        <w:tc>
          <w:tcPr>
            <w:tcW w:w="1134" w:type="dxa"/>
            <w:tcBorders>
              <w:top w:val="nil"/>
              <w:left w:val="nil"/>
              <w:right w:val="nil"/>
            </w:tcBorders>
            <w:shd w:val="clear" w:color="auto" w:fill="FFFFFF"/>
            <w:tcMar>
              <w:left w:w="67" w:type="dxa"/>
              <w:right w:w="67" w:type="dxa"/>
            </w:tcMar>
            <w:vAlign w:val="center"/>
          </w:tcPr>
          <w:p w14:paraId="2217700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0.0005</w:t>
            </w:r>
          </w:p>
        </w:tc>
        <w:tc>
          <w:tcPr>
            <w:tcW w:w="1134" w:type="dxa"/>
            <w:tcBorders>
              <w:top w:val="nil"/>
              <w:left w:val="nil"/>
              <w:right w:val="nil"/>
            </w:tcBorders>
            <w:shd w:val="clear" w:color="auto" w:fill="FFFFFF"/>
            <w:tcMar>
              <w:left w:w="67" w:type="dxa"/>
              <w:right w:w="67" w:type="dxa"/>
            </w:tcMar>
            <w:vAlign w:val="center"/>
          </w:tcPr>
          <w:p w14:paraId="7830E04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-0.0015</w:t>
            </w:r>
          </w:p>
        </w:tc>
        <w:tc>
          <w:tcPr>
            <w:tcW w:w="1134" w:type="dxa"/>
            <w:tcBorders>
              <w:top w:val="nil"/>
              <w:left w:val="nil"/>
              <w:right w:val="nil"/>
            </w:tcBorders>
            <w:shd w:val="clear" w:color="auto" w:fill="FFFFFF"/>
            <w:tcMar>
              <w:left w:w="67" w:type="dxa"/>
              <w:right w:w="67" w:type="dxa"/>
            </w:tcMar>
            <w:vAlign w:val="center"/>
          </w:tcPr>
          <w:p w14:paraId="0619F9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0.0008</w:t>
            </w:r>
          </w:p>
        </w:tc>
        <w:tc>
          <w:tcPr>
            <w:tcW w:w="1134" w:type="dxa"/>
            <w:tcBorders>
              <w:top w:val="nil"/>
              <w:left w:val="nil"/>
              <w:right w:val="nil"/>
            </w:tcBorders>
            <w:shd w:val="clear" w:color="auto" w:fill="FFFFFF"/>
            <w:tcMar>
              <w:left w:w="67" w:type="dxa"/>
              <w:right w:w="67" w:type="dxa"/>
            </w:tcMar>
            <w:vAlign w:val="center"/>
          </w:tcPr>
          <w:p w14:paraId="2D86D78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0.50</w:t>
            </w:r>
          </w:p>
        </w:tc>
        <w:tc>
          <w:tcPr>
            <w:tcW w:w="567" w:type="dxa"/>
            <w:tcBorders>
              <w:top w:val="nil"/>
              <w:left w:val="nil"/>
              <w:right w:val="nil"/>
            </w:tcBorders>
            <w:shd w:val="clear" w:color="auto" w:fill="FFFFFF"/>
            <w:tcMar>
              <w:left w:w="67" w:type="dxa"/>
              <w:right w:w="67" w:type="dxa"/>
            </w:tcMar>
            <w:vAlign w:val="center"/>
          </w:tcPr>
          <w:p w14:paraId="29066EC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right w:val="single" w:sz="11" w:space="0" w:color="000000"/>
            </w:tcBorders>
            <w:shd w:val="clear" w:color="auto" w:fill="FFFFFF"/>
            <w:tcMar>
              <w:left w:w="67" w:type="dxa"/>
              <w:right w:w="67" w:type="dxa"/>
            </w:tcMar>
            <w:vAlign w:val="center"/>
          </w:tcPr>
          <w:p w14:paraId="76D5300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0.4815</w:t>
            </w:r>
          </w:p>
        </w:tc>
      </w:tr>
      <w:tr w:rsidR="00B77EA3" w:rsidRPr="0082484A" w14:paraId="1CAAFD2D" w14:textId="77777777" w:rsidTr="0082484A">
        <w:trPr>
          <w:cantSplit/>
          <w:jc w:val="center"/>
        </w:trPr>
        <w:tc>
          <w:tcPr>
            <w:tcW w:w="2835" w:type="dxa"/>
            <w:tcBorders>
              <w:top w:val="nil"/>
              <w:left w:val="single" w:sz="8" w:space="0" w:color="000000"/>
              <w:bottom w:val="single" w:sz="8" w:space="0" w:color="000000"/>
              <w:right w:val="nil"/>
            </w:tcBorders>
            <w:shd w:val="clear" w:color="auto" w:fill="FFFFFF"/>
            <w:tcMar>
              <w:left w:w="67" w:type="dxa"/>
              <w:right w:w="67" w:type="dxa"/>
            </w:tcMar>
            <w:vAlign w:val="center"/>
          </w:tcPr>
          <w:p w14:paraId="1CCC607D"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8" w:space="0" w:color="000000"/>
              <w:right w:val="nil"/>
            </w:tcBorders>
            <w:shd w:val="clear" w:color="auto" w:fill="FFFFFF"/>
            <w:tcMar>
              <w:left w:w="67" w:type="dxa"/>
              <w:right w:w="67" w:type="dxa"/>
            </w:tcMar>
            <w:vAlign w:val="center"/>
          </w:tcPr>
          <w:p w14:paraId="679E5660"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single" w:sz="8" w:space="0" w:color="000000"/>
              <w:right w:val="nil"/>
            </w:tcBorders>
            <w:shd w:val="clear" w:color="auto" w:fill="FFFFFF"/>
            <w:tcMar>
              <w:left w:w="67" w:type="dxa"/>
              <w:right w:w="67" w:type="dxa"/>
            </w:tcMar>
            <w:vAlign w:val="center"/>
          </w:tcPr>
          <w:p w14:paraId="40649F3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0.00005</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6F3C712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7CCE724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17042BE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1615D3E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0.14</w:t>
            </w:r>
          </w:p>
        </w:tc>
        <w:tc>
          <w:tcPr>
            <w:tcW w:w="567" w:type="dxa"/>
            <w:tcBorders>
              <w:top w:val="nil"/>
              <w:left w:val="nil"/>
              <w:bottom w:val="single" w:sz="8" w:space="0" w:color="000000"/>
              <w:right w:val="nil"/>
            </w:tcBorders>
            <w:shd w:val="clear" w:color="auto" w:fill="FFFFFF"/>
            <w:tcMar>
              <w:left w:w="67" w:type="dxa"/>
              <w:right w:w="67" w:type="dxa"/>
            </w:tcMar>
            <w:vAlign w:val="center"/>
          </w:tcPr>
          <w:p w14:paraId="5E6E1BB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8" w:space="0" w:color="000000"/>
              <w:right w:val="single" w:sz="8" w:space="0" w:color="000000"/>
            </w:tcBorders>
            <w:shd w:val="clear" w:color="auto" w:fill="FFFFFF"/>
            <w:tcMar>
              <w:left w:w="67" w:type="dxa"/>
              <w:right w:w="67" w:type="dxa"/>
            </w:tcMar>
            <w:vAlign w:val="center"/>
          </w:tcPr>
          <w:p w14:paraId="412AA93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0.7125</w:t>
            </w:r>
          </w:p>
        </w:tc>
      </w:tr>
    </w:tbl>
    <w:p w14:paraId="261463A9" w14:textId="77777777" w:rsidR="00DB0F0B" w:rsidRPr="0082484A" w:rsidRDefault="00DB0F0B" w:rsidP="00B77EA3">
      <w:pPr>
        <w:spacing w:before="0" w:line="240" w:lineRule="auto"/>
        <w:rPr>
          <w:bCs/>
          <w:sz w:val="22"/>
          <w:szCs w:val="22"/>
        </w:rPr>
      </w:pPr>
      <w:bookmarkStart w:id="198" w:name="_Ref501634869"/>
      <w:bookmarkStart w:id="199" w:name="_Toc8728129"/>
    </w:p>
    <w:p w14:paraId="6FB88620" w14:textId="77777777" w:rsidR="00DB0F0B" w:rsidRPr="0082484A" w:rsidRDefault="00DB0F0B">
      <w:pPr>
        <w:spacing w:before="0" w:after="200"/>
        <w:rPr>
          <w:bCs/>
          <w:sz w:val="22"/>
          <w:szCs w:val="22"/>
        </w:rPr>
      </w:pPr>
      <w:r w:rsidRPr="0082484A">
        <w:rPr>
          <w:bCs/>
          <w:sz w:val="22"/>
          <w:szCs w:val="22"/>
        </w:rPr>
        <w:br w:type="page"/>
      </w:r>
    </w:p>
    <w:p w14:paraId="66BF586C" w14:textId="0CD9E0A3" w:rsidR="00B77EA3" w:rsidRPr="0082484A" w:rsidRDefault="00B77EA3" w:rsidP="00B77EA3">
      <w:pPr>
        <w:spacing w:before="0" w:line="240" w:lineRule="auto"/>
        <w:rPr>
          <w:sz w:val="22"/>
          <w:szCs w:val="22"/>
        </w:rPr>
      </w:pPr>
      <w:bookmarkStart w:id="200" w:name="_Toc19526784"/>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55</w:t>
      </w:r>
      <w:r w:rsidRPr="0082484A">
        <w:rPr>
          <w:bCs/>
          <w:noProof/>
          <w:sz w:val="22"/>
          <w:szCs w:val="22"/>
        </w:rPr>
        <w:fldChar w:fldCharType="end"/>
      </w:r>
      <w:bookmarkEnd w:id="198"/>
      <w:r w:rsidRPr="0082484A">
        <w:rPr>
          <w:bCs/>
          <w:sz w:val="22"/>
          <w:szCs w:val="22"/>
        </w:rPr>
        <w:t>: Secondary outcome for Trial 1: Mean Haemoglobin A1c (log scale) in diabetes trial population (i.e. diabetes arm vs risky prescribing arm) (WP4A)</w:t>
      </w:r>
      <w:bookmarkEnd w:id="199"/>
      <w:bookmarkEnd w:id="200"/>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0032B430"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5B02676" w14:textId="77777777" w:rsidR="00B77EA3" w:rsidRPr="0082484A" w:rsidRDefault="00B77EA3" w:rsidP="00B77EA3">
            <w:pPr>
              <w:adjustRightInd w:val="0"/>
              <w:spacing w:beforeLines="10" w:before="24" w:afterLines="10" w:after="24" w:line="240" w:lineRule="auto"/>
              <w:rPr>
                <w:bCs/>
                <w:sz w:val="22"/>
                <w:szCs w:val="22"/>
              </w:rPr>
            </w:pPr>
            <w:bookmarkStart w:id="201" w:name="IDX117"/>
            <w:bookmarkEnd w:id="201"/>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1C0670A" w14:textId="77777777" w:rsidR="00B77EA3" w:rsidRPr="0082484A" w:rsidRDefault="00B77EA3" w:rsidP="00B77EA3">
            <w:pPr>
              <w:adjustRightInd w:val="0"/>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D3DD33C"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7DD6E27"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4D7A157"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5551E9"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734202D"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5C33199"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C52667D" w14:textId="77777777" w:rsidR="00B77EA3" w:rsidRPr="0082484A" w:rsidRDefault="00B77EA3" w:rsidP="00B77EA3">
            <w:pPr>
              <w:adjustRightInd w:val="0"/>
              <w:spacing w:beforeLines="10" w:before="24" w:afterLines="10" w:after="24" w:line="240" w:lineRule="auto"/>
              <w:jc w:val="center"/>
              <w:rPr>
                <w:bCs/>
                <w:sz w:val="22"/>
                <w:szCs w:val="22"/>
              </w:rPr>
            </w:pPr>
            <w:r w:rsidRPr="0082484A">
              <w:rPr>
                <w:bCs/>
                <w:sz w:val="22"/>
                <w:szCs w:val="22"/>
              </w:rPr>
              <w:t>P-value</w:t>
            </w:r>
          </w:p>
        </w:tc>
      </w:tr>
      <w:tr w:rsidR="00B77EA3" w:rsidRPr="0082484A" w14:paraId="3B50113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43742C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709554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implementation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4C19B1F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-0.00308</w:t>
            </w:r>
          </w:p>
        </w:tc>
        <w:tc>
          <w:tcPr>
            <w:tcW w:w="1134" w:type="dxa"/>
            <w:tcBorders>
              <w:top w:val="nil"/>
              <w:left w:val="nil"/>
              <w:bottom w:val="nil"/>
              <w:right w:val="nil"/>
            </w:tcBorders>
            <w:shd w:val="clear" w:color="auto" w:fill="FFFFFF"/>
            <w:tcMar>
              <w:left w:w="67" w:type="dxa"/>
              <w:right w:w="67" w:type="dxa"/>
            </w:tcMar>
            <w:vAlign w:val="center"/>
          </w:tcPr>
          <w:p w14:paraId="10CCAEB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0.0069</w:t>
            </w:r>
          </w:p>
        </w:tc>
        <w:tc>
          <w:tcPr>
            <w:tcW w:w="1134" w:type="dxa"/>
            <w:tcBorders>
              <w:top w:val="nil"/>
              <w:left w:val="nil"/>
              <w:bottom w:val="nil"/>
              <w:right w:val="nil"/>
            </w:tcBorders>
            <w:shd w:val="clear" w:color="auto" w:fill="FFFFFF"/>
            <w:tcMar>
              <w:left w:w="67" w:type="dxa"/>
              <w:right w:w="67" w:type="dxa"/>
            </w:tcMar>
            <w:vAlign w:val="center"/>
          </w:tcPr>
          <w:p w14:paraId="17576A7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-0.0185</w:t>
            </w:r>
          </w:p>
        </w:tc>
        <w:tc>
          <w:tcPr>
            <w:tcW w:w="1134" w:type="dxa"/>
            <w:tcBorders>
              <w:top w:val="nil"/>
              <w:left w:val="nil"/>
              <w:bottom w:val="nil"/>
              <w:right w:val="nil"/>
            </w:tcBorders>
            <w:shd w:val="clear" w:color="auto" w:fill="FFFFFF"/>
            <w:tcMar>
              <w:left w:w="67" w:type="dxa"/>
              <w:right w:w="67" w:type="dxa"/>
            </w:tcMar>
            <w:vAlign w:val="center"/>
          </w:tcPr>
          <w:p w14:paraId="0F9D063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0.0124</w:t>
            </w:r>
          </w:p>
        </w:tc>
        <w:tc>
          <w:tcPr>
            <w:tcW w:w="1134" w:type="dxa"/>
            <w:tcBorders>
              <w:top w:val="nil"/>
              <w:left w:val="nil"/>
              <w:bottom w:val="nil"/>
              <w:right w:val="nil"/>
            </w:tcBorders>
            <w:shd w:val="clear" w:color="auto" w:fill="FFFFFF"/>
            <w:tcMar>
              <w:left w:w="67" w:type="dxa"/>
              <w:right w:w="67" w:type="dxa"/>
            </w:tcMar>
            <w:vAlign w:val="center"/>
          </w:tcPr>
          <w:p w14:paraId="1605414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0.20</w:t>
            </w:r>
          </w:p>
        </w:tc>
        <w:tc>
          <w:tcPr>
            <w:tcW w:w="567" w:type="dxa"/>
            <w:tcBorders>
              <w:top w:val="nil"/>
              <w:left w:val="nil"/>
              <w:bottom w:val="nil"/>
              <w:right w:val="nil"/>
            </w:tcBorders>
            <w:shd w:val="clear" w:color="auto" w:fill="FFFFFF"/>
            <w:tcMar>
              <w:left w:w="67" w:type="dxa"/>
              <w:right w:w="67" w:type="dxa"/>
            </w:tcMar>
            <w:vAlign w:val="center"/>
          </w:tcPr>
          <w:p w14:paraId="62A628F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B7D91D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0.6545</w:t>
            </w:r>
          </w:p>
        </w:tc>
      </w:tr>
      <w:tr w:rsidR="00B77EA3" w:rsidRPr="0082484A" w14:paraId="2026AD4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9B0277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Gender</w:t>
            </w:r>
          </w:p>
        </w:tc>
        <w:tc>
          <w:tcPr>
            <w:tcW w:w="3969" w:type="dxa"/>
            <w:tcBorders>
              <w:top w:val="nil"/>
              <w:left w:val="nil"/>
              <w:bottom w:val="nil"/>
              <w:right w:val="nil"/>
            </w:tcBorders>
            <w:shd w:val="clear" w:color="auto" w:fill="FFFFFF"/>
            <w:tcMar>
              <w:left w:w="67" w:type="dxa"/>
              <w:right w:w="67" w:type="dxa"/>
            </w:tcMar>
            <w:vAlign w:val="center"/>
          </w:tcPr>
          <w:p w14:paraId="45E7EA6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Female vs. Male</w:t>
            </w:r>
          </w:p>
        </w:tc>
        <w:tc>
          <w:tcPr>
            <w:tcW w:w="1134" w:type="dxa"/>
            <w:tcBorders>
              <w:top w:val="nil"/>
              <w:left w:val="nil"/>
              <w:bottom w:val="nil"/>
              <w:right w:val="nil"/>
            </w:tcBorders>
            <w:shd w:val="clear" w:color="auto" w:fill="FFFFFF"/>
            <w:tcMar>
              <w:left w:w="67" w:type="dxa"/>
              <w:right w:w="67" w:type="dxa"/>
            </w:tcMar>
            <w:vAlign w:val="center"/>
          </w:tcPr>
          <w:p w14:paraId="6D19801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-0.01643</w:t>
            </w:r>
          </w:p>
        </w:tc>
        <w:tc>
          <w:tcPr>
            <w:tcW w:w="1134" w:type="dxa"/>
            <w:tcBorders>
              <w:top w:val="nil"/>
              <w:left w:val="nil"/>
              <w:bottom w:val="nil"/>
              <w:right w:val="nil"/>
            </w:tcBorders>
            <w:shd w:val="clear" w:color="auto" w:fill="FFFFFF"/>
            <w:tcMar>
              <w:left w:w="67" w:type="dxa"/>
              <w:right w:w="67" w:type="dxa"/>
            </w:tcMar>
            <w:vAlign w:val="center"/>
          </w:tcPr>
          <w:p w14:paraId="06549F9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777A5F0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-0.0230</w:t>
            </w:r>
          </w:p>
        </w:tc>
        <w:tc>
          <w:tcPr>
            <w:tcW w:w="1134" w:type="dxa"/>
            <w:tcBorders>
              <w:top w:val="nil"/>
              <w:left w:val="nil"/>
              <w:bottom w:val="nil"/>
              <w:right w:val="nil"/>
            </w:tcBorders>
            <w:shd w:val="clear" w:color="auto" w:fill="FFFFFF"/>
            <w:tcMar>
              <w:left w:w="67" w:type="dxa"/>
              <w:right w:w="67" w:type="dxa"/>
            </w:tcMar>
            <w:vAlign w:val="center"/>
          </w:tcPr>
          <w:p w14:paraId="2C9BA7B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-0.0099</w:t>
            </w:r>
          </w:p>
        </w:tc>
        <w:tc>
          <w:tcPr>
            <w:tcW w:w="1134" w:type="dxa"/>
            <w:tcBorders>
              <w:top w:val="nil"/>
              <w:left w:val="nil"/>
              <w:bottom w:val="nil"/>
              <w:right w:val="nil"/>
            </w:tcBorders>
            <w:shd w:val="clear" w:color="auto" w:fill="FFFFFF"/>
            <w:tcMar>
              <w:left w:w="67" w:type="dxa"/>
              <w:right w:w="67" w:type="dxa"/>
            </w:tcMar>
            <w:vAlign w:val="center"/>
          </w:tcPr>
          <w:p w14:paraId="6A7D14B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31.73</w:t>
            </w:r>
          </w:p>
        </w:tc>
        <w:tc>
          <w:tcPr>
            <w:tcW w:w="567" w:type="dxa"/>
            <w:tcBorders>
              <w:top w:val="nil"/>
              <w:left w:val="nil"/>
              <w:bottom w:val="nil"/>
              <w:right w:val="nil"/>
            </w:tcBorders>
            <w:shd w:val="clear" w:color="auto" w:fill="FFFFFF"/>
            <w:tcMar>
              <w:left w:w="67" w:type="dxa"/>
              <w:right w:w="67" w:type="dxa"/>
            </w:tcMar>
            <w:vAlign w:val="center"/>
          </w:tcPr>
          <w:p w14:paraId="5B91253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4CD22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2D38243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D19253"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Age</w:t>
            </w:r>
          </w:p>
        </w:tc>
        <w:tc>
          <w:tcPr>
            <w:tcW w:w="3969" w:type="dxa"/>
            <w:tcBorders>
              <w:top w:val="nil"/>
              <w:left w:val="nil"/>
              <w:bottom w:val="nil"/>
              <w:right w:val="nil"/>
            </w:tcBorders>
            <w:shd w:val="clear" w:color="auto" w:fill="FFFFFF"/>
            <w:tcMar>
              <w:left w:w="67" w:type="dxa"/>
              <w:right w:w="67" w:type="dxa"/>
            </w:tcMar>
            <w:vAlign w:val="center"/>
          </w:tcPr>
          <w:p w14:paraId="30E7295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2F2A728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-0.00325</w:t>
            </w:r>
          </w:p>
        </w:tc>
        <w:tc>
          <w:tcPr>
            <w:tcW w:w="1134" w:type="dxa"/>
            <w:tcBorders>
              <w:top w:val="nil"/>
              <w:left w:val="nil"/>
              <w:bottom w:val="nil"/>
              <w:right w:val="nil"/>
            </w:tcBorders>
            <w:shd w:val="clear" w:color="auto" w:fill="FFFFFF"/>
            <w:tcMar>
              <w:left w:w="67" w:type="dxa"/>
              <w:right w:w="67" w:type="dxa"/>
            </w:tcMar>
            <w:vAlign w:val="center"/>
          </w:tcPr>
          <w:p w14:paraId="0A78A98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520C0C3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333C621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2E8C896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892.63</w:t>
            </w:r>
          </w:p>
        </w:tc>
        <w:tc>
          <w:tcPr>
            <w:tcW w:w="567" w:type="dxa"/>
            <w:tcBorders>
              <w:top w:val="nil"/>
              <w:left w:val="nil"/>
              <w:bottom w:val="nil"/>
              <w:right w:val="nil"/>
            </w:tcBorders>
            <w:shd w:val="clear" w:color="auto" w:fill="FFFFFF"/>
            <w:tcMar>
              <w:left w:w="67" w:type="dxa"/>
              <w:right w:w="67" w:type="dxa"/>
            </w:tcMar>
            <w:vAlign w:val="center"/>
          </w:tcPr>
          <w:p w14:paraId="607F842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FE1A0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211114A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DD1AD3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FEE038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p>
        </w:tc>
        <w:tc>
          <w:tcPr>
            <w:tcW w:w="1134" w:type="dxa"/>
            <w:tcBorders>
              <w:top w:val="nil"/>
              <w:left w:val="nil"/>
              <w:bottom w:val="nil"/>
              <w:right w:val="nil"/>
            </w:tcBorders>
            <w:shd w:val="clear" w:color="auto" w:fill="FFFFFF"/>
            <w:tcMar>
              <w:left w:w="67" w:type="dxa"/>
              <w:right w:w="67" w:type="dxa"/>
            </w:tcMar>
            <w:vAlign w:val="center"/>
          </w:tcPr>
          <w:p w14:paraId="7909F38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-0.00012</w:t>
            </w:r>
          </w:p>
        </w:tc>
        <w:tc>
          <w:tcPr>
            <w:tcW w:w="1134" w:type="dxa"/>
            <w:tcBorders>
              <w:top w:val="nil"/>
              <w:left w:val="nil"/>
              <w:bottom w:val="nil"/>
              <w:right w:val="nil"/>
            </w:tcBorders>
            <w:shd w:val="clear" w:color="auto" w:fill="FFFFFF"/>
            <w:tcMar>
              <w:left w:w="67" w:type="dxa"/>
              <w:right w:w="67" w:type="dxa"/>
            </w:tcMar>
            <w:vAlign w:val="center"/>
          </w:tcPr>
          <w:p w14:paraId="0DD0B00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9FDCDB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38C8CE4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0A9E3E8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1.24</w:t>
            </w:r>
          </w:p>
        </w:tc>
        <w:tc>
          <w:tcPr>
            <w:tcW w:w="567" w:type="dxa"/>
            <w:tcBorders>
              <w:top w:val="nil"/>
              <w:left w:val="nil"/>
              <w:bottom w:val="nil"/>
              <w:right w:val="nil"/>
            </w:tcBorders>
            <w:shd w:val="clear" w:color="auto" w:fill="FFFFFF"/>
            <w:tcMar>
              <w:left w:w="67" w:type="dxa"/>
              <w:right w:w="67" w:type="dxa"/>
            </w:tcMar>
            <w:vAlign w:val="center"/>
          </w:tcPr>
          <w:p w14:paraId="73D0A3F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302BE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0.2662</w:t>
            </w:r>
          </w:p>
        </w:tc>
      </w:tr>
      <w:tr w:rsidR="00B77EA3" w:rsidRPr="0082484A" w14:paraId="0CD20A3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5265C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F17104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2D777B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0.02086</w:t>
            </w:r>
          </w:p>
        </w:tc>
        <w:tc>
          <w:tcPr>
            <w:tcW w:w="1134" w:type="dxa"/>
            <w:tcBorders>
              <w:top w:val="nil"/>
              <w:left w:val="nil"/>
              <w:bottom w:val="nil"/>
              <w:right w:val="nil"/>
            </w:tcBorders>
            <w:shd w:val="clear" w:color="auto" w:fill="FFFFFF"/>
            <w:tcMar>
              <w:left w:w="67" w:type="dxa"/>
              <w:right w:w="67" w:type="dxa"/>
            </w:tcMar>
            <w:vAlign w:val="center"/>
          </w:tcPr>
          <w:p w14:paraId="2F1862C0"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0.0180</w:t>
            </w:r>
          </w:p>
        </w:tc>
        <w:tc>
          <w:tcPr>
            <w:tcW w:w="1134" w:type="dxa"/>
            <w:tcBorders>
              <w:top w:val="nil"/>
              <w:left w:val="nil"/>
              <w:bottom w:val="nil"/>
              <w:right w:val="nil"/>
            </w:tcBorders>
            <w:shd w:val="clear" w:color="auto" w:fill="FFFFFF"/>
            <w:tcMar>
              <w:left w:w="67" w:type="dxa"/>
              <w:right w:w="67" w:type="dxa"/>
            </w:tcMar>
            <w:vAlign w:val="center"/>
          </w:tcPr>
          <w:p w14:paraId="55912D3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-0.0195</w:t>
            </w:r>
          </w:p>
        </w:tc>
        <w:tc>
          <w:tcPr>
            <w:tcW w:w="1134" w:type="dxa"/>
            <w:tcBorders>
              <w:top w:val="nil"/>
              <w:left w:val="nil"/>
              <w:bottom w:val="nil"/>
              <w:right w:val="nil"/>
            </w:tcBorders>
            <w:shd w:val="clear" w:color="auto" w:fill="FFFFFF"/>
            <w:tcMar>
              <w:left w:w="67" w:type="dxa"/>
              <w:right w:w="67" w:type="dxa"/>
            </w:tcMar>
            <w:vAlign w:val="center"/>
          </w:tcPr>
          <w:p w14:paraId="3D80DCD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0.0612</w:t>
            </w:r>
          </w:p>
        </w:tc>
        <w:tc>
          <w:tcPr>
            <w:tcW w:w="1134" w:type="dxa"/>
            <w:tcBorders>
              <w:top w:val="nil"/>
              <w:left w:val="nil"/>
              <w:bottom w:val="nil"/>
              <w:right w:val="nil"/>
            </w:tcBorders>
            <w:shd w:val="clear" w:color="auto" w:fill="FFFFFF"/>
            <w:tcMar>
              <w:left w:w="67" w:type="dxa"/>
              <w:right w:w="67" w:type="dxa"/>
            </w:tcMar>
            <w:vAlign w:val="center"/>
          </w:tcPr>
          <w:p w14:paraId="13A5FF7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2.89</w:t>
            </w:r>
          </w:p>
        </w:tc>
        <w:tc>
          <w:tcPr>
            <w:tcW w:w="567" w:type="dxa"/>
            <w:tcBorders>
              <w:top w:val="nil"/>
              <w:left w:val="nil"/>
              <w:bottom w:val="nil"/>
              <w:right w:val="nil"/>
            </w:tcBorders>
            <w:shd w:val="clear" w:color="auto" w:fill="FFFFFF"/>
            <w:tcMar>
              <w:left w:w="67" w:type="dxa"/>
              <w:right w:w="67" w:type="dxa"/>
            </w:tcMar>
            <w:vAlign w:val="center"/>
          </w:tcPr>
          <w:p w14:paraId="6246A21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AC5441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0.0020</w:t>
            </w:r>
          </w:p>
        </w:tc>
      </w:tr>
      <w:tr w:rsidR="00B77EA3" w:rsidRPr="0082484A" w14:paraId="0EDB82F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0DF7E81"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9050B7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19647D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0.01734</w:t>
            </w:r>
          </w:p>
        </w:tc>
        <w:tc>
          <w:tcPr>
            <w:tcW w:w="1134" w:type="dxa"/>
            <w:tcBorders>
              <w:top w:val="nil"/>
              <w:left w:val="nil"/>
              <w:bottom w:val="nil"/>
              <w:right w:val="nil"/>
            </w:tcBorders>
            <w:shd w:val="clear" w:color="auto" w:fill="FFFFFF"/>
            <w:tcMar>
              <w:left w:w="67" w:type="dxa"/>
              <w:right w:w="67" w:type="dxa"/>
            </w:tcMar>
            <w:vAlign w:val="center"/>
          </w:tcPr>
          <w:p w14:paraId="5D4E30D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0.0168</w:t>
            </w:r>
          </w:p>
        </w:tc>
        <w:tc>
          <w:tcPr>
            <w:tcW w:w="1134" w:type="dxa"/>
            <w:tcBorders>
              <w:top w:val="nil"/>
              <w:left w:val="nil"/>
              <w:bottom w:val="nil"/>
              <w:right w:val="nil"/>
            </w:tcBorders>
            <w:shd w:val="clear" w:color="auto" w:fill="FFFFFF"/>
            <w:tcMar>
              <w:left w:w="67" w:type="dxa"/>
              <w:right w:w="67" w:type="dxa"/>
            </w:tcMar>
            <w:vAlign w:val="center"/>
          </w:tcPr>
          <w:p w14:paraId="1BB44AA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-0.0204</w:t>
            </w:r>
          </w:p>
        </w:tc>
        <w:tc>
          <w:tcPr>
            <w:tcW w:w="1134" w:type="dxa"/>
            <w:tcBorders>
              <w:top w:val="nil"/>
              <w:left w:val="nil"/>
              <w:bottom w:val="nil"/>
              <w:right w:val="nil"/>
            </w:tcBorders>
            <w:shd w:val="clear" w:color="auto" w:fill="FFFFFF"/>
            <w:tcMar>
              <w:left w:w="67" w:type="dxa"/>
              <w:right w:w="67" w:type="dxa"/>
            </w:tcMar>
            <w:vAlign w:val="center"/>
          </w:tcPr>
          <w:p w14:paraId="6EA0920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0.0551</w:t>
            </w:r>
          </w:p>
        </w:tc>
        <w:tc>
          <w:tcPr>
            <w:tcW w:w="1134" w:type="dxa"/>
            <w:tcBorders>
              <w:top w:val="nil"/>
              <w:left w:val="nil"/>
              <w:bottom w:val="nil"/>
              <w:right w:val="nil"/>
            </w:tcBorders>
            <w:shd w:val="clear" w:color="auto" w:fill="FFFFFF"/>
            <w:tcMar>
              <w:left w:w="67" w:type="dxa"/>
              <w:right w:w="67" w:type="dxa"/>
            </w:tcMar>
            <w:vAlign w:val="center"/>
          </w:tcPr>
          <w:p w14:paraId="210EFA93"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6AF9FC2"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A90C4D2"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2476575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3CB718"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248DA6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FEE79B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0.01617</w:t>
            </w:r>
          </w:p>
        </w:tc>
        <w:tc>
          <w:tcPr>
            <w:tcW w:w="1134" w:type="dxa"/>
            <w:tcBorders>
              <w:top w:val="nil"/>
              <w:left w:val="nil"/>
              <w:bottom w:val="nil"/>
              <w:right w:val="nil"/>
            </w:tcBorders>
            <w:shd w:val="clear" w:color="auto" w:fill="FFFFFF"/>
            <w:tcMar>
              <w:left w:w="67" w:type="dxa"/>
              <w:right w:w="67" w:type="dxa"/>
            </w:tcMar>
            <w:vAlign w:val="center"/>
          </w:tcPr>
          <w:p w14:paraId="6AC0C12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0.0119</w:t>
            </w:r>
          </w:p>
        </w:tc>
        <w:tc>
          <w:tcPr>
            <w:tcW w:w="1134" w:type="dxa"/>
            <w:tcBorders>
              <w:top w:val="nil"/>
              <w:left w:val="nil"/>
              <w:bottom w:val="nil"/>
              <w:right w:val="nil"/>
            </w:tcBorders>
            <w:shd w:val="clear" w:color="auto" w:fill="FFFFFF"/>
            <w:tcMar>
              <w:left w:w="67" w:type="dxa"/>
              <w:right w:w="67" w:type="dxa"/>
            </w:tcMar>
            <w:vAlign w:val="center"/>
          </w:tcPr>
          <w:p w14:paraId="7FBE637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-0.0105</w:t>
            </w:r>
          </w:p>
        </w:tc>
        <w:tc>
          <w:tcPr>
            <w:tcW w:w="1134" w:type="dxa"/>
            <w:tcBorders>
              <w:top w:val="nil"/>
              <w:left w:val="nil"/>
              <w:bottom w:val="nil"/>
              <w:right w:val="nil"/>
            </w:tcBorders>
            <w:shd w:val="clear" w:color="auto" w:fill="FFFFFF"/>
            <w:tcMar>
              <w:left w:w="67" w:type="dxa"/>
              <w:right w:w="67" w:type="dxa"/>
            </w:tcMar>
            <w:vAlign w:val="center"/>
          </w:tcPr>
          <w:p w14:paraId="45FB6AFB"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0.0429</w:t>
            </w:r>
          </w:p>
        </w:tc>
        <w:tc>
          <w:tcPr>
            <w:tcW w:w="1134" w:type="dxa"/>
            <w:tcBorders>
              <w:top w:val="nil"/>
              <w:left w:val="nil"/>
              <w:bottom w:val="nil"/>
              <w:right w:val="nil"/>
            </w:tcBorders>
            <w:shd w:val="clear" w:color="auto" w:fill="FFFFFF"/>
            <w:tcMar>
              <w:left w:w="67" w:type="dxa"/>
              <w:right w:w="67" w:type="dxa"/>
            </w:tcMar>
            <w:vAlign w:val="center"/>
          </w:tcPr>
          <w:p w14:paraId="5943FE6B"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084238B"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85448B7"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6E29FD8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B009929"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00B8D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3BF451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-0.01574</w:t>
            </w:r>
          </w:p>
        </w:tc>
        <w:tc>
          <w:tcPr>
            <w:tcW w:w="1134" w:type="dxa"/>
            <w:tcBorders>
              <w:top w:val="nil"/>
              <w:left w:val="nil"/>
              <w:bottom w:val="nil"/>
              <w:right w:val="nil"/>
            </w:tcBorders>
            <w:shd w:val="clear" w:color="auto" w:fill="FFFFFF"/>
            <w:tcMar>
              <w:left w:w="67" w:type="dxa"/>
              <w:right w:w="67" w:type="dxa"/>
            </w:tcMar>
            <w:vAlign w:val="center"/>
          </w:tcPr>
          <w:p w14:paraId="3BCAD71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0.0166</w:t>
            </w:r>
          </w:p>
        </w:tc>
        <w:tc>
          <w:tcPr>
            <w:tcW w:w="1134" w:type="dxa"/>
            <w:tcBorders>
              <w:top w:val="nil"/>
              <w:left w:val="nil"/>
              <w:bottom w:val="nil"/>
              <w:right w:val="nil"/>
            </w:tcBorders>
            <w:shd w:val="clear" w:color="auto" w:fill="FFFFFF"/>
            <w:tcMar>
              <w:left w:w="67" w:type="dxa"/>
              <w:right w:w="67" w:type="dxa"/>
            </w:tcMar>
            <w:vAlign w:val="center"/>
          </w:tcPr>
          <w:p w14:paraId="6FAAE66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-0.0529</w:t>
            </w:r>
          </w:p>
        </w:tc>
        <w:tc>
          <w:tcPr>
            <w:tcW w:w="1134" w:type="dxa"/>
            <w:tcBorders>
              <w:top w:val="nil"/>
              <w:left w:val="nil"/>
              <w:bottom w:val="nil"/>
              <w:right w:val="nil"/>
            </w:tcBorders>
            <w:shd w:val="clear" w:color="auto" w:fill="FFFFFF"/>
            <w:tcMar>
              <w:left w:w="67" w:type="dxa"/>
              <w:right w:w="67" w:type="dxa"/>
            </w:tcMar>
            <w:vAlign w:val="center"/>
          </w:tcPr>
          <w:p w14:paraId="0A569F3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0.0215</w:t>
            </w:r>
          </w:p>
        </w:tc>
        <w:tc>
          <w:tcPr>
            <w:tcW w:w="1134" w:type="dxa"/>
            <w:tcBorders>
              <w:top w:val="nil"/>
              <w:left w:val="nil"/>
              <w:bottom w:val="nil"/>
              <w:right w:val="nil"/>
            </w:tcBorders>
            <w:shd w:val="clear" w:color="auto" w:fill="FFFFFF"/>
            <w:tcMar>
              <w:left w:w="67" w:type="dxa"/>
              <w:right w:w="67" w:type="dxa"/>
            </w:tcMar>
            <w:vAlign w:val="center"/>
          </w:tcPr>
          <w:p w14:paraId="3827D77A"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8247DF"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0C2D14"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0307C29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EF2244"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002819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B3347F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-0.03522</w:t>
            </w:r>
          </w:p>
        </w:tc>
        <w:tc>
          <w:tcPr>
            <w:tcW w:w="1134" w:type="dxa"/>
            <w:tcBorders>
              <w:top w:val="nil"/>
              <w:left w:val="nil"/>
              <w:bottom w:val="nil"/>
              <w:right w:val="nil"/>
            </w:tcBorders>
            <w:shd w:val="clear" w:color="auto" w:fill="FFFFFF"/>
            <w:tcMar>
              <w:left w:w="67" w:type="dxa"/>
              <w:right w:w="67" w:type="dxa"/>
            </w:tcMar>
            <w:vAlign w:val="center"/>
          </w:tcPr>
          <w:p w14:paraId="795D9A9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0.0167</w:t>
            </w:r>
          </w:p>
        </w:tc>
        <w:tc>
          <w:tcPr>
            <w:tcW w:w="1134" w:type="dxa"/>
            <w:tcBorders>
              <w:top w:val="nil"/>
              <w:left w:val="nil"/>
              <w:bottom w:val="nil"/>
              <w:right w:val="nil"/>
            </w:tcBorders>
            <w:shd w:val="clear" w:color="auto" w:fill="FFFFFF"/>
            <w:tcMar>
              <w:left w:w="67" w:type="dxa"/>
              <w:right w:w="67" w:type="dxa"/>
            </w:tcMar>
            <w:vAlign w:val="center"/>
          </w:tcPr>
          <w:p w14:paraId="170066D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-0.0728</w:t>
            </w:r>
          </w:p>
        </w:tc>
        <w:tc>
          <w:tcPr>
            <w:tcW w:w="1134" w:type="dxa"/>
            <w:tcBorders>
              <w:top w:val="nil"/>
              <w:left w:val="nil"/>
              <w:bottom w:val="nil"/>
              <w:right w:val="nil"/>
            </w:tcBorders>
            <w:shd w:val="clear" w:color="auto" w:fill="FFFFFF"/>
            <w:tcMar>
              <w:left w:w="67" w:type="dxa"/>
              <w:right w:w="67" w:type="dxa"/>
            </w:tcMar>
            <w:vAlign w:val="center"/>
          </w:tcPr>
          <w:p w14:paraId="0576848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0.0023</w:t>
            </w:r>
          </w:p>
        </w:tc>
        <w:tc>
          <w:tcPr>
            <w:tcW w:w="1134" w:type="dxa"/>
            <w:tcBorders>
              <w:top w:val="nil"/>
              <w:left w:val="nil"/>
              <w:bottom w:val="nil"/>
              <w:right w:val="nil"/>
            </w:tcBorders>
            <w:shd w:val="clear" w:color="auto" w:fill="FFFFFF"/>
            <w:tcMar>
              <w:left w:w="67" w:type="dxa"/>
              <w:right w:w="67" w:type="dxa"/>
            </w:tcMar>
            <w:vAlign w:val="center"/>
          </w:tcPr>
          <w:p w14:paraId="2EC5EB08"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D66526"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F35B71"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56630B4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C1BC3A"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25EE9F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E41B07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-0.02072</w:t>
            </w:r>
          </w:p>
        </w:tc>
        <w:tc>
          <w:tcPr>
            <w:tcW w:w="1134" w:type="dxa"/>
            <w:tcBorders>
              <w:top w:val="nil"/>
              <w:left w:val="nil"/>
              <w:bottom w:val="nil"/>
              <w:right w:val="nil"/>
            </w:tcBorders>
            <w:shd w:val="clear" w:color="auto" w:fill="FFFFFF"/>
            <w:tcMar>
              <w:left w:w="67" w:type="dxa"/>
              <w:right w:w="67" w:type="dxa"/>
            </w:tcMar>
            <w:vAlign w:val="center"/>
          </w:tcPr>
          <w:p w14:paraId="391BD75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7C21063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-0.0625</w:t>
            </w:r>
          </w:p>
        </w:tc>
        <w:tc>
          <w:tcPr>
            <w:tcW w:w="1134" w:type="dxa"/>
            <w:tcBorders>
              <w:top w:val="nil"/>
              <w:left w:val="nil"/>
              <w:bottom w:val="nil"/>
              <w:right w:val="nil"/>
            </w:tcBorders>
            <w:shd w:val="clear" w:color="auto" w:fill="FFFFFF"/>
            <w:tcMar>
              <w:left w:w="67" w:type="dxa"/>
              <w:right w:w="67" w:type="dxa"/>
            </w:tcMar>
            <w:vAlign w:val="center"/>
          </w:tcPr>
          <w:p w14:paraId="19F91FA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0.0210</w:t>
            </w:r>
          </w:p>
        </w:tc>
        <w:tc>
          <w:tcPr>
            <w:tcW w:w="1134" w:type="dxa"/>
            <w:tcBorders>
              <w:top w:val="nil"/>
              <w:left w:val="nil"/>
              <w:bottom w:val="nil"/>
              <w:right w:val="nil"/>
            </w:tcBorders>
            <w:shd w:val="clear" w:color="auto" w:fill="FFFFFF"/>
            <w:tcMar>
              <w:left w:w="67" w:type="dxa"/>
              <w:right w:w="67" w:type="dxa"/>
            </w:tcMar>
            <w:vAlign w:val="center"/>
          </w:tcPr>
          <w:p w14:paraId="053F832A"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09798A7"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2C839EE"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4452D3F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0B5200E"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F9B817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BC29DE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0.01367</w:t>
            </w:r>
          </w:p>
        </w:tc>
        <w:tc>
          <w:tcPr>
            <w:tcW w:w="1134" w:type="dxa"/>
            <w:tcBorders>
              <w:top w:val="nil"/>
              <w:left w:val="nil"/>
              <w:bottom w:val="nil"/>
              <w:right w:val="nil"/>
            </w:tcBorders>
            <w:shd w:val="clear" w:color="auto" w:fill="FFFFFF"/>
            <w:tcMar>
              <w:left w:w="67" w:type="dxa"/>
              <w:right w:w="67" w:type="dxa"/>
            </w:tcMar>
            <w:vAlign w:val="center"/>
          </w:tcPr>
          <w:p w14:paraId="7430816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0.0144</w:t>
            </w:r>
          </w:p>
        </w:tc>
        <w:tc>
          <w:tcPr>
            <w:tcW w:w="1134" w:type="dxa"/>
            <w:tcBorders>
              <w:top w:val="nil"/>
              <w:left w:val="nil"/>
              <w:bottom w:val="nil"/>
              <w:right w:val="nil"/>
            </w:tcBorders>
            <w:shd w:val="clear" w:color="auto" w:fill="FFFFFF"/>
            <w:tcMar>
              <w:left w:w="67" w:type="dxa"/>
              <w:right w:w="67" w:type="dxa"/>
            </w:tcMar>
            <w:vAlign w:val="center"/>
          </w:tcPr>
          <w:p w14:paraId="03E242F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1A30984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0.0459</w:t>
            </w:r>
          </w:p>
        </w:tc>
        <w:tc>
          <w:tcPr>
            <w:tcW w:w="1134" w:type="dxa"/>
            <w:tcBorders>
              <w:top w:val="nil"/>
              <w:left w:val="nil"/>
              <w:bottom w:val="nil"/>
              <w:right w:val="nil"/>
            </w:tcBorders>
            <w:shd w:val="clear" w:color="auto" w:fill="FFFFFF"/>
            <w:tcMar>
              <w:left w:w="67" w:type="dxa"/>
              <w:right w:w="67" w:type="dxa"/>
            </w:tcMar>
            <w:vAlign w:val="center"/>
          </w:tcPr>
          <w:p w14:paraId="554F0115"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2E9774B"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1924AF7"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31AA056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99F289"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4FA42C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E0409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-0.00162</w:t>
            </w:r>
          </w:p>
        </w:tc>
        <w:tc>
          <w:tcPr>
            <w:tcW w:w="1134" w:type="dxa"/>
            <w:tcBorders>
              <w:top w:val="nil"/>
              <w:left w:val="nil"/>
              <w:bottom w:val="nil"/>
              <w:right w:val="nil"/>
            </w:tcBorders>
            <w:shd w:val="clear" w:color="auto" w:fill="FFFFFF"/>
            <w:tcMar>
              <w:left w:w="67" w:type="dxa"/>
              <w:right w:w="67" w:type="dxa"/>
            </w:tcMar>
            <w:vAlign w:val="center"/>
          </w:tcPr>
          <w:p w14:paraId="291B474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0.0166</w:t>
            </w:r>
          </w:p>
        </w:tc>
        <w:tc>
          <w:tcPr>
            <w:tcW w:w="1134" w:type="dxa"/>
            <w:tcBorders>
              <w:top w:val="nil"/>
              <w:left w:val="nil"/>
              <w:bottom w:val="nil"/>
              <w:right w:val="nil"/>
            </w:tcBorders>
            <w:shd w:val="clear" w:color="auto" w:fill="FFFFFF"/>
            <w:tcMar>
              <w:left w:w="67" w:type="dxa"/>
              <w:right w:w="67" w:type="dxa"/>
            </w:tcMar>
            <w:vAlign w:val="center"/>
          </w:tcPr>
          <w:p w14:paraId="16899DB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-0.0387</w:t>
            </w:r>
          </w:p>
        </w:tc>
        <w:tc>
          <w:tcPr>
            <w:tcW w:w="1134" w:type="dxa"/>
            <w:tcBorders>
              <w:top w:val="nil"/>
              <w:left w:val="nil"/>
              <w:bottom w:val="nil"/>
              <w:right w:val="nil"/>
            </w:tcBorders>
            <w:shd w:val="clear" w:color="auto" w:fill="FFFFFF"/>
            <w:tcMar>
              <w:left w:w="67" w:type="dxa"/>
              <w:right w:w="67" w:type="dxa"/>
            </w:tcMar>
            <w:vAlign w:val="center"/>
          </w:tcPr>
          <w:p w14:paraId="3874878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0.0355</w:t>
            </w:r>
          </w:p>
        </w:tc>
        <w:tc>
          <w:tcPr>
            <w:tcW w:w="1134" w:type="dxa"/>
            <w:tcBorders>
              <w:top w:val="nil"/>
              <w:left w:val="nil"/>
              <w:bottom w:val="nil"/>
              <w:right w:val="nil"/>
            </w:tcBorders>
            <w:shd w:val="clear" w:color="auto" w:fill="FFFFFF"/>
            <w:tcMar>
              <w:left w:w="67" w:type="dxa"/>
              <w:right w:w="67" w:type="dxa"/>
            </w:tcMar>
            <w:vAlign w:val="center"/>
          </w:tcPr>
          <w:p w14:paraId="697FAD77"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2E9841"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93D047"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11003D6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29D9FBF"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4065B1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E1997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0.02622</w:t>
            </w:r>
          </w:p>
        </w:tc>
        <w:tc>
          <w:tcPr>
            <w:tcW w:w="1134" w:type="dxa"/>
            <w:tcBorders>
              <w:top w:val="nil"/>
              <w:left w:val="nil"/>
              <w:bottom w:val="nil"/>
              <w:right w:val="nil"/>
            </w:tcBorders>
            <w:shd w:val="clear" w:color="auto" w:fill="FFFFFF"/>
            <w:tcMar>
              <w:left w:w="67" w:type="dxa"/>
              <w:right w:w="67" w:type="dxa"/>
            </w:tcMar>
            <w:vAlign w:val="center"/>
          </w:tcPr>
          <w:p w14:paraId="73C9135D"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0.0149</w:t>
            </w:r>
          </w:p>
        </w:tc>
        <w:tc>
          <w:tcPr>
            <w:tcW w:w="1134" w:type="dxa"/>
            <w:tcBorders>
              <w:top w:val="nil"/>
              <w:left w:val="nil"/>
              <w:bottom w:val="nil"/>
              <w:right w:val="nil"/>
            </w:tcBorders>
            <w:shd w:val="clear" w:color="auto" w:fill="FFFFFF"/>
            <w:tcMar>
              <w:left w:w="67" w:type="dxa"/>
              <w:right w:w="67" w:type="dxa"/>
            </w:tcMar>
            <w:vAlign w:val="center"/>
          </w:tcPr>
          <w:p w14:paraId="03F8CC4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-0.0072</w:t>
            </w:r>
          </w:p>
        </w:tc>
        <w:tc>
          <w:tcPr>
            <w:tcW w:w="1134" w:type="dxa"/>
            <w:tcBorders>
              <w:top w:val="nil"/>
              <w:left w:val="nil"/>
              <w:bottom w:val="nil"/>
              <w:right w:val="nil"/>
            </w:tcBorders>
            <w:shd w:val="clear" w:color="auto" w:fill="FFFFFF"/>
            <w:tcMar>
              <w:left w:w="67" w:type="dxa"/>
              <w:right w:w="67" w:type="dxa"/>
            </w:tcMar>
            <w:vAlign w:val="center"/>
          </w:tcPr>
          <w:p w14:paraId="7AC16C1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0.0597</w:t>
            </w:r>
          </w:p>
        </w:tc>
        <w:tc>
          <w:tcPr>
            <w:tcW w:w="1134" w:type="dxa"/>
            <w:tcBorders>
              <w:top w:val="nil"/>
              <w:left w:val="nil"/>
              <w:bottom w:val="nil"/>
              <w:right w:val="nil"/>
            </w:tcBorders>
            <w:shd w:val="clear" w:color="auto" w:fill="FFFFFF"/>
            <w:tcMar>
              <w:left w:w="67" w:type="dxa"/>
              <w:right w:w="67" w:type="dxa"/>
            </w:tcMar>
            <w:vAlign w:val="center"/>
          </w:tcPr>
          <w:p w14:paraId="695BFC27" w14:textId="77777777" w:rsidR="00B77EA3" w:rsidRPr="0082484A" w:rsidRDefault="00B77EA3" w:rsidP="00B77EA3">
            <w:pPr>
              <w:adjustRightInd w:val="0"/>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E549B3" w14:textId="77777777" w:rsidR="00B77EA3" w:rsidRPr="0082484A" w:rsidRDefault="00B77EA3" w:rsidP="00B77EA3">
            <w:pPr>
              <w:adjustRightInd w:val="0"/>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F491039" w14:textId="77777777" w:rsidR="00B77EA3" w:rsidRPr="0082484A" w:rsidRDefault="00B77EA3" w:rsidP="00B77EA3">
            <w:pPr>
              <w:adjustRightInd w:val="0"/>
              <w:spacing w:beforeLines="10" w:before="24" w:afterLines="10" w:after="24" w:line="240" w:lineRule="auto"/>
              <w:jc w:val="center"/>
              <w:rPr>
                <w:sz w:val="22"/>
                <w:szCs w:val="22"/>
              </w:rPr>
            </w:pPr>
          </w:p>
        </w:tc>
      </w:tr>
      <w:tr w:rsidR="00B77EA3" w:rsidRPr="0082484A" w14:paraId="6064C2F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13FE145"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AB1F9E6"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8CC9A43"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0.00014</w:t>
            </w:r>
          </w:p>
        </w:tc>
        <w:tc>
          <w:tcPr>
            <w:tcW w:w="1134" w:type="dxa"/>
            <w:tcBorders>
              <w:top w:val="nil"/>
              <w:left w:val="nil"/>
              <w:bottom w:val="nil"/>
              <w:right w:val="nil"/>
            </w:tcBorders>
            <w:shd w:val="clear" w:color="auto" w:fill="FFFFFF"/>
            <w:tcMar>
              <w:left w:w="67" w:type="dxa"/>
              <w:right w:w="67" w:type="dxa"/>
            </w:tcMar>
            <w:vAlign w:val="center"/>
          </w:tcPr>
          <w:p w14:paraId="1C46CE8A"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636E419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17D67C2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1A6565D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3EFFDC9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8BF5D2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0.8678</w:t>
            </w:r>
          </w:p>
        </w:tc>
      </w:tr>
      <w:tr w:rsidR="00B77EA3" w:rsidRPr="0082484A" w14:paraId="43E6025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4990B1A"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4E4B97D8"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50D2A8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-0.00281</w:t>
            </w:r>
          </w:p>
        </w:tc>
        <w:tc>
          <w:tcPr>
            <w:tcW w:w="1134" w:type="dxa"/>
            <w:tcBorders>
              <w:top w:val="nil"/>
              <w:left w:val="nil"/>
              <w:bottom w:val="nil"/>
              <w:right w:val="nil"/>
            </w:tcBorders>
            <w:shd w:val="clear" w:color="auto" w:fill="FFFFFF"/>
            <w:tcMar>
              <w:left w:w="67" w:type="dxa"/>
              <w:right w:w="67" w:type="dxa"/>
            </w:tcMar>
            <w:vAlign w:val="center"/>
          </w:tcPr>
          <w:p w14:paraId="2525A748"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308F430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-0.0040</w:t>
            </w:r>
          </w:p>
        </w:tc>
        <w:tc>
          <w:tcPr>
            <w:tcW w:w="1134" w:type="dxa"/>
            <w:tcBorders>
              <w:top w:val="nil"/>
              <w:left w:val="nil"/>
              <w:bottom w:val="nil"/>
              <w:right w:val="nil"/>
            </w:tcBorders>
            <w:shd w:val="clear" w:color="auto" w:fill="FFFFFF"/>
            <w:tcMar>
              <w:left w:w="67" w:type="dxa"/>
              <w:right w:w="67" w:type="dxa"/>
            </w:tcMar>
            <w:vAlign w:val="center"/>
          </w:tcPr>
          <w:p w14:paraId="030A730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-0.0017</w:t>
            </w:r>
          </w:p>
        </w:tc>
        <w:tc>
          <w:tcPr>
            <w:tcW w:w="1134" w:type="dxa"/>
            <w:tcBorders>
              <w:top w:val="nil"/>
              <w:left w:val="nil"/>
              <w:bottom w:val="nil"/>
              <w:right w:val="nil"/>
            </w:tcBorders>
            <w:shd w:val="clear" w:color="auto" w:fill="FFFFFF"/>
            <w:tcMar>
              <w:left w:w="67" w:type="dxa"/>
              <w:right w:w="67" w:type="dxa"/>
            </w:tcMar>
            <w:vAlign w:val="center"/>
          </w:tcPr>
          <w:p w14:paraId="42EAA795"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29.98</w:t>
            </w:r>
          </w:p>
        </w:tc>
        <w:tc>
          <w:tcPr>
            <w:tcW w:w="567" w:type="dxa"/>
            <w:tcBorders>
              <w:top w:val="nil"/>
              <w:left w:val="nil"/>
              <w:bottom w:val="nil"/>
              <w:right w:val="nil"/>
            </w:tcBorders>
            <w:shd w:val="clear" w:color="auto" w:fill="FFFFFF"/>
            <w:tcMar>
              <w:left w:w="67" w:type="dxa"/>
              <w:right w:w="67" w:type="dxa"/>
            </w:tcMar>
            <w:vAlign w:val="center"/>
          </w:tcPr>
          <w:p w14:paraId="3F2BDE2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F5E1D9"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&lt;.0001</w:t>
            </w:r>
          </w:p>
        </w:tc>
      </w:tr>
      <w:tr w:rsidR="00B77EA3" w:rsidRPr="0082484A" w14:paraId="012D278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F4D2DE"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nil"/>
              <w:right w:val="nil"/>
            </w:tcBorders>
            <w:shd w:val="clear" w:color="auto" w:fill="FFFFFF"/>
            <w:tcMar>
              <w:left w:w="67" w:type="dxa"/>
              <w:right w:w="67" w:type="dxa"/>
            </w:tcMar>
            <w:vAlign w:val="center"/>
          </w:tcPr>
          <w:p w14:paraId="704A73E0"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34C416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0.00002</w:t>
            </w:r>
          </w:p>
        </w:tc>
        <w:tc>
          <w:tcPr>
            <w:tcW w:w="1134" w:type="dxa"/>
            <w:tcBorders>
              <w:top w:val="nil"/>
              <w:left w:val="nil"/>
              <w:bottom w:val="nil"/>
              <w:right w:val="nil"/>
            </w:tcBorders>
            <w:shd w:val="clear" w:color="auto" w:fill="FFFFFF"/>
            <w:tcMar>
              <w:left w:w="67" w:type="dxa"/>
              <w:right w:w="67" w:type="dxa"/>
            </w:tcMar>
            <w:vAlign w:val="center"/>
          </w:tcPr>
          <w:p w14:paraId="4F76BF8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99F4CA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0F4D7B7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2A8740CE"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21CDE2D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2855C27"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0.9047</w:t>
            </w:r>
          </w:p>
        </w:tc>
      </w:tr>
      <w:tr w:rsidR="00B77EA3" w:rsidRPr="0082484A" w14:paraId="4261CB8D"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3C521420" w14:textId="77777777" w:rsidR="00B77EA3" w:rsidRPr="0082484A" w:rsidRDefault="00B77EA3" w:rsidP="00B77EA3">
            <w:pPr>
              <w:adjustRightInd w:val="0"/>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33DADE4D" w14:textId="77777777" w:rsidR="00B77EA3" w:rsidRPr="0082484A" w:rsidRDefault="00B77EA3" w:rsidP="00B77EA3">
            <w:pPr>
              <w:adjustRightInd w:val="0"/>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E8F0AA2"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0.00540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097E0D1"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D985E0F"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-0.0043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95D3EC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0.0151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93DB7EC"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1.57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5FC5C6F4"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16E5FE6" w14:textId="77777777" w:rsidR="00B77EA3" w:rsidRPr="0082484A" w:rsidRDefault="00B77EA3" w:rsidP="00B77EA3">
            <w:pPr>
              <w:adjustRightInd w:val="0"/>
              <w:spacing w:beforeLines="10" w:before="24" w:afterLines="10" w:after="24" w:line="240" w:lineRule="auto"/>
              <w:jc w:val="center"/>
              <w:rPr>
                <w:sz w:val="22"/>
                <w:szCs w:val="22"/>
              </w:rPr>
            </w:pPr>
            <w:r w:rsidRPr="0082484A">
              <w:rPr>
                <w:sz w:val="22"/>
                <w:szCs w:val="22"/>
              </w:rPr>
              <w:t>0.2109</w:t>
            </w:r>
          </w:p>
        </w:tc>
      </w:tr>
    </w:tbl>
    <w:p w14:paraId="3CCAC7A0" w14:textId="77777777" w:rsidR="00B77EA3" w:rsidRPr="0082484A" w:rsidRDefault="00B77EA3" w:rsidP="00B77EA3">
      <w:pPr>
        <w:spacing w:before="0" w:line="240" w:lineRule="auto"/>
        <w:rPr>
          <w:bCs/>
          <w:sz w:val="22"/>
          <w:szCs w:val="22"/>
        </w:rPr>
      </w:pPr>
    </w:p>
    <w:p w14:paraId="30913864" w14:textId="77777777" w:rsidR="00DB0F0B" w:rsidRPr="0082484A" w:rsidRDefault="00DB0F0B">
      <w:pPr>
        <w:spacing w:before="0" w:after="200"/>
        <w:rPr>
          <w:bCs/>
          <w:sz w:val="22"/>
          <w:szCs w:val="22"/>
        </w:rPr>
      </w:pPr>
      <w:bookmarkStart w:id="202" w:name="_Ref501634875"/>
      <w:bookmarkStart w:id="203" w:name="_Toc8728130"/>
      <w:r w:rsidRPr="0082484A">
        <w:rPr>
          <w:bCs/>
          <w:sz w:val="22"/>
          <w:szCs w:val="22"/>
        </w:rPr>
        <w:br w:type="page"/>
      </w:r>
    </w:p>
    <w:p w14:paraId="4A591213" w14:textId="3DE69F51" w:rsidR="00B77EA3" w:rsidRPr="0082484A" w:rsidRDefault="00B77EA3" w:rsidP="00B77EA3">
      <w:pPr>
        <w:spacing w:before="0" w:line="240" w:lineRule="auto"/>
        <w:rPr>
          <w:sz w:val="22"/>
          <w:szCs w:val="22"/>
        </w:rPr>
      </w:pPr>
      <w:bookmarkStart w:id="204" w:name="_Toc19526785"/>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56</w:t>
      </w:r>
      <w:r w:rsidRPr="0082484A">
        <w:rPr>
          <w:bCs/>
          <w:noProof/>
          <w:sz w:val="22"/>
          <w:szCs w:val="22"/>
        </w:rPr>
        <w:fldChar w:fldCharType="end"/>
      </w:r>
      <w:bookmarkEnd w:id="202"/>
      <w:r w:rsidRPr="0082484A">
        <w:rPr>
          <w:bCs/>
          <w:sz w:val="22"/>
          <w:szCs w:val="22"/>
        </w:rPr>
        <w:t>: Secondary outcome for Trial 2: Mean diastolic blood pressure in blood pressure trial population (i.e. blood pressure control arm vs atrial fibrillation arm)</w:t>
      </w:r>
      <w:bookmarkEnd w:id="203"/>
      <w:bookmarkEnd w:id="204"/>
    </w:p>
    <w:tbl>
      <w:tblPr>
        <w:tblW w:w="14458" w:type="dxa"/>
        <w:jc w:val="center"/>
        <w:tblLayout w:type="fixed"/>
        <w:tblCellMar>
          <w:left w:w="0" w:type="dxa"/>
          <w:right w:w="0" w:type="dxa"/>
        </w:tblCellMar>
        <w:tblLook w:val="04A0" w:firstRow="1" w:lastRow="0" w:firstColumn="1" w:lastColumn="0" w:noHBand="0" w:noVBand="1"/>
      </w:tblPr>
      <w:tblGrid>
        <w:gridCol w:w="3118"/>
        <w:gridCol w:w="3969"/>
        <w:gridCol w:w="1134"/>
        <w:gridCol w:w="1134"/>
        <w:gridCol w:w="1134"/>
        <w:gridCol w:w="1134"/>
        <w:gridCol w:w="1134"/>
        <w:gridCol w:w="567"/>
        <w:gridCol w:w="1134"/>
      </w:tblGrid>
      <w:tr w:rsidR="00B77EA3" w:rsidRPr="0082484A" w14:paraId="10BDA618" w14:textId="77777777" w:rsidTr="00B77EA3">
        <w:trPr>
          <w:cantSplit/>
          <w:tblHeader/>
          <w:jc w:val="center"/>
        </w:trPr>
        <w:tc>
          <w:tcPr>
            <w:tcW w:w="3118" w:type="dxa"/>
            <w:tcBorders>
              <w:top w:val="single" w:sz="4" w:space="0" w:color="auto"/>
              <w:left w:val="single" w:sz="4" w:space="0" w:color="auto"/>
              <w:bottom w:val="single" w:sz="4" w:space="0" w:color="000000"/>
              <w:right w:val="nil"/>
            </w:tcBorders>
            <w:shd w:val="clear" w:color="auto" w:fill="FFFFFF"/>
            <w:tcMar>
              <w:top w:w="0" w:type="dxa"/>
              <w:left w:w="67" w:type="dxa"/>
              <w:bottom w:w="0" w:type="dxa"/>
              <w:right w:w="67" w:type="dxa"/>
            </w:tcMar>
            <w:vAlign w:val="bottom"/>
            <w:hideMark/>
          </w:tcPr>
          <w:p w14:paraId="561751A5" w14:textId="77777777" w:rsidR="00B77EA3" w:rsidRPr="0082484A" w:rsidRDefault="00B77EA3" w:rsidP="00B77EA3">
            <w:pPr>
              <w:spacing w:beforeLines="10" w:before="24" w:afterLines="10" w:after="24" w:line="240" w:lineRule="auto"/>
              <w:rPr>
                <w:bCs/>
                <w:sz w:val="22"/>
                <w:szCs w:val="22"/>
              </w:rPr>
            </w:pPr>
            <w:bookmarkStart w:id="205" w:name="IDX13"/>
            <w:bookmarkEnd w:id="205"/>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57A4129D" w14:textId="77777777" w:rsidR="00B77EA3" w:rsidRPr="0082484A" w:rsidRDefault="00B77EA3" w:rsidP="00B77EA3">
            <w:pPr>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4C6AEB8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3CDB43E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42C80FC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1011A3C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0FC5C1E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30AC408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top w:w="0" w:type="dxa"/>
              <w:left w:w="67" w:type="dxa"/>
              <w:bottom w:w="0" w:type="dxa"/>
              <w:right w:w="67" w:type="dxa"/>
            </w:tcMar>
            <w:vAlign w:val="bottom"/>
            <w:hideMark/>
          </w:tcPr>
          <w:p w14:paraId="5B34B98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DD76750"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56998F7B"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shd w:val="clear" w:color="auto" w:fill="FFFFFF"/>
            <w:tcMar>
              <w:top w:w="0" w:type="dxa"/>
              <w:left w:w="67" w:type="dxa"/>
              <w:bottom w:w="0" w:type="dxa"/>
              <w:right w:w="67" w:type="dxa"/>
            </w:tcMar>
            <w:vAlign w:val="center"/>
            <w:hideMark/>
          </w:tcPr>
          <w:p w14:paraId="5C223454"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Blood pressure control implementation package vs. Control (Anticoagulation in AF package)</w:t>
            </w:r>
          </w:p>
        </w:tc>
        <w:tc>
          <w:tcPr>
            <w:tcW w:w="1134" w:type="dxa"/>
            <w:shd w:val="clear" w:color="auto" w:fill="FFFFFF"/>
            <w:tcMar>
              <w:top w:w="0" w:type="dxa"/>
              <w:left w:w="67" w:type="dxa"/>
              <w:bottom w:w="0" w:type="dxa"/>
              <w:right w:w="67" w:type="dxa"/>
            </w:tcMar>
            <w:vAlign w:val="center"/>
            <w:hideMark/>
          </w:tcPr>
          <w:p w14:paraId="273E61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-0.2028</w:t>
            </w:r>
          </w:p>
        </w:tc>
        <w:tc>
          <w:tcPr>
            <w:tcW w:w="1134" w:type="dxa"/>
            <w:shd w:val="clear" w:color="auto" w:fill="FFFFFF"/>
            <w:tcMar>
              <w:top w:w="0" w:type="dxa"/>
              <w:left w:w="67" w:type="dxa"/>
              <w:bottom w:w="0" w:type="dxa"/>
              <w:right w:w="67" w:type="dxa"/>
            </w:tcMar>
            <w:vAlign w:val="center"/>
            <w:hideMark/>
          </w:tcPr>
          <w:p w14:paraId="1F3981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0.4585</w:t>
            </w:r>
          </w:p>
        </w:tc>
        <w:tc>
          <w:tcPr>
            <w:tcW w:w="1134" w:type="dxa"/>
            <w:shd w:val="clear" w:color="auto" w:fill="FFFFFF"/>
            <w:tcMar>
              <w:top w:w="0" w:type="dxa"/>
              <w:left w:w="67" w:type="dxa"/>
              <w:bottom w:w="0" w:type="dxa"/>
              <w:right w:w="67" w:type="dxa"/>
            </w:tcMar>
            <w:vAlign w:val="center"/>
            <w:hideMark/>
          </w:tcPr>
          <w:p w14:paraId="7C2D01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-1.2304</w:t>
            </w:r>
          </w:p>
        </w:tc>
        <w:tc>
          <w:tcPr>
            <w:tcW w:w="1134" w:type="dxa"/>
            <w:shd w:val="clear" w:color="auto" w:fill="FFFFFF"/>
            <w:tcMar>
              <w:top w:w="0" w:type="dxa"/>
              <w:left w:w="67" w:type="dxa"/>
              <w:bottom w:w="0" w:type="dxa"/>
              <w:right w:w="67" w:type="dxa"/>
            </w:tcMar>
            <w:vAlign w:val="center"/>
            <w:hideMark/>
          </w:tcPr>
          <w:p w14:paraId="65A90D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0.8249</w:t>
            </w:r>
          </w:p>
        </w:tc>
        <w:tc>
          <w:tcPr>
            <w:tcW w:w="1134" w:type="dxa"/>
            <w:shd w:val="clear" w:color="auto" w:fill="FFFFFF"/>
            <w:tcMar>
              <w:top w:w="0" w:type="dxa"/>
              <w:left w:w="67" w:type="dxa"/>
              <w:bottom w:w="0" w:type="dxa"/>
              <w:right w:w="67" w:type="dxa"/>
            </w:tcMar>
            <w:vAlign w:val="center"/>
            <w:hideMark/>
          </w:tcPr>
          <w:p w14:paraId="217E61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w:t>
            </w:r>
          </w:p>
        </w:tc>
        <w:tc>
          <w:tcPr>
            <w:tcW w:w="567" w:type="dxa"/>
            <w:shd w:val="clear" w:color="auto" w:fill="FFFFFF"/>
            <w:tcMar>
              <w:top w:w="0" w:type="dxa"/>
              <w:left w:w="67" w:type="dxa"/>
              <w:bottom w:w="0" w:type="dxa"/>
              <w:right w:w="67" w:type="dxa"/>
            </w:tcMar>
            <w:vAlign w:val="center"/>
            <w:hideMark/>
          </w:tcPr>
          <w:p w14:paraId="086089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7A82FA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0.6583</w:t>
            </w:r>
          </w:p>
        </w:tc>
      </w:tr>
      <w:tr w:rsidR="00B77EA3" w:rsidRPr="0082484A" w14:paraId="2D9845DE"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1BA31ED6" w14:textId="77777777" w:rsidR="00B77EA3" w:rsidRPr="0082484A" w:rsidRDefault="00B77EA3" w:rsidP="00B77EA3">
            <w:pPr>
              <w:spacing w:beforeLines="10" w:before="24" w:afterLines="10" w:after="24" w:line="240" w:lineRule="auto"/>
              <w:rPr>
                <w:sz w:val="22"/>
                <w:szCs w:val="22"/>
              </w:rPr>
            </w:pPr>
            <w:r w:rsidRPr="0082484A">
              <w:rPr>
                <w:sz w:val="22"/>
                <w:szCs w:val="22"/>
              </w:rPr>
              <w:t>Gender</w:t>
            </w:r>
          </w:p>
        </w:tc>
        <w:tc>
          <w:tcPr>
            <w:tcW w:w="3969" w:type="dxa"/>
            <w:shd w:val="clear" w:color="auto" w:fill="FFFFFF"/>
            <w:tcMar>
              <w:top w:w="0" w:type="dxa"/>
              <w:left w:w="67" w:type="dxa"/>
              <w:bottom w:w="0" w:type="dxa"/>
              <w:right w:w="67" w:type="dxa"/>
            </w:tcMar>
            <w:vAlign w:val="center"/>
            <w:hideMark/>
          </w:tcPr>
          <w:p w14:paraId="5BE2C91D"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Female vs. Male</w:t>
            </w:r>
          </w:p>
        </w:tc>
        <w:tc>
          <w:tcPr>
            <w:tcW w:w="1134" w:type="dxa"/>
            <w:shd w:val="clear" w:color="auto" w:fill="FFFFFF"/>
            <w:tcMar>
              <w:top w:w="0" w:type="dxa"/>
              <w:left w:w="67" w:type="dxa"/>
              <w:bottom w:w="0" w:type="dxa"/>
              <w:right w:w="67" w:type="dxa"/>
            </w:tcMar>
            <w:vAlign w:val="center"/>
            <w:hideMark/>
          </w:tcPr>
          <w:p w14:paraId="264A41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-0.0331</w:t>
            </w:r>
          </w:p>
        </w:tc>
        <w:tc>
          <w:tcPr>
            <w:tcW w:w="1134" w:type="dxa"/>
            <w:shd w:val="clear" w:color="auto" w:fill="FFFFFF"/>
            <w:tcMar>
              <w:top w:w="0" w:type="dxa"/>
              <w:left w:w="67" w:type="dxa"/>
              <w:bottom w:w="0" w:type="dxa"/>
              <w:right w:w="67" w:type="dxa"/>
            </w:tcMar>
            <w:vAlign w:val="center"/>
            <w:hideMark/>
          </w:tcPr>
          <w:p w14:paraId="09BC5E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0.0671</w:t>
            </w:r>
          </w:p>
        </w:tc>
        <w:tc>
          <w:tcPr>
            <w:tcW w:w="1134" w:type="dxa"/>
            <w:shd w:val="clear" w:color="auto" w:fill="FFFFFF"/>
            <w:tcMar>
              <w:top w:w="0" w:type="dxa"/>
              <w:left w:w="67" w:type="dxa"/>
              <w:bottom w:w="0" w:type="dxa"/>
              <w:right w:w="67" w:type="dxa"/>
            </w:tcMar>
            <w:vAlign w:val="center"/>
            <w:hideMark/>
          </w:tcPr>
          <w:p w14:paraId="1A7754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-0.1836</w:t>
            </w:r>
          </w:p>
        </w:tc>
        <w:tc>
          <w:tcPr>
            <w:tcW w:w="1134" w:type="dxa"/>
            <w:shd w:val="clear" w:color="auto" w:fill="FFFFFF"/>
            <w:tcMar>
              <w:top w:w="0" w:type="dxa"/>
              <w:left w:w="67" w:type="dxa"/>
              <w:bottom w:w="0" w:type="dxa"/>
              <w:right w:w="67" w:type="dxa"/>
            </w:tcMar>
            <w:vAlign w:val="center"/>
            <w:hideMark/>
          </w:tcPr>
          <w:p w14:paraId="6EF54B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0.1174</w:t>
            </w:r>
          </w:p>
        </w:tc>
        <w:tc>
          <w:tcPr>
            <w:tcW w:w="1134" w:type="dxa"/>
            <w:shd w:val="clear" w:color="auto" w:fill="FFFFFF"/>
            <w:tcMar>
              <w:top w:w="0" w:type="dxa"/>
              <w:left w:w="67" w:type="dxa"/>
              <w:bottom w:w="0" w:type="dxa"/>
              <w:right w:w="67" w:type="dxa"/>
            </w:tcMar>
            <w:vAlign w:val="center"/>
            <w:hideMark/>
          </w:tcPr>
          <w:p w14:paraId="5363DF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w:t>
            </w:r>
          </w:p>
        </w:tc>
        <w:tc>
          <w:tcPr>
            <w:tcW w:w="567" w:type="dxa"/>
            <w:shd w:val="clear" w:color="auto" w:fill="FFFFFF"/>
            <w:tcMar>
              <w:top w:w="0" w:type="dxa"/>
              <w:left w:w="67" w:type="dxa"/>
              <w:bottom w:w="0" w:type="dxa"/>
              <w:right w:w="67" w:type="dxa"/>
            </w:tcMar>
            <w:vAlign w:val="center"/>
            <w:hideMark/>
          </w:tcPr>
          <w:p w14:paraId="3982BE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67CFE5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0.6220</w:t>
            </w:r>
          </w:p>
        </w:tc>
      </w:tr>
      <w:tr w:rsidR="00B77EA3" w:rsidRPr="0082484A" w14:paraId="361FE9BF"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45BD30E9" w14:textId="77777777" w:rsidR="00B77EA3" w:rsidRPr="0082484A" w:rsidRDefault="00B77EA3" w:rsidP="00B77EA3">
            <w:pPr>
              <w:spacing w:beforeLines="10" w:before="24" w:afterLines="10" w:after="24" w:line="240" w:lineRule="auto"/>
              <w:rPr>
                <w:sz w:val="22"/>
                <w:szCs w:val="22"/>
              </w:rPr>
            </w:pPr>
            <w:r w:rsidRPr="0082484A">
              <w:rPr>
                <w:sz w:val="22"/>
                <w:szCs w:val="22"/>
              </w:rPr>
              <w:t>Age</w:t>
            </w:r>
          </w:p>
        </w:tc>
        <w:tc>
          <w:tcPr>
            <w:tcW w:w="3969" w:type="dxa"/>
            <w:shd w:val="clear" w:color="auto" w:fill="FFFFFF"/>
            <w:tcMar>
              <w:top w:w="0" w:type="dxa"/>
              <w:left w:w="67" w:type="dxa"/>
              <w:bottom w:w="0" w:type="dxa"/>
              <w:right w:w="67" w:type="dxa"/>
            </w:tcMar>
            <w:vAlign w:val="center"/>
          </w:tcPr>
          <w:p w14:paraId="060A3DA1"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51EAFA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-0.2461</w:t>
            </w:r>
          </w:p>
        </w:tc>
        <w:tc>
          <w:tcPr>
            <w:tcW w:w="1134" w:type="dxa"/>
            <w:shd w:val="clear" w:color="auto" w:fill="FFFFFF"/>
            <w:tcMar>
              <w:top w:w="0" w:type="dxa"/>
              <w:left w:w="67" w:type="dxa"/>
              <w:bottom w:w="0" w:type="dxa"/>
              <w:right w:w="67" w:type="dxa"/>
            </w:tcMar>
            <w:vAlign w:val="center"/>
            <w:hideMark/>
          </w:tcPr>
          <w:p w14:paraId="3EA9C4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shd w:val="clear" w:color="auto" w:fill="FFFFFF"/>
            <w:tcMar>
              <w:top w:w="0" w:type="dxa"/>
              <w:left w:w="67" w:type="dxa"/>
              <w:bottom w:w="0" w:type="dxa"/>
              <w:right w:w="67" w:type="dxa"/>
            </w:tcMar>
            <w:vAlign w:val="center"/>
            <w:hideMark/>
          </w:tcPr>
          <w:p w14:paraId="11F35A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-0.2522</w:t>
            </w:r>
          </w:p>
        </w:tc>
        <w:tc>
          <w:tcPr>
            <w:tcW w:w="1134" w:type="dxa"/>
            <w:shd w:val="clear" w:color="auto" w:fill="FFFFFF"/>
            <w:tcMar>
              <w:top w:w="0" w:type="dxa"/>
              <w:left w:w="67" w:type="dxa"/>
              <w:bottom w:w="0" w:type="dxa"/>
              <w:right w:w="67" w:type="dxa"/>
            </w:tcMar>
            <w:vAlign w:val="center"/>
            <w:hideMark/>
          </w:tcPr>
          <w:p w14:paraId="3FEDAE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-0.2401</w:t>
            </w:r>
          </w:p>
        </w:tc>
        <w:tc>
          <w:tcPr>
            <w:tcW w:w="1134" w:type="dxa"/>
            <w:shd w:val="clear" w:color="auto" w:fill="FFFFFF"/>
            <w:tcMar>
              <w:top w:w="0" w:type="dxa"/>
              <w:left w:w="67" w:type="dxa"/>
              <w:bottom w:w="0" w:type="dxa"/>
              <w:right w:w="67" w:type="dxa"/>
            </w:tcMar>
            <w:vAlign w:val="center"/>
            <w:hideMark/>
          </w:tcPr>
          <w:p w14:paraId="1C5D7E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8418.62</w:t>
            </w:r>
          </w:p>
        </w:tc>
        <w:tc>
          <w:tcPr>
            <w:tcW w:w="567" w:type="dxa"/>
            <w:shd w:val="clear" w:color="auto" w:fill="FFFFFF"/>
            <w:tcMar>
              <w:top w:w="0" w:type="dxa"/>
              <w:left w:w="67" w:type="dxa"/>
              <w:bottom w:w="0" w:type="dxa"/>
              <w:right w:w="67" w:type="dxa"/>
            </w:tcMar>
            <w:vAlign w:val="center"/>
            <w:hideMark/>
          </w:tcPr>
          <w:p w14:paraId="49C67B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5E7128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&lt;.0001</w:t>
            </w:r>
          </w:p>
        </w:tc>
      </w:tr>
      <w:tr w:rsidR="00B77EA3" w:rsidRPr="0082484A" w14:paraId="6B4FDC8A"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0157073A"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shd w:val="clear" w:color="auto" w:fill="FFFFFF"/>
            <w:tcMar>
              <w:top w:w="0" w:type="dxa"/>
              <w:left w:w="67" w:type="dxa"/>
              <w:bottom w:w="0" w:type="dxa"/>
              <w:right w:w="67" w:type="dxa"/>
            </w:tcMar>
            <w:vAlign w:val="center"/>
          </w:tcPr>
          <w:p w14:paraId="02BCF073"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25611D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0.0099</w:t>
            </w:r>
          </w:p>
        </w:tc>
        <w:tc>
          <w:tcPr>
            <w:tcW w:w="1134" w:type="dxa"/>
            <w:shd w:val="clear" w:color="auto" w:fill="FFFFFF"/>
            <w:tcMar>
              <w:top w:w="0" w:type="dxa"/>
              <w:left w:w="67" w:type="dxa"/>
              <w:bottom w:w="0" w:type="dxa"/>
              <w:right w:w="67" w:type="dxa"/>
            </w:tcMar>
            <w:vAlign w:val="center"/>
            <w:hideMark/>
          </w:tcPr>
          <w:p w14:paraId="19C7FF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0.0061</w:t>
            </w:r>
          </w:p>
        </w:tc>
        <w:tc>
          <w:tcPr>
            <w:tcW w:w="1134" w:type="dxa"/>
            <w:shd w:val="clear" w:color="auto" w:fill="FFFFFF"/>
            <w:tcMar>
              <w:top w:w="0" w:type="dxa"/>
              <w:left w:w="67" w:type="dxa"/>
              <w:bottom w:w="0" w:type="dxa"/>
              <w:right w:w="67" w:type="dxa"/>
            </w:tcMar>
            <w:vAlign w:val="center"/>
            <w:hideMark/>
          </w:tcPr>
          <w:p w14:paraId="28B430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-0.0037</w:t>
            </w:r>
          </w:p>
        </w:tc>
        <w:tc>
          <w:tcPr>
            <w:tcW w:w="1134" w:type="dxa"/>
            <w:shd w:val="clear" w:color="auto" w:fill="FFFFFF"/>
            <w:tcMar>
              <w:top w:w="0" w:type="dxa"/>
              <w:left w:w="67" w:type="dxa"/>
              <w:bottom w:w="0" w:type="dxa"/>
              <w:right w:w="67" w:type="dxa"/>
            </w:tcMar>
            <w:vAlign w:val="center"/>
            <w:hideMark/>
          </w:tcPr>
          <w:p w14:paraId="23C552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0.0235</w:t>
            </w:r>
          </w:p>
        </w:tc>
        <w:tc>
          <w:tcPr>
            <w:tcW w:w="1134" w:type="dxa"/>
            <w:shd w:val="clear" w:color="auto" w:fill="FFFFFF"/>
            <w:tcMar>
              <w:top w:w="0" w:type="dxa"/>
              <w:left w:w="67" w:type="dxa"/>
              <w:bottom w:w="0" w:type="dxa"/>
              <w:right w:w="67" w:type="dxa"/>
            </w:tcMar>
            <w:vAlign w:val="center"/>
            <w:hideMark/>
          </w:tcPr>
          <w:p w14:paraId="63F4C7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2.66</w:t>
            </w:r>
          </w:p>
        </w:tc>
        <w:tc>
          <w:tcPr>
            <w:tcW w:w="567" w:type="dxa"/>
            <w:shd w:val="clear" w:color="auto" w:fill="FFFFFF"/>
            <w:tcMar>
              <w:top w:w="0" w:type="dxa"/>
              <w:left w:w="67" w:type="dxa"/>
              <w:bottom w:w="0" w:type="dxa"/>
              <w:right w:w="67" w:type="dxa"/>
            </w:tcMar>
            <w:vAlign w:val="center"/>
            <w:hideMark/>
          </w:tcPr>
          <w:p w14:paraId="408A23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0E86FA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0.1029</w:t>
            </w:r>
          </w:p>
        </w:tc>
      </w:tr>
      <w:tr w:rsidR="00B77EA3" w:rsidRPr="0082484A" w14:paraId="73ABD909"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71CC8D1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4F4CDDF4"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Airedale, Wharfedale and Craven CCG vs. NHS Wakefield CCG</w:t>
            </w:r>
          </w:p>
        </w:tc>
        <w:tc>
          <w:tcPr>
            <w:tcW w:w="1134" w:type="dxa"/>
            <w:shd w:val="clear" w:color="auto" w:fill="FFFFFF"/>
            <w:tcMar>
              <w:top w:w="0" w:type="dxa"/>
              <w:left w:w="67" w:type="dxa"/>
              <w:bottom w:w="0" w:type="dxa"/>
              <w:right w:w="67" w:type="dxa"/>
            </w:tcMar>
            <w:vAlign w:val="center"/>
            <w:hideMark/>
          </w:tcPr>
          <w:p w14:paraId="52EBC1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1.0228</w:t>
            </w:r>
          </w:p>
        </w:tc>
        <w:tc>
          <w:tcPr>
            <w:tcW w:w="1134" w:type="dxa"/>
            <w:shd w:val="clear" w:color="auto" w:fill="FFFFFF"/>
            <w:tcMar>
              <w:top w:w="0" w:type="dxa"/>
              <w:left w:w="67" w:type="dxa"/>
              <w:bottom w:w="0" w:type="dxa"/>
              <w:right w:w="67" w:type="dxa"/>
            </w:tcMar>
            <w:vAlign w:val="center"/>
            <w:hideMark/>
          </w:tcPr>
          <w:p w14:paraId="396DAF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1.0795</w:t>
            </w:r>
          </w:p>
        </w:tc>
        <w:tc>
          <w:tcPr>
            <w:tcW w:w="1134" w:type="dxa"/>
            <w:shd w:val="clear" w:color="auto" w:fill="FFFFFF"/>
            <w:tcMar>
              <w:top w:w="0" w:type="dxa"/>
              <w:left w:w="67" w:type="dxa"/>
              <w:bottom w:w="0" w:type="dxa"/>
              <w:right w:w="67" w:type="dxa"/>
            </w:tcMar>
            <w:vAlign w:val="center"/>
            <w:hideMark/>
          </w:tcPr>
          <w:p w14:paraId="3FE10A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-1.3968</w:t>
            </w:r>
          </w:p>
        </w:tc>
        <w:tc>
          <w:tcPr>
            <w:tcW w:w="1134" w:type="dxa"/>
            <w:shd w:val="clear" w:color="auto" w:fill="FFFFFF"/>
            <w:tcMar>
              <w:top w:w="0" w:type="dxa"/>
              <w:left w:w="67" w:type="dxa"/>
              <w:bottom w:w="0" w:type="dxa"/>
              <w:right w:w="67" w:type="dxa"/>
            </w:tcMar>
            <w:vAlign w:val="center"/>
            <w:hideMark/>
          </w:tcPr>
          <w:p w14:paraId="376BBB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3.4424</w:t>
            </w:r>
          </w:p>
        </w:tc>
        <w:tc>
          <w:tcPr>
            <w:tcW w:w="1134" w:type="dxa"/>
            <w:shd w:val="clear" w:color="auto" w:fill="FFFFFF"/>
            <w:tcMar>
              <w:top w:w="0" w:type="dxa"/>
              <w:left w:w="67" w:type="dxa"/>
              <w:bottom w:w="0" w:type="dxa"/>
              <w:right w:w="67" w:type="dxa"/>
            </w:tcMar>
            <w:vAlign w:val="center"/>
            <w:hideMark/>
          </w:tcPr>
          <w:p w14:paraId="3AF67C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0.42</w:t>
            </w:r>
          </w:p>
        </w:tc>
        <w:tc>
          <w:tcPr>
            <w:tcW w:w="567" w:type="dxa"/>
            <w:shd w:val="clear" w:color="auto" w:fill="FFFFFF"/>
            <w:tcMar>
              <w:top w:w="0" w:type="dxa"/>
              <w:left w:w="67" w:type="dxa"/>
              <w:bottom w:w="0" w:type="dxa"/>
              <w:right w:w="67" w:type="dxa"/>
            </w:tcMar>
            <w:vAlign w:val="center"/>
            <w:hideMark/>
          </w:tcPr>
          <w:p w14:paraId="1D1294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6CCF9C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0.9104</w:t>
            </w:r>
          </w:p>
        </w:tc>
      </w:tr>
      <w:tr w:rsidR="00B77EA3" w:rsidRPr="0082484A" w14:paraId="5D75F575"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22B22EC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28B92930"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Bradford City CCG vs. NHS Wakefield CCG</w:t>
            </w:r>
          </w:p>
        </w:tc>
        <w:tc>
          <w:tcPr>
            <w:tcW w:w="1134" w:type="dxa"/>
            <w:shd w:val="clear" w:color="auto" w:fill="FFFFFF"/>
            <w:tcMar>
              <w:top w:w="0" w:type="dxa"/>
              <w:left w:w="67" w:type="dxa"/>
              <w:bottom w:w="0" w:type="dxa"/>
              <w:right w:w="67" w:type="dxa"/>
            </w:tcMar>
            <w:vAlign w:val="center"/>
            <w:hideMark/>
          </w:tcPr>
          <w:p w14:paraId="626DE6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0.4864</w:t>
            </w:r>
          </w:p>
        </w:tc>
        <w:tc>
          <w:tcPr>
            <w:tcW w:w="1134" w:type="dxa"/>
            <w:shd w:val="clear" w:color="auto" w:fill="FFFFFF"/>
            <w:tcMar>
              <w:top w:w="0" w:type="dxa"/>
              <w:left w:w="67" w:type="dxa"/>
              <w:bottom w:w="0" w:type="dxa"/>
              <w:right w:w="67" w:type="dxa"/>
            </w:tcMar>
            <w:vAlign w:val="center"/>
            <w:hideMark/>
          </w:tcPr>
          <w:p w14:paraId="2D2956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0.9224</w:t>
            </w:r>
          </w:p>
        </w:tc>
        <w:tc>
          <w:tcPr>
            <w:tcW w:w="1134" w:type="dxa"/>
            <w:shd w:val="clear" w:color="auto" w:fill="FFFFFF"/>
            <w:tcMar>
              <w:top w:w="0" w:type="dxa"/>
              <w:left w:w="67" w:type="dxa"/>
              <w:bottom w:w="0" w:type="dxa"/>
              <w:right w:w="67" w:type="dxa"/>
            </w:tcMar>
            <w:vAlign w:val="center"/>
            <w:hideMark/>
          </w:tcPr>
          <w:p w14:paraId="25EE9C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-1.5812</w:t>
            </w:r>
          </w:p>
        </w:tc>
        <w:tc>
          <w:tcPr>
            <w:tcW w:w="1134" w:type="dxa"/>
            <w:shd w:val="clear" w:color="auto" w:fill="FFFFFF"/>
            <w:tcMar>
              <w:top w:w="0" w:type="dxa"/>
              <w:left w:w="67" w:type="dxa"/>
              <w:bottom w:w="0" w:type="dxa"/>
              <w:right w:w="67" w:type="dxa"/>
            </w:tcMar>
            <w:vAlign w:val="center"/>
            <w:hideMark/>
          </w:tcPr>
          <w:p w14:paraId="4DE9BA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2.5539</w:t>
            </w:r>
          </w:p>
        </w:tc>
        <w:tc>
          <w:tcPr>
            <w:tcW w:w="1134" w:type="dxa"/>
            <w:shd w:val="clear" w:color="auto" w:fill="FFFFFF"/>
            <w:tcMar>
              <w:top w:w="0" w:type="dxa"/>
              <w:left w:w="67" w:type="dxa"/>
              <w:bottom w:w="0" w:type="dxa"/>
              <w:right w:w="67" w:type="dxa"/>
            </w:tcMar>
            <w:vAlign w:val="center"/>
          </w:tcPr>
          <w:p w14:paraId="1A922597"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73B8C82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12E45AA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61E0B6F"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115665F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3A92941D"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Calderdale CCG vs. NHS Wakefield CCG</w:t>
            </w:r>
          </w:p>
        </w:tc>
        <w:tc>
          <w:tcPr>
            <w:tcW w:w="1134" w:type="dxa"/>
            <w:shd w:val="clear" w:color="auto" w:fill="FFFFFF"/>
            <w:tcMar>
              <w:top w:w="0" w:type="dxa"/>
              <w:left w:w="67" w:type="dxa"/>
              <w:bottom w:w="0" w:type="dxa"/>
              <w:right w:w="67" w:type="dxa"/>
            </w:tcMar>
            <w:vAlign w:val="center"/>
            <w:hideMark/>
          </w:tcPr>
          <w:p w14:paraId="2448FF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0.5556</w:t>
            </w:r>
          </w:p>
        </w:tc>
        <w:tc>
          <w:tcPr>
            <w:tcW w:w="1134" w:type="dxa"/>
            <w:shd w:val="clear" w:color="auto" w:fill="FFFFFF"/>
            <w:tcMar>
              <w:top w:w="0" w:type="dxa"/>
              <w:left w:w="67" w:type="dxa"/>
              <w:bottom w:w="0" w:type="dxa"/>
              <w:right w:w="67" w:type="dxa"/>
            </w:tcMar>
            <w:vAlign w:val="center"/>
            <w:hideMark/>
          </w:tcPr>
          <w:p w14:paraId="1F70E3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1.0374</w:t>
            </w:r>
          </w:p>
        </w:tc>
        <w:tc>
          <w:tcPr>
            <w:tcW w:w="1134" w:type="dxa"/>
            <w:shd w:val="clear" w:color="auto" w:fill="FFFFFF"/>
            <w:tcMar>
              <w:top w:w="0" w:type="dxa"/>
              <w:left w:w="67" w:type="dxa"/>
              <w:bottom w:w="0" w:type="dxa"/>
              <w:right w:w="67" w:type="dxa"/>
            </w:tcMar>
            <w:vAlign w:val="center"/>
            <w:hideMark/>
          </w:tcPr>
          <w:p w14:paraId="48D143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-1.7696</w:t>
            </w:r>
          </w:p>
        </w:tc>
        <w:tc>
          <w:tcPr>
            <w:tcW w:w="1134" w:type="dxa"/>
            <w:shd w:val="clear" w:color="auto" w:fill="FFFFFF"/>
            <w:tcMar>
              <w:top w:w="0" w:type="dxa"/>
              <w:left w:w="67" w:type="dxa"/>
              <w:bottom w:w="0" w:type="dxa"/>
              <w:right w:w="67" w:type="dxa"/>
            </w:tcMar>
            <w:vAlign w:val="center"/>
            <w:hideMark/>
          </w:tcPr>
          <w:p w14:paraId="1F15B3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2.8809</w:t>
            </w:r>
          </w:p>
        </w:tc>
        <w:tc>
          <w:tcPr>
            <w:tcW w:w="1134" w:type="dxa"/>
            <w:shd w:val="clear" w:color="auto" w:fill="FFFFFF"/>
            <w:tcMar>
              <w:top w:w="0" w:type="dxa"/>
              <w:left w:w="67" w:type="dxa"/>
              <w:bottom w:w="0" w:type="dxa"/>
              <w:right w:w="67" w:type="dxa"/>
            </w:tcMar>
            <w:vAlign w:val="center"/>
          </w:tcPr>
          <w:p w14:paraId="1E88813F"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75D31FE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3F7CE9B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40DC745"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39A97CE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3628E8F5"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Greater Huddersfield CCG vs. NHS Wakefield CCG</w:t>
            </w:r>
          </w:p>
        </w:tc>
        <w:tc>
          <w:tcPr>
            <w:tcW w:w="1134" w:type="dxa"/>
            <w:shd w:val="clear" w:color="auto" w:fill="FFFFFF"/>
            <w:tcMar>
              <w:top w:w="0" w:type="dxa"/>
              <w:left w:w="67" w:type="dxa"/>
              <w:bottom w:w="0" w:type="dxa"/>
              <w:right w:w="67" w:type="dxa"/>
            </w:tcMar>
            <w:vAlign w:val="center"/>
            <w:hideMark/>
          </w:tcPr>
          <w:p w14:paraId="5A7DC6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1.0412</w:t>
            </w:r>
          </w:p>
        </w:tc>
        <w:tc>
          <w:tcPr>
            <w:tcW w:w="1134" w:type="dxa"/>
            <w:shd w:val="clear" w:color="auto" w:fill="FFFFFF"/>
            <w:tcMar>
              <w:top w:w="0" w:type="dxa"/>
              <w:left w:w="67" w:type="dxa"/>
              <w:bottom w:w="0" w:type="dxa"/>
              <w:right w:w="67" w:type="dxa"/>
            </w:tcMar>
            <w:vAlign w:val="center"/>
            <w:hideMark/>
          </w:tcPr>
          <w:p w14:paraId="262EA8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0.9617</w:t>
            </w:r>
          </w:p>
        </w:tc>
        <w:tc>
          <w:tcPr>
            <w:tcW w:w="1134" w:type="dxa"/>
            <w:shd w:val="clear" w:color="auto" w:fill="FFFFFF"/>
            <w:tcMar>
              <w:top w:w="0" w:type="dxa"/>
              <w:left w:w="67" w:type="dxa"/>
              <w:bottom w:w="0" w:type="dxa"/>
              <w:right w:w="67" w:type="dxa"/>
            </w:tcMar>
            <w:vAlign w:val="center"/>
            <w:hideMark/>
          </w:tcPr>
          <w:p w14:paraId="66F31B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-1.1144</w:t>
            </w:r>
          </w:p>
        </w:tc>
        <w:tc>
          <w:tcPr>
            <w:tcW w:w="1134" w:type="dxa"/>
            <w:shd w:val="clear" w:color="auto" w:fill="FFFFFF"/>
            <w:tcMar>
              <w:top w:w="0" w:type="dxa"/>
              <w:left w:w="67" w:type="dxa"/>
              <w:bottom w:w="0" w:type="dxa"/>
              <w:right w:w="67" w:type="dxa"/>
            </w:tcMar>
            <w:vAlign w:val="center"/>
            <w:hideMark/>
          </w:tcPr>
          <w:p w14:paraId="1771D5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3.1968</w:t>
            </w:r>
          </w:p>
        </w:tc>
        <w:tc>
          <w:tcPr>
            <w:tcW w:w="1134" w:type="dxa"/>
            <w:shd w:val="clear" w:color="auto" w:fill="FFFFFF"/>
            <w:tcMar>
              <w:top w:w="0" w:type="dxa"/>
              <w:left w:w="67" w:type="dxa"/>
              <w:bottom w:w="0" w:type="dxa"/>
              <w:right w:w="67" w:type="dxa"/>
            </w:tcMar>
            <w:vAlign w:val="center"/>
          </w:tcPr>
          <w:p w14:paraId="052172E7"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6F41C7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497F4F3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069C3F8"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0FA26BF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6514007F"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North CCG vs. NHS Wakefield CCG</w:t>
            </w:r>
          </w:p>
        </w:tc>
        <w:tc>
          <w:tcPr>
            <w:tcW w:w="1134" w:type="dxa"/>
            <w:shd w:val="clear" w:color="auto" w:fill="FFFFFF"/>
            <w:tcMar>
              <w:top w:w="0" w:type="dxa"/>
              <w:left w:w="67" w:type="dxa"/>
              <w:bottom w:w="0" w:type="dxa"/>
              <w:right w:w="67" w:type="dxa"/>
            </w:tcMar>
            <w:vAlign w:val="center"/>
            <w:hideMark/>
          </w:tcPr>
          <w:p w14:paraId="4B6403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-0.3148</w:t>
            </w:r>
          </w:p>
        </w:tc>
        <w:tc>
          <w:tcPr>
            <w:tcW w:w="1134" w:type="dxa"/>
            <w:shd w:val="clear" w:color="auto" w:fill="FFFFFF"/>
            <w:tcMar>
              <w:top w:w="0" w:type="dxa"/>
              <w:left w:w="67" w:type="dxa"/>
              <w:bottom w:w="0" w:type="dxa"/>
              <w:right w:w="67" w:type="dxa"/>
            </w:tcMar>
            <w:vAlign w:val="center"/>
            <w:hideMark/>
          </w:tcPr>
          <w:p w14:paraId="56E02B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1.1582</w:t>
            </w:r>
          </w:p>
        </w:tc>
        <w:tc>
          <w:tcPr>
            <w:tcW w:w="1134" w:type="dxa"/>
            <w:shd w:val="clear" w:color="auto" w:fill="FFFFFF"/>
            <w:tcMar>
              <w:top w:w="0" w:type="dxa"/>
              <w:left w:w="67" w:type="dxa"/>
              <w:bottom w:w="0" w:type="dxa"/>
              <w:right w:w="67" w:type="dxa"/>
            </w:tcMar>
            <w:vAlign w:val="center"/>
            <w:hideMark/>
          </w:tcPr>
          <w:p w14:paraId="71029D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-2.9108</w:t>
            </w:r>
          </w:p>
        </w:tc>
        <w:tc>
          <w:tcPr>
            <w:tcW w:w="1134" w:type="dxa"/>
            <w:shd w:val="clear" w:color="auto" w:fill="FFFFFF"/>
            <w:tcMar>
              <w:top w:w="0" w:type="dxa"/>
              <w:left w:w="67" w:type="dxa"/>
              <w:bottom w:w="0" w:type="dxa"/>
              <w:right w:w="67" w:type="dxa"/>
            </w:tcMar>
            <w:vAlign w:val="center"/>
            <w:hideMark/>
          </w:tcPr>
          <w:p w14:paraId="0C615F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2.2812</w:t>
            </w:r>
          </w:p>
        </w:tc>
        <w:tc>
          <w:tcPr>
            <w:tcW w:w="1134" w:type="dxa"/>
            <w:shd w:val="clear" w:color="auto" w:fill="FFFFFF"/>
            <w:tcMar>
              <w:top w:w="0" w:type="dxa"/>
              <w:left w:w="67" w:type="dxa"/>
              <w:bottom w:w="0" w:type="dxa"/>
              <w:right w:w="67" w:type="dxa"/>
            </w:tcMar>
            <w:vAlign w:val="center"/>
          </w:tcPr>
          <w:p w14:paraId="0EA1C115"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6E78EEA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3069A84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ED52565"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548FFDE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330D381A"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South and East CCG vs. NHS Wakefield CCG</w:t>
            </w:r>
          </w:p>
        </w:tc>
        <w:tc>
          <w:tcPr>
            <w:tcW w:w="1134" w:type="dxa"/>
            <w:shd w:val="clear" w:color="auto" w:fill="FFFFFF"/>
            <w:tcMar>
              <w:top w:w="0" w:type="dxa"/>
              <w:left w:w="67" w:type="dxa"/>
              <w:bottom w:w="0" w:type="dxa"/>
              <w:right w:w="67" w:type="dxa"/>
            </w:tcMar>
            <w:vAlign w:val="center"/>
            <w:hideMark/>
          </w:tcPr>
          <w:p w14:paraId="1D2E10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0.1983</w:t>
            </w:r>
          </w:p>
        </w:tc>
        <w:tc>
          <w:tcPr>
            <w:tcW w:w="1134" w:type="dxa"/>
            <w:shd w:val="clear" w:color="auto" w:fill="FFFFFF"/>
            <w:tcMar>
              <w:top w:w="0" w:type="dxa"/>
              <w:left w:w="67" w:type="dxa"/>
              <w:bottom w:w="0" w:type="dxa"/>
              <w:right w:w="67" w:type="dxa"/>
            </w:tcMar>
            <w:vAlign w:val="center"/>
            <w:hideMark/>
          </w:tcPr>
          <w:p w14:paraId="0B3A88F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0.8897</w:t>
            </w:r>
          </w:p>
        </w:tc>
        <w:tc>
          <w:tcPr>
            <w:tcW w:w="1134" w:type="dxa"/>
            <w:shd w:val="clear" w:color="auto" w:fill="FFFFFF"/>
            <w:tcMar>
              <w:top w:w="0" w:type="dxa"/>
              <w:left w:w="67" w:type="dxa"/>
              <w:bottom w:w="0" w:type="dxa"/>
              <w:right w:w="67" w:type="dxa"/>
            </w:tcMar>
            <w:vAlign w:val="center"/>
            <w:hideMark/>
          </w:tcPr>
          <w:p w14:paraId="5FA516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-1.7958</w:t>
            </w:r>
          </w:p>
        </w:tc>
        <w:tc>
          <w:tcPr>
            <w:tcW w:w="1134" w:type="dxa"/>
            <w:shd w:val="clear" w:color="auto" w:fill="FFFFFF"/>
            <w:tcMar>
              <w:top w:w="0" w:type="dxa"/>
              <w:left w:w="67" w:type="dxa"/>
              <w:bottom w:w="0" w:type="dxa"/>
              <w:right w:w="67" w:type="dxa"/>
            </w:tcMar>
            <w:vAlign w:val="center"/>
            <w:hideMark/>
          </w:tcPr>
          <w:p w14:paraId="5B4F35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2.1924</w:t>
            </w:r>
          </w:p>
        </w:tc>
        <w:tc>
          <w:tcPr>
            <w:tcW w:w="1134" w:type="dxa"/>
            <w:shd w:val="clear" w:color="auto" w:fill="FFFFFF"/>
            <w:tcMar>
              <w:top w:w="0" w:type="dxa"/>
              <w:left w:w="67" w:type="dxa"/>
              <w:bottom w:w="0" w:type="dxa"/>
              <w:right w:w="67" w:type="dxa"/>
            </w:tcMar>
            <w:vAlign w:val="center"/>
          </w:tcPr>
          <w:p w14:paraId="08C721B8"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5A65571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7CCB505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AB57213"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720851C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44373BEE"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West CCG vs. NHS Wakefield CCG</w:t>
            </w:r>
          </w:p>
        </w:tc>
        <w:tc>
          <w:tcPr>
            <w:tcW w:w="1134" w:type="dxa"/>
            <w:shd w:val="clear" w:color="auto" w:fill="FFFFFF"/>
            <w:tcMar>
              <w:top w:w="0" w:type="dxa"/>
              <w:left w:w="67" w:type="dxa"/>
              <w:bottom w:w="0" w:type="dxa"/>
              <w:right w:w="67" w:type="dxa"/>
            </w:tcMar>
            <w:vAlign w:val="center"/>
            <w:hideMark/>
          </w:tcPr>
          <w:p w14:paraId="1602E9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-0.1313</w:t>
            </w:r>
          </w:p>
        </w:tc>
        <w:tc>
          <w:tcPr>
            <w:tcW w:w="1134" w:type="dxa"/>
            <w:shd w:val="clear" w:color="auto" w:fill="FFFFFF"/>
            <w:tcMar>
              <w:top w:w="0" w:type="dxa"/>
              <w:left w:w="67" w:type="dxa"/>
              <w:bottom w:w="0" w:type="dxa"/>
              <w:right w:w="67" w:type="dxa"/>
            </w:tcMar>
            <w:vAlign w:val="center"/>
            <w:hideMark/>
          </w:tcPr>
          <w:p w14:paraId="08B5B4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0.8905</w:t>
            </w:r>
          </w:p>
        </w:tc>
        <w:tc>
          <w:tcPr>
            <w:tcW w:w="1134" w:type="dxa"/>
            <w:shd w:val="clear" w:color="auto" w:fill="FFFFFF"/>
            <w:tcMar>
              <w:top w:w="0" w:type="dxa"/>
              <w:left w:w="67" w:type="dxa"/>
              <w:bottom w:w="0" w:type="dxa"/>
              <w:right w:w="67" w:type="dxa"/>
            </w:tcMar>
            <w:vAlign w:val="center"/>
            <w:hideMark/>
          </w:tcPr>
          <w:p w14:paraId="3DD02C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-2.1272</w:t>
            </w:r>
          </w:p>
        </w:tc>
        <w:tc>
          <w:tcPr>
            <w:tcW w:w="1134" w:type="dxa"/>
            <w:shd w:val="clear" w:color="auto" w:fill="FFFFFF"/>
            <w:tcMar>
              <w:top w:w="0" w:type="dxa"/>
              <w:left w:w="67" w:type="dxa"/>
              <w:bottom w:w="0" w:type="dxa"/>
              <w:right w:w="67" w:type="dxa"/>
            </w:tcMar>
            <w:vAlign w:val="center"/>
            <w:hideMark/>
          </w:tcPr>
          <w:p w14:paraId="763C88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1.8647</w:t>
            </w:r>
          </w:p>
        </w:tc>
        <w:tc>
          <w:tcPr>
            <w:tcW w:w="1134" w:type="dxa"/>
            <w:shd w:val="clear" w:color="auto" w:fill="FFFFFF"/>
            <w:tcMar>
              <w:top w:w="0" w:type="dxa"/>
              <w:left w:w="67" w:type="dxa"/>
              <w:bottom w:w="0" w:type="dxa"/>
              <w:right w:w="67" w:type="dxa"/>
            </w:tcMar>
            <w:vAlign w:val="center"/>
          </w:tcPr>
          <w:p w14:paraId="0B4E8162"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5DC6341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17C925A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3DA56D8"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3DE5FB8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3AF00FFD"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North Kirklees CCG vs. NHS Wakefield CCG</w:t>
            </w:r>
          </w:p>
        </w:tc>
        <w:tc>
          <w:tcPr>
            <w:tcW w:w="1134" w:type="dxa"/>
            <w:shd w:val="clear" w:color="auto" w:fill="FFFFFF"/>
            <w:tcMar>
              <w:top w:w="0" w:type="dxa"/>
              <w:left w:w="67" w:type="dxa"/>
              <w:bottom w:w="0" w:type="dxa"/>
              <w:right w:w="67" w:type="dxa"/>
            </w:tcMar>
            <w:vAlign w:val="center"/>
            <w:hideMark/>
          </w:tcPr>
          <w:p w14:paraId="26A226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0.5968</w:t>
            </w:r>
          </w:p>
        </w:tc>
        <w:tc>
          <w:tcPr>
            <w:tcW w:w="1134" w:type="dxa"/>
            <w:shd w:val="clear" w:color="auto" w:fill="FFFFFF"/>
            <w:tcMar>
              <w:top w:w="0" w:type="dxa"/>
              <w:left w:w="67" w:type="dxa"/>
              <w:bottom w:w="0" w:type="dxa"/>
              <w:right w:w="67" w:type="dxa"/>
            </w:tcMar>
            <w:vAlign w:val="center"/>
            <w:hideMark/>
          </w:tcPr>
          <w:p w14:paraId="35AB71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0.9170</w:t>
            </w:r>
          </w:p>
        </w:tc>
        <w:tc>
          <w:tcPr>
            <w:tcW w:w="1134" w:type="dxa"/>
            <w:shd w:val="clear" w:color="auto" w:fill="FFFFFF"/>
            <w:tcMar>
              <w:top w:w="0" w:type="dxa"/>
              <w:left w:w="67" w:type="dxa"/>
              <w:bottom w:w="0" w:type="dxa"/>
              <w:right w:w="67" w:type="dxa"/>
            </w:tcMar>
            <w:vAlign w:val="center"/>
            <w:hideMark/>
          </w:tcPr>
          <w:p w14:paraId="0D2D87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-1.4587</w:t>
            </w:r>
          </w:p>
        </w:tc>
        <w:tc>
          <w:tcPr>
            <w:tcW w:w="1134" w:type="dxa"/>
            <w:shd w:val="clear" w:color="auto" w:fill="FFFFFF"/>
            <w:tcMar>
              <w:top w:w="0" w:type="dxa"/>
              <w:left w:w="67" w:type="dxa"/>
              <w:bottom w:w="0" w:type="dxa"/>
              <w:right w:w="67" w:type="dxa"/>
            </w:tcMar>
            <w:vAlign w:val="center"/>
            <w:hideMark/>
          </w:tcPr>
          <w:p w14:paraId="26AE51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2.6523</w:t>
            </w:r>
          </w:p>
        </w:tc>
        <w:tc>
          <w:tcPr>
            <w:tcW w:w="1134" w:type="dxa"/>
            <w:shd w:val="clear" w:color="auto" w:fill="FFFFFF"/>
            <w:tcMar>
              <w:top w:w="0" w:type="dxa"/>
              <w:left w:w="67" w:type="dxa"/>
              <w:bottom w:w="0" w:type="dxa"/>
              <w:right w:w="67" w:type="dxa"/>
            </w:tcMar>
            <w:vAlign w:val="center"/>
          </w:tcPr>
          <w:p w14:paraId="0873B261" w14:textId="77777777" w:rsidR="00B77EA3" w:rsidRPr="0082484A" w:rsidRDefault="00B77EA3" w:rsidP="00B77EA3">
            <w:pPr>
              <w:spacing w:beforeLines="10" w:before="24" w:afterLines="10" w:after="24" w:line="240" w:lineRule="auto"/>
              <w:jc w:val="center"/>
              <w:rPr>
                <w:sz w:val="22"/>
                <w:szCs w:val="22"/>
              </w:rPr>
            </w:pPr>
          </w:p>
        </w:tc>
        <w:tc>
          <w:tcPr>
            <w:tcW w:w="567" w:type="dxa"/>
            <w:shd w:val="clear" w:color="auto" w:fill="FFFFFF"/>
            <w:tcMar>
              <w:top w:w="0" w:type="dxa"/>
              <w:left w:w="67" w:type="dxa"/>
              <w:bottom w:w="0" w:type="dxa"/>
              <w:right w:w="67" w:type="dxa"/>
            </w:tcMar>
            <w:vAlign w:val="center"/>
          </w:tcPr>
          <w:p w14:paraId="598EEE0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5B4F7F7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37DA11A"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3A42690C"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shd w:val="clear" w:color="auto" w:fill="FFFFFF"/>
            <w:tcMar>
              <w:top w:w="0" w:type="dxa"/>
              <w:left w:w="67" w:type="dxa"/>
              <w:bottom w:w="0" w:type="dxa"/>
              <w:right w:w="67" w:type="dxa"/>
            </w:tcMar>
            <w:vAlign w:val="center"/>
          </w:tcPr>
          <w:p w14:paraId="20C4BD44"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369D8D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shd w:val="clear" w:color="auto" w:fill="FFFFFF"/>
            <w:tcMar>
              <w:top w:w="0" w:type="dxa"/>
              <w:left w:w="67" w:type="dxa"/>
              <w:bottom w:w="0" w:type="dxa"/>
              <w:right w:w="67" w:type="dxa"/>
            </w:tcMar>
            <w:vAlign w:val="center"/>
            <w:hideMark/>
          </w:tcPr>
          <w:p w14:paraId="5540CF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0.0266</w:t>
            </w:r>
          </w:p>
        </w:tc>
        <w:tc>
          <w:tcPr>
            <w:tcW w:w="1134" w:type="dxa"/>
            <w:shd w:val="clear" w:color="auto" w:fill="FFFFFF"/>
            <w:tcMar>
              <w:top w:w="0" w:type="dxa"/>
              <w:left w:w="67" w:type="dxa"/>
              <w:bottom w:w="0" w:type="dxa"/>
              <w:right w:w="67" w:type="dxa"/>
            </w:tcMar>
            <w:vAlign w:val="center"/>
            <w:hideMark/>
          </w:tcPr>
          <w:p w14:paraId="325BC5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-0.0609</w:t>
            </w:r>
          </w:p>
        </w:tc>
        <w:tc>
          <w:tcPr>
            <w:tcW w:w="1134" w:type="dxa"/>
            <w:shd w:val="clear" w:color="auto" w:fill="FFFFFF"/>
            <w:tcMar>
              <w:top w:w="0" w:type="dxa"/>
              <w:left w:w="67" w:type="dxa"/>
              <w:bottom w:w="0" w:type="dxa"/>
              <w:right w:w="67" w:type="dxa"/>
            </w:tcMar>
            <w:vAlign w:val="center"/>
            <w:hideMark/>
          </w:tcPr>
          <w:p w14:paraId="05C33D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0.0585</w:t>
            </w:r>
          </w:p>
        </w:tc>
        <w:tc>
          <w:tcPr>
            <w:tcW w:w="1134" w:type="dxa"/>
            <w:shd w:val="clear" w:color="auto" w:fill="FFFFFF"/>
            <w:tcMar>
              <w:top w:w="0" w:type="dxa"/>
              <w:left w:w="67" w:type="dxa"/>
              <w:bottom w:w="0" w:type="dxa"/>
              <w:right w:w="67" w:type="dxa"/>
            </w:tcMar>
            <w:vAlign w:val="center"/>
            <w:hideMark/>
          </w:tcPr>
          <w:p w14:paraId="2E22EA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shd w:val="clear" w:color="auto" w:fill="FFFFFF"/>
            <w:tcMar>
              <w:top w:w="0" w:type="dxa"/>
              <w:left w:w="67" w:type="dxa"/>
              <w:bottom w:w="0" w:type="dxa"/>
              <w:right w:w="67" w:type="dxa"/>
            </w:tcMar>
            <w:vAlign w:val="center"/>
            <w:hideMark/>
          </w:tcPr>
          <w:p w14:paraId="0C8FB3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7FE5F1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0.9639</w:t>
            </w:r>
          </w:p>
        </w:tc>
      </w:tr>
      <w:tr w:rsidR="00B77EA3" w:rsidRPr="0082484A" w14:paraId="0468107B"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759A4439"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shd w:val="clear" w:color="auto" w:fill="FFFFFF"/>
            <w:tcMar>
              <w:top w:w="0" w:type="dxa"/>
              <w:left w:w="67" w:type="dxa"/>
              <w:bottom w:w="0" w:type="dxa"/>
              <w:right w:w="67" w:type="dxa"/>
            </w:tcMar>
            <w:vAlign w:val="center"/>
          </w:tcPr>
          <w:p w14:paraId="3A38407C"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1B0E9F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-0.0895</w:t>
            </w:r>
          </w:p>
        </w:tc>
        <w:tc>
          <w:tcPr>
            <w:tcW w:w="1134" w:type="dxa"/>
            <w:shd w:val="clear" w:color="auto" w:fill="FFFFFF"/>
            <w:tcMar>
              <w:top w:w="0" w:type="dxa"/>
              <w:left w:w="67" w:type="dxa"/>
              <w:bottom w:w="0" w:type="dxa"/>
              <w:right w:w="67" w:type="dxa"/>
            </w:tcMar>
            <w:vAlign w:val="center"/>
            <w:hideMark/>
          </w:tcPr>
          <w:p w14:paraId="1B0DA6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0.0387</w:t>
            </w:r>
          </w:p>
        </w:tc>
        <w:tc>
          <w:tcPr>
            <w:tcW w:w="1134" w:type="dxa"/>
            <w:shd w:val="clear" w:color="auto" w:fill="FFFFFF"/>
            <w:tcMar>
              <w:top w:w="0" w:type="dxa"/>
              <w:left w:w="67" w:type="dxa"/>
              <w:bottom w:w="0" w:type="dxa"/>
              <w:right w:w="67" w:type="dxa"/>
            </w:tcMar>
            <w:vAlign w:val="center"/>
            <w:hideMark/>
          </w:tcPr>
          <w:p w14:paraId="75BA12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-0.1762</w:t>
            </w:r>
          </w:p>
        </w:tc>
        <w:tc>
          <w:tcPr>
            <w:tcW w:w="1134" w:type="dxa"/>
            <w:shd w:val="clear" w:color="auto" w:fill="FFFFFF"/>
            <w:tcMar>
              <w:top w:w="0" w:type="dxa"/>
              <w:left w:w="67" w:type="dxa"/>
              <w:bottom w:w="0" w:type="dxa"/>
              <w:right w:w="67" w:type="dxa"/>
            </w:tcMar>
            <w:vAlign w:val="center"/>
            <w:hideMark/>
          </w:tcPr>
          <w:p w14:paraId="7E6114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w:t>
            </w:r>
          </w:p>
        </w:tc>
        <w:tc>
          <w:tcPr>
            <w:tcW w:w="1134" w:type="dxa"/>
            <w:shd w:val="clear" w:color="auto" w:fill="FFFFFF"/>
            <w:tcMar>
              <w:top w:w="0" w:type="dxa"/>
              <w:left w:w="67" w:type="dxa"/>
              <w:bottom w:w="0" w:type="dxa"/>
              <w:right w:w="67" w:type="dxa"/>
            </w:tcMar>
            <w:vAlign w:val="center"/>
            <w:hideMark/>
          </w:tcPr>
          <w:p w14:paraId="6D62CB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5.34</w:t>
            </w:r>
          </w:p>
        </w:tc>
        <w:tc>
          <w:tcPr>
            <w:tcW w:w="567" w:type="dxa"/>
            <w:shd w:val="clear" w:color="auto" w:fill="FFFFFF"/>
            <w:tcMar>
              <w:top w:w="0" w:type="dxa"/>
              <w:left w:w="67" w:type="dxa"/>
              <w:bottom w:w="0" w:type="dxa"/>
              <w:right w:w="67" w:type="dxa"/>
            </w:tcMar>
            <w:vAlign w:val="center"/>
            <w:hideMark/>
          </w:tcPr>
          <w:p w14:paraId="022F40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69C34C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0.0208</w:t>
            </w:r>
          </w:p>
        </w:tc>
      </w:tr>
      <w:tr w:rsidR="00B77EA3" w:rsidRPr="0082484A" w14:paraId="384EC21F" w14:textId="77777777" w:rsidTr="00B77EA3">
        <w:trPr>
          <w:cantSplit/>
          <w:trHeight w:val="346"/>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274CFB87"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shd w:val="clear" w:color="auto" w:fill="FFFFFF"/>
            <w:tcMar>
              <w:top w:w="0" w:type="dxa"/>
              <w:left w:w="67" w:type="dxa"/>
              <w:bottom w:w="0" w:type="dxa"/>
              <w:right w:w="67" w:type="dxa"/>
            </w:tcMar>
            <w:vAlign w:val="center"/>
          </w:tcPr>
          <w:p w14:paraId="4F5A3066"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51FFA8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w:t>
            </w:r>
          </w:p>
        </w:tc>
        <w:tc>
          <w:tcPr>
            <w:tcW w:w="1134" w:type="dxa"/>
            <w:shd w:val="clear" w:color="auto" w:fill="FFFFFF"/>
            <w:tcMar>
              <w:top w:w="0" w:type="dxa"/>
              <w:left w:w="67" w:type="dxa"/>
              <w:bottom w:w="0" w:type="dxa"/>
              <w:right w:w="67" w:type="dxa"/>
            </w:tcMar>
            <w:vAlign w:val="center"/>
            <w:hideMark/>
          </w:tcPr>
          <w:p w14:paraId="57EC27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0.0105</w:t>
            </w:r>
          </w:p>
        </w:tc>
        <w:tc>
          <w:tcPr>
            <w:tcW w:w="1134" w:type="dxa"/>
            <w:shd w:val="clear" w:color="auto" w:fill="FFFFFF"/>
            <w:tcMar>
              <w:top w:w="0" w:type="dxa"/>
              <w:left w:w="67" w:type="dxa"/>
              <w:bottom w:w="0" w:type="dxa"/>
              <w:right w:w="67" w:type="dxa"/>
            </w:tcMar>
            <w:vAlign w:val="center"/>
            <w:hideMark/>
          </w:tcPr>
          <w:p w14:paraId="19BDAA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-0.0204</w:t>
            </w:r>
          </w:p>
        </w:tc>
        <w:tc>
          <w:tcPr>
            <w:tcW w:w="1134" w:type="dxa"/>
            <w:shd w:val="clear" w:color="auto" w:fill="FFFFFF"/>
            <w:tcMar>
              <w:top w:w="0" w:type="dxa"/>
              <w:left w:w="67" w:type="dxa"/>
              <w:bottom w:w="0" w:type="dxa"/>
              <w:right w:w="67" w:type="dxa"/>
            </w:tcMar>
            <w:vAlign w:val="center"/>
            <w:hideMark/>
          </w:tcPr>
          <w:p w14:paraId="1C3AEC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0.0267</w:t>
            </w:r>
          </w:p>
        </w:tc>
        <w:tc>
          <w:tcPr>
            <w:tcW w:w="1134" w:type="dxa"/>
            <w:shd w:val="clear" w:color="auto" w:fill="FFFFFF"/>
            <w:tcMar>
              <w:top w:w="0" w:type="dxa"/>
              <w:left w:w="67" w:type="dxa"/>
              <w:bottom w:w="0" w:type="dxa"/>
              <w:right w:w="67" w:type="dxa"/>
            </w:tcMar>
            <w:vAlign w:val="center"/>
            <w:hideMark/>
          </w:tcPr>
          <w:p w14:paraId="1B86D1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w:t>
            </w:r>
          </w:p>
        </w:tc>
        <w:tc>
          <w:tcPr>
            <w:tcW w:w="567" w:type="dxa"/>
            <w:shd w:val="clear" w:color="auto" w:fill="FFFFFF"/>
            <w:tcMar>
              <w:top w:w="0" w:type="dxa"/>
              <w:left w:w="67" w:type="dxa"/>
              <w:bottom w:w="0" w:type="dxa"/>
              <w:right w:w="67" w:type="dxa"/>
            </w:tcMar>
            <w:vAlign w:val="center"/>
            <w:hideMark/>
          </w:tcPr>
          <w:p w14:paraId="1E2221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1E5EDC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0.7636</w:t>
            </w:r>
          </w:p>
        </w:tc>
      </w:tr>
      <w:tr w:rsidR="00B77EA3" w:rsidRPr="0082484A" w14:paraId="218E5F09" w14:textId="77777777" w:rsidTr="00B77EA3">
        <w:trPr>
          <w:cantSplit/>
          <w:trHeight w:val="346"/>
          <w:jc w:val="center"/>
        </w:trPr>
        <w:tc>
          <w:tcPr>
            <w:tcW w:w="3118" w:type="dxa"/>
            <w:tcBorders>
              <w:top w:val="nil"/>
              <w:left w:val="single" w:sz="4" w:space="0" w:color="auto"/>
              <w:bottom w:val="single" w:sz="4" w:space="0" w:color="auto"/>
              <w:right w:val="nil"/>
            </w:tcBorders>
            <w:shd w:val="clear" w:color="auto" w:fill="FFFFFF"/>
            <w:tcMar>
              <w:top w:w="0" w:type="dxa"/>
              <w:left w:w="67" w:type="dxa"/>
              <w:bottom w:w="0" w:type="dxa"/>
              <w:right w:w="67" w:type="dxa"/>
            </w:tcMar>
            <w:vAlign w:val="center"/>
            <w:hideMark/>
          </w:tcPr>
          <w:p w14:paraId="4079FE6C" w14:textId="77777777" w:rsidR="00B77EA3" w:rsidRPr="0082484A" w:rsidRDefault="00B77EA3" w:rsidP="00B77EA3">
            <w:pPr>
              <w:spacing w:beforeLines="10" w:before="24" w:afterLines="10" w:after="24" w:line="240"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top w:w="0" w:type="dxa"/>
              <w:left w:w="67" w:type="dxa"/>
              <w:bottom w:w="0" w:type="dxa"/>
              <w:right w:w="67" w:type="dxa"/>
            </w:tcMar>
            <w:vAlign w:val="center"/>
          </w:tcPr>
          <w:p w14:paraId="232242F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746EB2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-0.1346</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55C3A7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0.2349</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4DFDDE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-0.6612</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1F4218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0.3920</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45AB30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0.33</w:t>
            </w:r>
          </w:p>
        </w:tc>
        <w:tc>
          <w:tcPr>
            <w:tcW w:w="567"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5375E8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center"/>
            <w:hideMark/>
          </w:tcPr>
          <w:p w14:paraId="6D5CF0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0.5667</w:t>
            </w:r>
          </w:p>
        </w:tc>
      </w:tr>
    </w:tbl>
    <w:p w14:paraId="334E9BF4" w14:textId="77777777" w:rsidR="00DB0F0B" w:rsidRPr="0082484A" w:rsidRDefault="00DB0F0B" w:rsidP="00B77EA3">
      <w:pPr>
        <w:spacing w:before="0" w:line="240" w:lineRule="auto"/>
        <w:rPr>
          <w:bCs/>
          <w:sz w:val="22"/>
          <w:szCs w:val="22"/>
        </w:rPr>
      </w:pPr>
      <w:bookmarkStart w:id="206" w:name="_Ref501634876"/>
      <w:bookmarkStart w:id="207" w:name="_Toc8728131"/>
    </w:p>
    <w:p w14:paraId="46ADC419" w14:textId="77777777" w:rsidR="00DB0F0B" w:rsidRPr="0082484A" w:rsidRDefault="00DB0F0B">
      <w:pPr>
        <w:spacing w:before="0" w:after="200"/>
        <w:rPr>
          <w:bCs/>
          <w:sz w:val="22"/>
          <w:szCs w:val="22"/>
        </w:rPr>
      </w:pPr>
      <w:r w:rsidRPr="0082484A">
        <w:rPr>
          <w:bCs/>
          <w:sz w:val="22"/>
          <w:szCs w:val="22"/>
        </w:rPr>
        <w:br w:type="page"/>
      </w:r>
    </w:p>
    <w:p w14:paraId="6DE0943D" w14:textId="0C97F600" w:rsidR="00B77EA3" w:rsidRPr="0082484A" w:rsidRDefault="00B77EA3" w:rsidP="00B77EA3">
      <w:pPr>
        <w:spacing w:before="0" w:line="240" w:lineRule="auto"/>
        <w:rPr>
          <w:sz w:val="22"/>
          <w:szCs w:val="22"/>
        </w:rPr>
      </w:pPr>
      <w:bookmarkStart w:id="208" w:name="_Toc19526786"/>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57</w:t>
      </w:r>
      <w:r w:rsidRPr="0082484A">
        <w:rPr>
          <w:bCs/>
          <w:noProof/>
          <w:sz w:val="22"/>
          <w:szCs w:val="22"/>
        </w:rPr>
        <w:fldChar w:fldCharType="end"/>
      </w:r>
      <w:bookmarkEnd w:id="206"/>
      <w:r w:rsidRPr="0082484A">
        <w:rPr>
          <w:bCs/>
          <w:sz w:val="22"/>
          <w:szCs w:val="22"/>
        </w:rPr>
        <w:t>: Secondary outcome for Trial 2: Mean systolic blood pressure in blood pressure trial population (i.e. blood pressure control arm vs atrial fibrillation arm)</w:t>
      </w:r>
      <w:bookmarkEnd w:id="207"/>
      <w:bookmarkEnd w:id="208"/>
    </w:p>
    <w:tbl>
      <w:tblPr>
        <w:tblW w:w="14458" w:type="dxa"/>
        <w:jc w:val="center"/>
        <w:tblLayout w:type="fixed"/>
        <w:tblCellMar>
          <w:left w:w="0" w:type="dxa"/>
          <w:right w:w="0" w:type="dxa"/>
        </w:tblCellMar>
        <w:tblLook w:val="04A0" w:firstRow="1" w:lastRow="0" w:firstColumn="1" w:lastColumn="0" w:noHBand="0" w:noVBand="1"/>
      </w:tblPr>
      <w:tblGrid>
        <w:gridCol w:w="3118"/>
        <w:gridCol w:w="3969"/>
        <w:gridCol w:w="1134"/>
        <w:gridCol w:w="1134"/>
        <w:gridCol w:w="1134"/>
        <w:gridCol w:w="1134"/>
        <w:gridCol w:w="1134"/>
        <w:gridCol w:w="567"/>
        <w:gridCol w:w="1134"/>
      </w:tblGrid>
      <w:tr w:rsidR="00B77EA3" w:rsidRPr="0082484A" w14:paraId="595B3524" w14:textId="77777777" w:rsidTr="00B77EA3">
        <w:trPr>
          <w:cantSplit/>
          <w:tblHeader/>
          <w:jc w:val="center"/>
        </w:trPr>
        <w:tc>
          <w:tcPr>
            <w:tcW w:w="3118" w:type="dxa"/>
            <w:tcBorders>
              <w:top w:val="single" w:sz="4" w:space="0" w:color="auto"/>
              <w:left w:val="single" w:sz="4" w:space="0" w:color="auto"/>
              <w:bottom w:val="single" w:sz="4" w:space="0" w:color="000000"/>
              <w:right w:val="nil"/>
            </w:tcBorders>
            <w:shd w:val="clear" w:color="auto" w:fill="FFFFFF"/>
            <w:tcMar>
              <w:top w:w="0" w:type="dxa"/>
              <w:left w:w="67" w:type="dxa"/>
              <w:bottom w:w="0" w:type="dxa"/>
              <w:right w:w="67" w:type="dxa"/>
            </w:tcMar>
            <w:vAlign w:val="bottom"/>
            <w:hideMark/>
          </w:tcPr>
          <w:p w14:paraId="5BA3DC4C" w14:textId="77777777" w:rsidR="00B77EA3" w:rsidRPr="0082484A" w:rsidRDefault="00B77EA3" w:rsidP="00B77EA3">
            <w:pPr>
              <w:adjustRightInd w:val="0"/>
              <w:spacing w:beforeLines="10" w:before="24" w:afterLines="10" w:after="24" w:line="257" w:lineRule="auto"/>
              <w:rPr>
                <w:bCs/>
                <w:sz w:val="22"/>
                <w:szCs w:val="22"/>
              </w:rPr>
            </w:pPr>
            <w:r w:rsidRPr="0082484A">
              <w:rPr>
                <w:bCs/>
                <w:sz w:val="22"/>
                <w:szCs w:val="22"/>
              </w:rPr>
              <w:t>Variable</w:t>
            </w:r>
          </w:p>
        </w:tc>
        <w:tc>
          <w:tcPr>
            <w:tcW w:w="3969"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38473E6E" w14:textId="77777777" w:rsidR="00B77EA3" w:rsidRPr="0082484A" w:rsidRDefault="00B77EA3" w:rsidP="00B77EA3">
            <w:pPr>
              <w:adjustRightInd w:val="0"/>
              <w:spacing w:beforeLines="10" w:before="24" w:afterLines="10" w:after="24" w:line="257" w:lineRule="auto"/>
              <w:rPr>
                <w:bCs/>
                <w:sz w:val="22"/>
                <w:szCs w:val="22"/>
              </w:rPr>
            </w:pPr>
            <w:r w:rsidRPr="0082484A">
              <w:rPr>
                <w:rFonts w:eastAsia="Times New Roman"/>
                <w:bCs/>
                <w:sz w:val="22"/>
                <w:szCs w:val="22"/>
                <w:lang w:eastAsia="en-GB"/>
              </w:rPr>
              <w:t>Comparison</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2032CE3D"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Estimate</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581ED08D"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SE</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31339B9F"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Lower limit of 97.5% CI</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23E5F9E8"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Upper limit of 97.5% CI</w:t>
            </w:r>
          </w:p>
        </w:tc>
        <w:tc>
          <w:tcPr>
            <w:tcW w:w="1134"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48B0F646"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F statistic</w:t>
            </w:r>
          </w:p>
        </w:tc>
        <w:tc>
          <w:tcPr>
            <w:tcW w:w="567" w:type="dxa"/>
            <w:tcBorders>
              <w:top w:val="single" w:sz="4" w:space="0" w:color="auto"/>
              <w:left w:val="nil"/>
              <w:bottom w:val="single" w:sz="4" w:space="0" w:color="000000"/>
              <w:right w:val="nil"/>
            </w:tcBorders>
            <w:shd w:val="clear" w:color="auto" w:fill="FFFFFF"/>
            <w:tcMar>
              <w:top w:w="0" w:type="dxa"/>
              <w:left w:w="67" w:type="dxa"/>
              <w:bottom w:w="0" w:type="dxa"/>
              <w:right w:w="67" w:type="dxa"/>
            </w:tcMar>
            <w:vAlign w:val="bottom"/>
            <w:hideMark/>
          </w:tcPr>
          <w:p w14:paraId="47E4AFB9"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DF</w:t>
            </w:r>
          </w:p>
        </w:tc>
        <w:tc>
          <w:tcPr>
            <w:tcW w:w="1134" w:type="dxa"/>
            <w:tcBorders>
              <w:top w:val="single" w:sz="4" w:space="0" w:color="auto"/>
              <w:left w:val="nil"/>
              <w:bottom w:val="single" w:sz="4" w:space="0" w:color="000000"/>
              <w:right w:val="single" w:sz="4" w:space="0" w:color="auto"/>
            </w:tcBorders>
            <w:shd w:val="clear" w:color="auto" w:fill="FFFFFF"/>
            <w:tcMar>
              <w:top w:w="0" w:type="dxa"/>
              <w:left w:w="67" w:type="dxa"/>
              <w:bottom w:w="0" w:type="dxa"/>
              <w:right w:w="67" w:type="dxa"/>
            </w:tcMar>
            <w:vAlign w:val="bottom"/>
            <w:hideMark/>
          </w:tcPr>
          <w:p w14:paraId="2B36334F" w14:textId="77777777" w:rsidR="00B77EA3" w:rsidRPr="0082484A" w:rsidRDefault="00B77EA3" w:rsidP="00B77EA3">
            <w:pPr>
              <w:adjustRightInd w:val="0"/>
              <w:spacing w:beforeLines="10" w:before="24" w:afterLines="10" w:after="24" w:line="257" w:lineRule="auto"/>
              <w:jc w:val="center"/>
              <w:rPr>
                <w:bCs/>
                <w:sz w:val="22"/>
                <w:szCs w:val="22"/>
              </w:rPr>
            </w:pPr>
            <w:r w:rsidRPr="0082484A">
              <w:rPr>
                <w:bCs/>
                <w:sz w:val="22"/>
                <w:szCs w:val="22"/>
              </w:rPr>
              <w:t>P-value</w:t>
            </w:r>
          </w:p>
        </w:tc>
      </w:tr>
      <w:tr w:rsidR="00B77EA3" w:rsidRPr="0082484A" w14:paraId="5249F03E"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1B127EF2"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Allocation</w:t>
            </w:r>
          </w:p>
        </w:tc>
        <w:tc>
          <w:tcPr>
            <w:tcW w:w="3969" w:type="dxa"/>
            <w:shd w:val="clear" w:color="auto" w:fill="FFFFFF"/>
            <w:tcMar>
              <w:top w:w="0" w:type="dxa"/>
              <w:left w:w="67" w:type="dxa"/>
              <w:bottom w:w="0" w:type="dxa"/>
              <w:right w:w="67" w:type="dxa"/>
            </w:tcMar>
            <w:vAlign w:val="center"/>
            <w:hideMark/>
          </w:tcPr>
          <w:p w14:paraId="2F9CCDBA"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Blood pressure control implementation package vs. Control (Anticoagulation in AF package)</w:t>
            </w:r>
          </w:p>
        </w:tc>
        <w:tc>
          <w:tcPr>
            <w:tcW w:w="1134" w:type="dxa"/>
            <w:shd w:val="clear" w:color="auto" w:fill="FFFFFF"/>
            <w:tcMar>
              <w:top w:w="0" w:type="dxa"/>
              <w:left w:w="67" w:type="dxa"/>
              <w:bottom w:w="0" w:type="dxa"/>
              <w:right w:w="67" w:type="dxa"/>
            </w:tcMar>
            <w:vAlign w:val="center"/>
            <w:hideMark/>
          </w:tcPr>
          <w:p w14:paraId="2D8D1AC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0.2743</w:t>
            </w:r>
          </w:p>
        </w:tc>
        <w:tc>
          <w:tcPr>
            <w:tcW w:w="1134" w:type="dxa"/>
            <w:shd w:val="clear" w:color="auto" w:fill="FFFFFF"/>
            <w:tcMar>
              <w:top w:w="0" w:type="dxa"/>
              <w:left w:w="67" w:type="dxa"/>
              <w:bottom w:w="0" w:type="dxa"/>
              <w:right w:w="67" w:type="dxa"/>
            </w:tcMar>
            <w:vAlign w:val="center"/>
            <w:hideMark/>
          </w:tcPr>
          <w:p w14:paraId="194A408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0.5353</w:t>
            </w:r>
          </w:p>
        </w:tc>
        <w:tc>
          <w:tcPr>
            <w:tcW w:w="1134" w:type="dxa"/>
            <w:shd w:val="clear" w:color="auto" w:fill="FFFFFF"/>
            <w:tcMar>
              <w:top w:w="0" w:type="dxa"/>
              <w:left w:w="67" w:type="dxa"/>
              <w:bottom w:w="0" w:type="dxa"/>
              <w:right w:w="67" w:type="dxa"/>
            </w:tcMar>
            <w:vAlign w:val="center"/>
            <w:hideMark/>
          </w:tcPr>
          <w:p w14:paraId="509B5AC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-0.9255</w:t>
            </w:r>
          </w:p>
        </w:tc>
        <w:tc>
          <w:tcPr>
            <w:tcW w:w="1134" w:type="dxa"/>
            <w:shd w:val="clear" w:color="auto" w:fill="FFFFFF"/>
            <w:tcMar>
              <w:top w:w="0" w:type="dxa"/>
              <w:left w:w="67" w:type="dxa"/>
              <w:bottom w:w="0" w:type="dxa"/>
              <w:right w:w="67" w:type="dxa"/>
            </w:tcMar>
            <w:vAlign w:val="center"/>
            <w:hideMark/>
          </w:tcPr>
          <w:p w14:paraId="72F58FC7"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1.4741</w:t>
            </w:r>
          </w:p>
        </w:tc>
        <w:tc>
          <w:tcPr>
            <w:tcW w:w="1134" w:type="dxa"/>
            <w:shd w:val="clear" w:color="auto" w:fill="FFFFFF"/>
            <w:tcMar>
              <w:top w:w="0" w:type="dxa"/>
              <w:left w:w="67" w:type="dxa"/>
              <w:bottom w:w="0" w:type="dxa"/>
              <w:right w:w="67" w:type="dxa"/>
            </w:tcMar>
            <w:vAlign w:val="center"/>
            <w:hideMark/>
          </w:tcPr>
          <w:p w14:paraId="5199B430"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0.26</w:t>
            </w:r>
          </w:p>
        </w:tc>
        <w:tc>
          <w:tcPr>
            <w:tcW w:w="567" w:type="dxa"/>
            <w:shd w:val="clear" w:color="auto" w:fill="FFFFFF"/>
            <w:tcMar>
              <w:top w:w="0" w:type="dxa"/>
              <w:left w:w="67" w:type="dxa"/>
              <w:bottom w:w="0" w:type="dxa"/>
              <w:right w:w="67" w:type="dxa"/>
            </w:tcMar>
            <w:vAlign w:val="center"/>
            <w:hideMark/>
          </w:tcPr>
          <w:p w14:paraId="10A268B0"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4196D3D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0.6084</w:t>
            </w:r>
          </w:p>
        </w:tc>
      </w:tr>
      <w:tr w:rsidR="00B77EA3" w:rsidRPr="0082484A" w14:paraId="309546E7"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79924E24"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Gender</w:t>
            </w:r>
          </w:p>
        </w:tc>
        <w:tc>
          <w:tcPr>
            <w:tcW w:w="3969" w:type="dxa"/>
            <w:shd w:val="clear" w:color="auto" w:fill="FFFFFF"/>
            <w:tcMar>
              <w:top w:w="0" w:type="dxa"/>
              <w:left w:w="67" w:type="dxa"/>
              <w:bottom w:w="0" w:type="dxa"/>
              <w:right w:w="67" w:type="dxa"/>
            </w:tcMar>
            <w:vAlign w:val="center"/>
            <w:hideMark/>
          </w:tcPr>
          <w:p w14:paraId="7CCCB030"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Female vs. Male</w:t>
            </w:r>
          </w:p>
        </w:tc>
        <w:tc>
          <w:tcPr>
            <w:tcW w:w="1134" w:type="dxa"/>
            <w:shd w:val="clear" w:color="auto" w:fill="FFFFFF"/>
            <w:tcMar>
              <w:top w:w="0" w:type="dxa"/>
              <w:left w:w="67" w:type="dxa"/>
              <w:bottom w:w="0" w:type="dxa"/>
              <w:right w:w="67" w:type="dxa"/>
            </w:tcMar>
            <w:vAlign w:val="center"/>
            <w:hideMark/>
          </w:tcPr>
          <w:p w14:paraId="53901E0B"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0.4450</w:t>
            </w:r>
          </w:p>
        </w:tc>
        <w:tc>
          <w:tcPr>
            <w:tcW w:w="1134" w:type="dxa"/>
            <w:shd w:val="clear" w:color="auto" w:fill="FFFFFF"/>
            <w:tcMar>
              <w:top w:w="0" w:type="dxa"/>
              <w:left w:w="67" w:type="dxa"/>
              <w:bottom w:w="0" w:type="dxa"/>
              <w:right w:w="67" w:type="dxa"/>
            </w:tcMar>
            <w:vAlign w:val="center"/>
            <w:hideMark/>
          </w:tcPr>
          <w:p w14:paraId="5ADD688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0.1043</w:t>
            </w:r>
          </w:p>
        </w:tc>
        <w:tc>
          <w:tcPr>
            <w:tcW w:w="1134" w:type="dxa"/>
            <w:shd w:val="clear" w:color="auto" w:fill="FFFFFF"/>
            <w:tcMar>
              <w:top w:w="0" w:type="dxa"/>
              <w:left w:w="67" w:type="dxa"/>
              <w:bottom w:w="0" w:type="dxa"/>
              <w:right w:w="67" w:type="dxa"/>
            </w:tcMar>
            <w:vAlign w:val="center"/>
            <w:hideMark/>
          </w:tcPr>
          <w:p w14:paraId="7B000FC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0.2113</w:t>
            </w:r>
          </w:p>
        </w:tc>
        <w:tc>
          <w:tcPr>
            <w:tcW w:w="1134" w:type="dxa"/>
            <w:shd w:val="clear" w:color="auto" w:fill="FFFFFF"/>
            <w:tcMar>
              <w:top w:w="0" w:type="dxa"/>
              <w:left w:w="67" w:type="dxa"/>
              <w:bottom w:w="0" w:type="dxa"/>
              <w:right w:w="67" w:type="dxa"/>
            </w:tcMar>
            <w:vAlign w:val="center"/>
            <w:hideMark/>
          </w:tcPr>
          <w:p w14:paraId="4C6963F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0.6786</w:t>
            </w:r>
          </w:p>
        </w:tc>
        <w:tc>
          <w:tcPr>
            <w:tcW w:w="1134" w:type="dxa"/>
            <w:shd w:val="clear" w:color="auto" w:fill="FFFFFF"/>
            <w:tcMar>
              <w:top w:w="0" w:type="dxa"/>
              <w:left w:w="67" w:type="dxa"/>
              <w:bottom w:w="0" w:type="dxa"/>
              <w:right w:w="67" w:type="dxa"/>
            </w:tcMar>
            <w:vAlign w:val="center"/>
            <w:hideMark/>
          </w:tcPr>
          <w:p w14:paraId="022CB02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18.22</w:t>
            </w:r>
          </w:p>
        </w:tc>
        <w:tc>
          <w:tcPr>
            <w:tcW w:w="567" w:type="dxa"/>
            <w:shd w:val="clear" w:color="auto" w:fill="FFFFFF"/>
            <w:tcMar>
              <w:top w:w="0" w:type="dxa"/>
              <w:left w:w="67" w:type="dxa"/>
              <w:bottom w:w="0" w:type="dxa"/>
              <w:right w:w="67" w:type="dxa"/>
            </w:tcMar>
            <w:vAlign w:val="center"/>
            <w:hideMark/>
          </w:tcPr>
          <w:p w14:paraId="076EB59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3D3836A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&lt;.0001</w:t>
            </w:r>
          </w:p>
        </w:tc>
      </w:tr>
      <w:tr w:rsidR="00B77EA3" w:rsidRPr="0082484A" w14:paraId="1E591200"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69CDD6D8"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Age</w:t>
            </w:r>
          </w:p>
        </w:tc>
        <w:tc>
          <w:tcPr>
            <w:tcW w:w="3969" w:type="dxa"/>
            <w:shd w:val="clear" w:color="auto" w:fill="FFFFFF"/>
            <w:tcMar>
              <w:top w:w="0" w:type="dxa"/>
              <w:left w:w="67" w:type="dxa"/>
              <w:bottom w:w="0" w:type="dxa"/>
              <w:right w:w="67" w:type="dxa"/>
            </w:tcMar>
            <w:vAlign w:val="center"/>
          </w:tcPr>
          <w:p w14:paraId="18B80EE3"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681FDBF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0.0501</w:t>
            </w:r>
          </w:p>
        </w:tc>
        <w:tc>
          <w:tcPr>
            <w:tcW w:w="1134" w:type="dxa"/>
            <w:shd w:val="clear" w:color="auto" w:fill="FFFFFF"/>
            <w:tcMar>
              <w:top w:w="0" w:type="dxa"/>
              <w:left w:w="67" w:type="dxa"/>
              <w:bottom w:w="0" w:type="dxa"/>
              <w:right w:w="67" w:type="dxa"/>
            </w:tcMar>
            <w:vAlign w:val="center"/>
            <w:hideMark/>
          </w:tcPr>
          <w:p w14:paraId="2945F00A"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0.0042</w:t>
            </w:r>
          </w:p>
        </w:tc>
        <w:tc>
          <w:tcPr>
            <w:tcW w:w="1134" w:type="dxa"/>
            <w:shd w:val="clear" w:color="auto" w:fill="FFFFFF"/>
            <w:tcMar>
              <w:top w:w="0" w:type="dxa"/>
              <w:left w:w="67" w:type="dxa"/>
              <w:bottom w:w="0" w:type="dxa"/>
              <w:right w:w="67" w:type="dxa"/>
            </w:tcMar>
            <w:vAlign w:val="center"/>
            <w:hideMark/>
          </w:tcPr>
          <w:p w14:paraId="7B1685A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0.0408</w:t>
            </w:r>
          </w:p>
        </w:tc>
        <w:tc>
          <w:tcPr>
            <w:tcW w:w="1134" w:type="dxa"/>
            <w:shd w:val="clear" w:color="auto" w:fill="FFFFFF"/>
            <w:tcMar>
              <w:top w:w="0" w:type="dxa"/>
              <w:left w:w="67" w:type="dxa"/>
              <w:bottom w:w="0" w:type="dxa"/>
              <w:right w:w="67" w:type="dxa"/>
            </w:tcMar>
            <w:vAlign w:val="center"/>
            <w:hideMark/>
          </w:tcPr>
          <w:p w14:paraId="2A121F3A"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0.0594</w:t>
            </w:r>
          </w:p>
        </w:tc>
        <w:tc>
          <w:tcPr>
            <w:tcW w:w="1134" w:type="dxa"/>
            <w:shd w:val="clear" w:color="auto" w:fill="FFFFFF"/>
            <w:tcMar>
              <w:top w:w="0" w:type="dxa"/>
              <w:left w:w="67" w:type="dxa"/>
              <w:bottom w:w="0" w:type="dxa"/>
              <w:right w:w="67" w:type="dxa"/>
            </w:tcMar>
            <w:vAlign w:val="center"/>
            <w:hideMark/>
          </w:tcPr>
          <w:p w14:paraId="1444B98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144.76</w:t>
            </w:r>
          </w:p>
        </w:tc>
        <w:tc>
          <w:tcPr>
            <w:tcW w:w="567" w:type="dxa"/>
            <w:shd w:val="clear" w:color="auto" w:fill="FFFFFF"/>
            <w:tcMar>
              <w:top w:w="0" w:type="dxa"/>
              <w:left w:w="67" w:type="dxa"/>
              <w:bottom w:w="0" w:type="dxa"/>
              <w:right w:w="67" w:type="dxa"/>
            </w:tcMar>
            <w:vAlign w:val="center"/>
            <w:hideMark/>
          </w:tcPr>
          <w:p w14:paraId="2B8E587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0EE5BB8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&lt;.0001</w:t>
            </w:r>
          </w:p>
        </w:tc>
      </w:tr>
      <w:tr w:rsidR="00B77EA3" w:rsidRPr="0082484A" w14:paraId="2AF73591"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5A14548D"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Relative to 100 patient increase in list size at baseline</w:t>
            </w:r>
          </w:p>
        </w:tc>
        <w:tc>
          <w:tcPr>
            <w:tcW w:w="3969" w:type="dxa"/>
            <w:shd w:val="clear" w:color="auto" w:fill="FFFFFF"/>
            <w:tcMar>
              <w:top w:w="0" w:type="dxa"/>
              <w:left w:w="67" w:type="dxa"/>
              <w:bottom w:w="0" w:type="dxa"/>
              <w:right w:w="67" w:type="dxa"/>
            </w:tcMar>
            <w:vAlign w:val="center"/>
          </w:tcPr>
          <w:p w14:paraId="58FC9B29" w14:textId="77777777" w:rsidR="00B77EA3" w:rsidRPr="0082484A" w:rsidRDefault="00B77EA3" w:rsidP="00B77EA3">
            <w:pPr>
              <w:spacing w:beforeLines="10" w:before="24" w:afterLines="10" w:after="24" w:line="240" w:lineRule="auto"/>
              <w:rPr>
                <w:sz w:val="22"/>
                <w:szCs w:val="22"/>
              </w:rPr>
            </w:pPr>
          </w:p>
        </w:tc>
        <w:tc>
          <w:tcPr>
            <w:tcW w:w="1134" w:type="dxa"/>
            <w:shd w:val="clear" w:color="auto" w:fill="FFFFFF"/>
            <w:tcMar>
              <w:top w:w="0" w:type="dxa"/>
              <w:left w:w="67" w:type="dxa"/>
              <w:bottom w:w="0" w:type="dxa"/>
              <w:right w:w="67" w:type="dxa"/>
            </w:tcMar>
            <w:vAlign w:val="center"/>
            <w:hideMark/>
          </w:tcPr>
          <w:p w14:paraId="6DD949FC"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0.0083</w:t>
            </w:r>
          </w:p>
        </w:tc>
        <w:tc>
          <w:tcPr>
            <w:tcW w:w="1134" w:type="dxa"/>
            <w:shd w:val="clear" w:color="auto" w:fill="FFFFFF"/>
            <w:tcMar>
              <w:top w:w="0" w:type="dxa"/>
              <w:left w:w="67" w:type="dxa"/>
              <w:bottom w:w="0" w:type="dxa"/>
              <w:right w:w="67" w:type="dxa"/>
            </w:tcMar>
            <w:vAlign w:val="center"/>
            <w:hideMark/>
          </w:tcPr>
          <w:p w14:paraId="43F83D6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0.0071</w:t>
            </w:r>
          </w:p>
        </w:tc>
        <w:tc>
          <w:tcPr>
            <w:tcW w:w="1134" w:type="dxa"/>
            <w:shd w:val="clear" w:color="auto" w:fill="FFFFFF"/>
            <w:tcMar>
              <w:top w:w="0" w:type="dxa"/>
              <w:left w:w="67" w:type="dxa"/>
              <w:bottom w:w="0" w:type="dxa"/>
              <w:right w:w="67" w:type="dxa"/>
            </w:tcMar>
            <w:vAlign w:val="center"/>
            <w:hideMark/>
          </w:tcPr>
          <w:p w14:paraId="2559B2F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-0.0076</w:t>
            </w:r>
          </w:p>
        </w:tc>
        <w:tc>
          <w:tcPr>
            <w:tcW w:w="1134" w:type="dxa"/>
            <w:shd w:val="clear" w:color="auto" w:fill="FFFFFF"/>
            <w:tcMar>
              <w:top w:w="0" w:type="dxa"/>
              <w:left w:w="67" w:type="dxa"/>
              <w:bottom w:w="0" w:type="dxa"/>
              <w:right w:w="67" w:type="dxa"/>
            </w:tcMar>
            <w:vAlign w:val="center"/>
            <w:hideMark/>
          </w:tcPr>
          <w:p w14:paraId="7D32F62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0.0241</w:t>
            </w:r>
          </w:p>
        </w:tc>
        <w:tc>
          <w:tcPr>
            <w:tcW w:w="1134" w:type="dxa"/>
            <w:shd w:val="clear" w:color="auto" w:fill="FFFFFF"/>
            <w:tcMar>
              <w:top w:w="0" w:type="dxa"/>
              <w:left w:w="67" w:type="dxa"/>
              <w:bottom w:w="0" w:type="dxa"/>
              <w:right w:w="67" w:type="dxa"/>
            </w:tcMar>
            <w:vAlign w:val="center"/>
            <w:hideMark/>
          </w:tcPr>
          <w:p w14:paraId="271958BC"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1.36</w:t>
            </w:r>
          </w:p>
        </w:tc>
        <w:tc>
          <w:tcPr>
            <w:tcW w:w="567" w:type="dxa"/>
            <w:shd w:val="clear" w:color="auto" w:fill="FFFFFF"/>
            <w:tcMar>
              <w:top w:w="0" w:type="dxa"/>
              <w:left w:w="67" w:type="dxa"/>
              <w:bottom w:w="0" w:type="dxa"/>
              <w:right w:w="67" w:type="dxa"/>
            </w:tcMar>
            <w:vAlign w:val="center"/>
            <w:hideMark/>
          </w:tcPr>
          <w:p w14:paraId="126DEAC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1DD5B7C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0.2444</w:t>
            </w:r>
          </w:p>
        </w:tc>
      </w:tr>
      <w:tr w:rsidR="00B77EA3" w:rsidRPr="0082484A" w14:paraId="6517B1FB"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68CEB5F8"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5D27D112"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Airedale, Wharfedale and Craven CCG vs. NHS Wakefield CCG</w:t>
            </w:r>
          </w:p>
        </w:tc>
        <w:tc>
          <w:tcPr>
            <w:tcW w:w="1134" w:type="dxa"/>
            <w:shd w:val="clear" w:color="auto" w:fill="FFFFFF"/>
            <w:tcMar>
              <w:top w:w="0" w:type="dxa"/>
              <w:left w:w="67" w:type="dxa"/>
              <w:bottom w:w="0" w:type="dxa"/>
              <w:right w:w="67" w:type="dxa"/>
            </w:tcMar>
            <w:vAlign w:val="center"/>
            <w:hideMark/>
          </w:tcPr>
          <w:p w14:paraId="5B8C818B"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-0.7537</w:t>
            </w:r>
          </w:p>
        </w:tc>
        <w:tc>
          <w:tcPr>
            <w:tcW w:w="1134" w:type="dxa"/>
            <w:shd w:val="clear" w:color="auto" w:fill="FFFFFF"/>
            <w:tcMar>
              <w:top w:w="0" w:type="dxa"/>
              <w:left w:w="67" w:type="dxa"/>
              <w:bottom w:w="0" w:type="dxa"/>
              <w:right w:w="67" w:type="dxa"/>
            </w:tcMar>
            <w:vAlign w:val="center"/>
            <w:hideMark/>
          </w:tcPr>
          <w:p w14:paraId="3852A1D0"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1.2509</w:t>
            </w:r>
          </w:p>
        </w:tc>
        <w:tc>
          <w:tcPr>
            <w:tcW w:w="1134" w:type="dxa"/>
            <w:shd w:val="clear" w:color="auto" w:fill="FFFFFF"/>
            <w:tcMar>
              <w:top w:w="0" w:type="dxa"/>
              <w:left w:w="67" w:type="dxa"/>
              <w:bottom w:w="0" w:type="dxa"/>
              <w:right w:w="67" w:type="dxa"/>
            </w:tcMar>
            <w:vAlign w:val="center"/>
            <w:hideMark/>
          </w:tcPr>
          <w:p w14:paraId="55168D1E"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-3.5575</w:t>
            </w:r>
          </w:p>
        </w:tc>
        <w:tc>
          <w:tcPr>
            <w:tcW w:w="1134" w:type="dxa"/>
            <w:shd w:val="clear" w:color="auto" w:fill="FFFFFF"/>
            <w:tcMar>
              <w:top w:w="0" w:type="dxa"/>
              <w:left w:w="67" w:type="dxa"/>
              <w:bottom w:w="0" w:type="dxa"/>
              <w:right w:w="67" w:type="dxa"/>
            </w:tcMar>
            <w:vAlign w:val="center"/>
            <w:hideMark/>
          </w:tcPr>
          <w:p w14:paraId="5D30889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2.0502</w:t>
            </w:r>
          </w:p>
        </w:tc>
        <w:tc>
          <w:tcPr>
            <w:tcW w:w="1134" w:type="dxa"/>
            <w:shd w:val="clear" w:color="auto" w:fill="FFFFFF"/>
            <w:tcMar>
              <w:top w:w="0" w:type="dxa"/>
              <w:left w:w="67" w:type="dxa"/>
              <w:bottom w:w="0" w:type="dxa"/>
              <w:right w:w="67" w:type="dxa"/>
            </w:tcMar>
            <w:vAlign w:val="center"/>
            <w:hideMark/>
          </w:tcPr>
          <w:p w14:paraId="29F5211D"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0.99</w:t>
            </w:r>
          </w:p>
        </w:tc>
        <w:tc>
          <w:tcPr>
            <w:tcW w:w="567" w:type="dxa"/>
            <w:shd w:val="clear" w:color="auto" w:fill="FFFFFF"/>
            <w:tcMar>
              <w:top w:w="0" w:type="dxa"/>
              <w:left w:w="67" w:type="dxa"/>
              <w:bottom w:w="0" w:type="dxa"/>
              <w:right w:w="67" w:type="dxa"/>
            </w:tcMar>
            <w:vAlign w:val="center"/>
            <w:hideMark/>
          </w:tcPr>
          <w:p w14:paraId="3C040C9C"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8</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0264838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0.4423</w:t>
            </w:r>
          </w:p>
        </w:tc>
      </w:tr>
      <w:tr w:rsidR="00B77EA3" w:rsidRPr="0082484A" w14:paraId="4F4D13F3"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5913CA65"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674857DC"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Bradford City CCG vs. NHS Wakefield CCG</w:t>
            </w:r>
          </w:p>
        </w:tc>
        <w:tc>
          <w:tcPr>
            <w:tcW w:w="1134" w:type="dxa"/>
            <w:shd w:val="clear" w:color="auto" w:fill="FFFFFF"/>
            <w:tcMar>
              <w:top w:w="0" w:type="dxa"/>
              <w:left w:w="67" w:type="dxa"/>
              <w:bottom w:w="0" w:type="dxa"/>
              <w:right w:w="67" w:type="dxa"/>
            </w:tcMar>
            <w:vAlign w:val="center"/>
            <w:hideMark/>
          </w:tcPr>
          <w:p w14:paraId="5D5F849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-1.3776</w:t>
            </w:r>
          </w:p>
        </w:tc>
        <w:tc>
          <w:tcPr>
            <w:tcW w:w="1134" w:type="dxa"/>
            <w:shd w:val="clear" w:color="auto" w:fill="FFFFFF"/>
            <w:tcMar>
              <w:top w:w="0" w:type="dxa"/>
              <w:left w:w="67" w:type="dxa"/>
              <w:bottom w:w="0" w:type="dxa"/>
              <w:right w:w="67" w:type="dxa"/>
            </w:tcMar>
            <w:vAlign w:val="center"/>
            <w:hideMark/>
          </w:tcPr>
          <w:p w14:paraId="346E5D6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1.0764</w:t>
            </w:r>
          </w:p>
        </w:tc>
        <w:tc>
          <w:tcPr>
            <w:tcW w:w="1134" w:type="dxa"/>
            <w:shd w:val="clear" w:color="auto" w:fill="FFFFFF"/>
            <w:tcMar>
              <w:top w:w="0" w:type="dxa"/>
              <w:left w:w="67" w:type="dxa"/>
              <w:bottom w:w="0" w:type="dxa"/>
              <w:right w:w="67" w:type="dxa"/>
            </w:tcMar>
            <w:vAlign w:val="center"/>
            <w:hideMark/>
          </w:tcPr>
          <w:p w14:paraId="09017237"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-3.7902</w:t>
            </w:r>
          </w:p>
        </w:tc>
        <w:tc>
          <w:tcPr>
            <w:tcW w:w="1134" w:type="dxa"/>
            <w:shd w:val="clear" w:color="auto" w:fill="FFFFFF"/>
            <w:tcMar>
              <w:top w:w="0" w:type="dxa"/>
              <w:left w:w="67" w:type="dxa"/>
              <w:bottom w:w="0" w:type="dxa"/>
              <w:right w:w="67" w:type="dxa"/>
            </w:tcMar>
            <w:vAlign w:val="center"/>
            <w:hideMark/>
          </w:tcPr>
          <w:p w14:paraId="178753E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1.0351</w:t>
            </w:r>
          </w:p>
        </w:tc>
        <w:tc>
          <w:tcPr>
            <w:tcW w:w="1134" w:type="dxa"/>
            <w:shd w:val="clear" w:color="auto" w:fill="FFFFFF"/>
            <w:tcMar>
              <w:top w:w="0" w:type="dxa"/>
              <w:left w:w="67" w:type="dxa"/>
              <w:bottom w:w="0" w:type="dxa"/>
              <w:right w:w="67" w:type="dxa"/>
            </w:tcMar>
            <w:vAlign w:val="center"/>
          </w:tcPr>
          <w:p w14:paraId="3DAA163D"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4123F5C8"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1B98C869"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2D8848A4"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5B0326C5"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22F33713"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Calderdale CCG vs. NHS Wakefield CCG</w:t>
            </w:r>
          </w:p>
        </w:tc>
        <w:tc>
          <w:tcPr>
            <w:tcW w:w="1134" w:type="dxa"/>
            <w:shd w:val="clear" w:color="auto" w:fill="FFFFFF"/>
            <w:tcMar>
              <w:top w:w="0" w:type="dxa"/>
              <w:left w:w="67" w:type="dxa"/>
              <w:bottom w:w="0" w:type="dxa"/>
              <w:right w:w="67" w:type="dxa"/>
            </w:tcMar>
            <w:vAlign w:val="center"/>
            <w:hideMark/>
          </w:tcPr>
          <w:p w14:paraId="67948FC5"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-1.9035</w:t>
            </w:r>
          </w:p>
        </w:tc>
        <w:tc>
          <w:tcPr>
            <w:tcW w:w="1134" w:type="dxa"/>
            <w:shd w:val="clear" w:color="auto" w:fill="FFFFFF"/>
            <w:tcMar>
              <w:top w:w="0" w:type="dxa"/>
              <w:left w:w="67" w:type="dxa"/>
              <w:bottom w:w="0" w:type="dxa"/>
              <w:right w:w="67" w:type="dxa"/>
            </w:tcMar>
            <w:vAlign w:val="center"/>
            <w:hideMark/>
          </w:tcPr>
          <w:p w14:paraId="495C576D"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1.2060</w:t>
            </w:r>
          </w:p>
        </w:tc>
        <w:tc>
          <w:tcPr>
            <w:tcW w:w="1134" w:type="dxa"/>
            <w:shd w:val="clear" w:color="auto" w:fill="FFFFFF"/>
            <w:tcMar>
              <w:top w:w="0" w:type="dxa"/>
              <w:left w:w="67" w:type="dxa"/>
              <w:bottom w:w="0" w:type="dxa"/>
              <w:right w:w="67" w:type="dxa"/>
            </w:tcMar>
            <w:vAlign w:val="center"/>
            <w:hideMark/>
          </w:tcPr>
          <w:p w14:paraId="7692C8C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-4.6068</w:t>
            </w:r>
          </w:p>
        </w:tc>
        <w:tc>
          <w:tcPr>
            <w:tcW w:w="1134" w:type="dxa"/>
            <w:shd w:val="clear" w:color="auto" w:fill="FFFFFF"/>
            <w:tcMar>
              <w:top w:w="0" w:type="dxa"/>
              <w:left w:w="67" w:type="dxa"/>
              <w:bottom w:w="0" w:type="dxa"/>
              <w:right w:w="67" w:type="dxa"/>
            </w:tcMar>
            <w:vAlign w:val="center"/>
            <w:hideMark/>
          </w:tcPr>
          <w:p w14:paraId="782DBF3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0.7997</w:t>
            </w:r>
          </w:p>
        </w:tc>
        <w:tc>
          <w:tcPr>
            <w:tcW w:w="1134" w:type="dxa"/>
            <w:shd w:val="clear" w:color="auto" w:fill="FFFFFF"/>
            <w:tcMar>
              <w:top w:w="0" w:type="dxa"/>
              <w:left w:w="67" w:type="dxa"/>
              <w:bottom w:w="0" w:type="dxa"/>
              <w:right w:w="67" w:type="dxa"/>
            </w:tcMar>
            <w:vAlign w:val="center"/>
          </w:tcPr>
          <w:p w14:paraId="0E0D1538"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26F3CB67"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71CF01E3"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487ADD36"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60579A10"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1BBE3387"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Greater Huddersfield CCG vs. NHS Wakefield CCG</w:t>
            </w:r>
          </w:p>
        </w:tc>
        <w:tc>
          <w:tcPr>
            <w:tcW w:w="1134" w:type="dxa"/>
            <w:shd w:val="clear" w:color="auto" w:fill="FFFFFF"/>
            <w:tcMar>
              <w:top w:w="0" w:type="dxa"/>
              <w:left w:w="67" w:type="dxa"/>
              <w:bottom w:w="0" w:type="dxa"/>
              <w:right w:w="67" w:type="dxa"/>
            </w:tcMar>
            <w:vAlign w:val="center"/>
            <w:hideMark/>
          </w:tcPr>
          <w:p w14:paraId="6ACB821B"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-1.5021</w:t>
            </w:r>
          </w:p>
        </w:tc>
        <w:tc>
          <w:tcPr>
            <w:tcW w:w="1134" w:type="dxa"/>
            <w:shd w:val="clear" w:color="auto" w:fill="FFFFFF"/>
            <w:tcMar>
              <w:top w:w="0" w:type="dxa"/>
              <w:left w:w="67" w:type="dxa"/>
              <w:bottom w:w="0" w:type="dxa"/>
              <w:right w:w="67" w:type="dxa"/>
            </w:tcMar>
            <w:vAlign w:val="center"/>
            <w:hideMark/>
          </w:tcPr>
          <w:p w14:paraId="1C4B2B4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1.1200</w:t>
            </w:r>
          </w:p>
        </w:tc>
        <w:tc>
          <w:tcPr>
            <w:tcW w:w="1134" w:type="dxa"/>
            <w:shd w:val="clear" w:color="auto" w:fill="FFFFFF"/>
            <w:tcMar>
              <w:top w:w="0" w:type="dxa"/>
              <w:left w:w="67" w:type="dxa"/>
              <w:bottom w:w="0" w:type="dxa"/>
              <w:right w:w="67" w:type="dxa"/>
            </w:tcMar>
            <w:vAlign w:val="center"/>
            <w:hideMark/>
          </w:tcPr>
          <w:p w14:paraId="0AC7811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-4.0126</w:t>
            </w:r>
          </w:p>
        </w:tc>
        <w:tc>
          <w:tcPr>
            <w:tcW w:w="1134" w:type="dxa"/>
            <w:shd w:val="clear" w:color="auto" w:fill="FFFFFF"/>
            <w:tcMar>
              <w:top w:w="0" w:type="dxa"/>
              <w:left w:w="67" w:type="dxa"/>
              <w:bottom w:w="0" w:type="dxa"/>
              <w:right w:w="67" w:type="dxa"/>
            </w:tcMar>
            <w:vAlign w:val="center"/>
            <w:hideMark/>
          </w:tcPr>
          <w:p w14:paraId="22AFD102"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1.0084</w:t>
            </w:r>
          </w:p>
        </w:tc>
        <w:tc>
          <w:tcPr>
            <w:tcW w:w="1134" w:type="dxa"/>
            <w:shd w:val="clear" w:color="auto" w:fill="FFFFFF"/>
            <w:tcMar>
              <w:top w:w="0" w:type="dxa"/>
              <w:left w:w="67" w:type="dxa"/>
              <w:bottom w:w="0" w:type="dxa"/>
              <w:right w:w="67" w:type="dxa"/>
            </w:tcMar>
            <w:vAlign w:val="center"/>
          </w:tcPr>
          <w:p w14:paraId="4DF1ED0D"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551FF5D2"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46265AEC"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42F3431E"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2C85336A"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0D123856"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North CCG vs. NHS Wakefield CCG</w:t>
            </w:r>
          </w:p>
        </w:tc>
        <w:tc>
          <w:tcPr>
            <w:tcW w:w="1134" w:type="dxa"/>
            <w:shd w:val="clear" w:color="auto" w:fill="FFFFFF"/>
            <w:tcMar>
              <w:top w:w="0" w:type="dxa"/>
              <w:left w:w="67" w:type="dxa"/>
              <w:bottom w:w="0" w:type="dxa"/>
              <w:right w:w="67" w:type="dxa"/>
            </w:tcMar>
            <w:vAlign w:val="center"/>
            <w:hideMark/>
          </w:tcPr>
          <w:p w14:paraId="0F07F205"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-2.4692</w:t>
            </w:r>
          </w:p>
        </w:tc>
        <w:tc>
          <w:tcPr>
            <w:tcW w:w="1134" w:type="dxa"/>
            <w:shd w:val="clear" w:color="auto" w:fill="FFFFFF"/>
            <w:tcMar>
              <w:top w:w="0" w:type="dxa"/>
              <w:left w:w="67" w:type="dxa"/>
              <w:bottom w:w="0" w:type="dxa"/>
              <w:right w:w="67" w:type="dxa"/>
            </w:tcMar>
            <w:vAlign w:val="center"/>
            <w:hideMark/>
          </w:tcPr>
          <w:p w14:paraId="3EDC54D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1.3441</w:t>
            </w:r>
          </w:p>
        </w:tc>
        <w:tc>
          <w:tcPr>
            <w:tcW w:w="1134" w:type="dxa"/>
            <w:shd w:val="clear" w:color="auto" w:fill="FFFFFF"/>
            <w:tcMar>
              <w:top w:w="0" w:type="dxa"/>
              <w:left w:w="67" w:type="dxa"/>
              <w:bottom w:w="0" w:type="dxa"/>
              <w:right w:w="67" w:type="dxa"/>
            </w:tcMar>
            <w:vAlign w:val="center"/>
            <w:hideMark/>
          </w:tcPr>
          <w:p w14:paraId="25AF068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-5.4819</w:t>
            </w:r>
          </w:p>
        </w:tc>
        <w:tc>
          <w:tcPr>
            <w:tcW w:w="1134" w:type="dxa"/>
            <w:shd w:val="clear" w:color="auto" w:fill="FFFFFF"/>
            <w:tcMar>
              <w:top w:w="0" w:type="dxa"/>
              <w:left w:w="67" w:type="dxa"/>
              <w:bottom w:w="0" w:type="dxa"/>
              <w:right w:w="67" w:type="dxa"/>
            </w:tcMar>
            <w:vAlign w:val="center"/>
            <w:hideMark/>
          </w:tcPr>
          <w:p w14:paraId="469A6E1E"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0.5436</w:t>
            </w:r>
          </w:p>
        </w:tc>
        <w:tc>
          <w:tcPr>
            <w:tcW w:w="1134" w:type="dxa"/>
            <w:shd w:val="clear" w:color="auto" w:fill="FFFFFF"/>
            <w:tcMar>
              <w:top w:w="0" w:type="dxa"/>
              <w:left w:w="67" w:type="dxa"/>
              <w:bottom w:w="0" w:type="dxa"/>
              <w:right w:w="67" w:type="dxa"/>
            </w:tcMar>
            <w:vAlign w:val="center"/>
          </w:tcPr>
          <w:p w14:paraId="2D7F3F27"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05A6953C"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62B7DF02"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35EA29CF"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0962A540"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286A4970"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South and East CCG vs. NHS Wakefield CCG</w:t>
            </w:r>
          </w:p>
        </w:tc>
        <w:tc>
          <w:tcPr>
            <w:tcW w:w="1134" w:type="dxa"/>
            <w:shd w:val="clear" w:color="auto" w:fill="FFFFFF"/>
            <w:tcMar>
              <w:top w:w="0" w:type="dxa"/>
              <w:left w:w="67" w:type="dxa"/>
              <w:bottom w:w="0" w:type="dxa"/>
              <w:right w:w="67" w:type="dxa"/>
            </w:tcMar>
            <w:vAlign w:val="center"/>
            <w:hideMark/>
          </w:tcPr>
          <w:p w14:paraId="1090289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-1.3379</w:t>
            </w:r>
          </w:p>
        </w:tc>
        <w:tc>
          <w:tcPr>
            <w:tcW w:w="1134" w:type="dxa"/>
            <w:shd w:val="clear" w:color="auto" w:fill="FFFFFF"/>
            <w:tcMar>
              <w:top w:w="0" w:type="dxa"/>
              <w:left w:w="67" w:type="dxa"/>
              <w:bottom w:w="0" w:type="dxa"/>
              <w:right w:w="67" w:type="dxa"/>
            </w:tcMar>
            <w:vAlign w:val="center"/>
            <w:hideMark/>
          </w:tcPr>
          <w:p w14:paraId="057175E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1.0392</w:t>
            </w:r>
          </w:p>
        </w:tc>
        <w:tc>
          <w:tcPr>
            <w:tcW w:w="1134" w:type="dxa"/>
            <w:shd w:val="clear" w:color="auto" w:fill="FFFFFF"/>
            <w:tcMar>
              <w:top w:w="0" w:type="dxa"/>
              <w:left w:w="67" w:type="dxa"/>
              <w:bottom w:w="0" w:type="dxa"/>
              <w:right w:w="67" w:type="dxa"/>
            </w:tcMar>
            <w:vAlign w:val="center"/>
            <w:hideMark/>
          </w:tcPr>
          <w:p w14:paraId="6CC50B5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-3.6671</w:t>
            </w:r>
          </w:p>
        </w:tc>
        <w:tc>
          <w:tcPr>
            <w:tcW w:w="1134" w:type="dxa"/>
            <w:shd w:val="clear" w:color="auto" w:fill="FFFFFF"/>
            <w:tcMar>
              <w:top w:w="0" w:type="dxa"/>
              <w:left w:w="67" w:type="dxa"/>
              <w:bottom w:w="0" w:type="dxa"/>
              <w:right w:w="67" w:type="dxa"/>
            </w:tcMar>
            <w:vAlign w:val="center"/>
            <w:hideMark/>
          </w:tcPr>
          <w:p w14:paraId="5E50DC1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0.9914</w:t>
            </w:r>
          </w:p>
        </w:tc>
        <w:tc>
          <w:tcPr>
            <w:tcW w:w="1134" w:type="dxa"/>
            <w:shd w:val="clear" w:color="auto" w:fill="FFFFFF"/>
            <w:tcMar>
              <w:top w:w="0" w:type="dxa"/>
              <w:left w:w="67" w:type="dxa"/>
              <w:bottom w:w="0" w:type="dxa"/>
              <w:right w:w="67" w:type="dxa"/>
            </w:tcMar>
            <w:vAlign w:val="center"/>
          </w:tcPr>
          <w:p w14:paraId="5F17AC3A"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2A37196B"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1ED6EA60"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3E15D1D8"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7352C83B"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49D87E10"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Leeds West CCG vs. NHS Wakefield CCG</w:t>
            </w:r>
          </w:p>
        </w:tc>
        <w:tc>
          <w:tcPr>
            <w:tcW w:w="1134" w:type="dxa"/>
            <w:shd w:val="clear" w:color="auto" w:fill="FFFFFF"/>
            <w:tcMar>
              <w:top w:w="0" w:type="dxa"/>
              <w:left w:w="67" w:type="dxa"/>
              <w:bottom w:w="0" w:type="dxa"/>
              <w:right w:w="67" w:type="dxa"/>
            </w:tcMar>
            <w:vAlign w:val="center"/>
            <w:hideMark/>
          </w:tcPr>
          <w:p w14:paraId="116904C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-0.2641</w:t>
            </w:r>
          </w:p>
        </w:tc>
        <w:tc>
          <w:tcPr>
            <w:tcW w:w="1134" w:type="dxa"/>
            <w:shd w:val="clear" w:color="auto" w:fill="FFFFFF"/>
            <w:tcMar>
              <w:top w:w="0" w:type="dxa"/>
              <w:left w:w="67" w:type="dxa"/>
              <w:bottom w:w="0" w:type="dxa"/>
              <w:right w:w="67" w:type="dxa"/>
            </w:tcMar>
            <w:vAlign w:val="center"/>
            <w:hideMark/>
          </w:tcPr>
          <w:p w14:paraId="04E82AE5"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1.0355</w:t>
            </w:r>
          </w:p>
        </w:tc>
        <w:tc>
          <w:tcPr>
            <w:tcW w:w="1134" w:type="dxa"/>
            <w:shd w:val="clear" w:color="auto" w:fill="FFFFFF"/>
            <w:tcMar>
              <w:top w:w="0" w:type="dxa"/>
              <w:left w:w="67" w:type="dxa"/>
              <w:bottom w:w="0" w:type="dxa"/>
              <w:right w:w="67" w:type="dxa"/>
            </w:tcMar>
            <w:vAlign w:val="center"/>
            <w:hideMark/>
          </w:tcPr>
          <w:p w14:paraId="59C2514E"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-2.5851</w:t>
            </w:r>
          </w:p>
        </w:tc>
        <w:tc>
          <w:tcPr>
            <w:tcW w:w="1134" w:type="dxa"/>
            <w:shd w:val="clear" w:color="auto" w:fill="FFFFFF"/>
            <w:tcMar>
              <w:top w:w="0" w:type="dxa"/>
              <w:left w:w="67" w:type="dxa"/>
              <w:bottom w:w="0" w:type="dxa"/>
              <w:right w:w="67" w:type="dxa"/>
            </w:tcMar>
            <w:vAlign w:val="center"/>
            <w:hideMark/>
          </w:tcPr>
          <w:p w14:paraId="0EB60D6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2.0570</w:t>
            </w:r>
          </w:p>
        </w:tc>
        <w:tc>
          <w:tcPr>
            <w:tcW w:w="1134" w:type="dxa"/>
            <w:shd w:val="clear" w:color="auto" w:fill="FFFFFF"/>
            <w:tcMar>
              <w:top w:w="0" w:type="dxa"/>
              <w:left w:w="67" w:type="dxa"/>
              <w:bottom w:w="0" w:type="dxa"/>
              <w:right w:w="67" w:type="dxa"/>
            </w:tcMar>
            <w:vAlign w:val="center"/>
          </w:tcPr>
          <w:p w14:paraId="792E049B"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7573B1BB"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727643D9"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73785952"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6620289A"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CCG</w:t>
            </w:r>
          </w:p>
        </w:tc>
        <w:tc>
          <w:tcPr>
            <w:tcW w:w="3969" w:type="dxa"/>
            <w:shd w:val="clear" w:color="auto" w:fill="FFFFFF"/>
            <w:tcMar>
              <w:top w:w="0" w:type="dxa"/>
              <w:left w:w="67" w:type="dxa"/>
              <w:bottom w:w="0" w:type="dxa"/>
              <w:right w:w="67" w:type="dxa"/>
            </w:tcMar>
            <w:vAlign w:val="center"/>
            <w:hideMark/>
          </w:tcPr>
          <w:p w14:paraId="7AC293AD"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NHS North Kirklees CCG vs. NHS Wakefield CCG</w:t>
            </w:r>
          </w:p>
        </w:tc>
        <w:tc>
          <w:tcPr>
            <w:tcW w:w="1134" w:type="dxa"/>
            <w:shd w:val="clear" w:color="auto" w:fill="FFFFFF"/>
            <w:tcMar>
              <w:top w:w="0" w:type="dxa"/>
              <w:left w:w="67" w:type="dxa"/>
              <w:bottom w:w="0" w:type="dxa"/>
              <w:right w:w="67" w:type="dxa"/>
            </w:tcMar>
            <w:vAlign w:val="center"/>
            <w:hideMark/>
          </w:tcPr>
          <w:p w14:paraId="15A85E1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-2.0676</w:t>
            </w:r>
          </w:p>
        </w:tc>
        <w:tc>
          <w:tcPr>
            <w:tcW w:w="1134" w:type="dxa"/>
            <w:shd w:val="clear" w:color="auto" w:fill="FFFFFF"/>
            <w:tcMar>
              <w:top w:w="0" w:type="dxa"/>
              <w:left w:w="67" w:type="dxa"/>
              <w:bottom w:w="0" w:type="dxa"/>
              <w:right w:w="67" w:type="dxa"/>
            </w:tcMar>
            <w:vAlign w:val="center"/>
            <w:hideMark/>
          </w:tcPr>
          <w:p w14:paraId="772E772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1.0667</w:t>
            </w:r>
          </w:p>
        </w:tc>
        <w:tc>
          <w:tcPr>
            <w:tcW w:w="1134" w:type="dxa"/>
            <w:shd w:val="clear" w:color="auto" w:fill="FFFFFF"/>
            <w:tcMar>
              <w:top w:w="0" w:type="dxa"/>
              <w:left w:w="67" w:type="dxa"/>
              <w:bottom w:w="0" w:type="dxa"/>
              <w:right w:w="67" w:type="dxa"/>
            </w:tcMar>
            <w:vAlign w:val="center"/>
            <w:hideMark/>
          </w:tcPr>
          <w:p w14:paraId="4C9D714D"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-4.4585</w:t>
            </w:r>
          </w:p>
        </w:tc>
        <w:tc>
          <w:tcPr>
            <w:tcW w:w="1134" w:type="dxa"/>
            <w:shd w:val="clear" w:color="auto" w:fill="FFFFFF"/>
            <w:tcMar>
              <w:top w:w="0" w:type="dxa"/>
              <w:left w:w="67" w:type="dxa"/>
              <w:bottom w:w="0" w:type="dxa"/>
              <w:right w:w="67" w:type="dxa"/>
            </w:tcMar>
            <w:vAlign w:val="center"/>
            <w:hideMark/>
          </w:tcPr>
          <w:p w14:paraId="4F106CEA"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0.3233</w:t>
            </w:r>
          </w:p>
        </w:tc>
        <w:tc>
          <w:tcPr>
            <w:tcW w:w="1134" w:type="dxa"/>
            <w:shd w:val="clear" w:color="auto" w:fill="FFFFFF"/>
            <w:tcMar>
              <w:top w:w="0" w:type="dxa"/>
              <w:left w:w="67" w:type="dxa"/>
              <w:bottom w:w="0" w:type="dxa"/>
              <w:right w:w="67" w:type="dxa"/>
            </w:tcMar>
            <w:vAlign w:val="center"/>
          </w:tcPr>
          <w:p w14:paraId="442F33F6" w14:textId="77777777" w:rsidR="00B77EA3" w:rsidRPr="0082484A" w:rsidRDefault="00B77EA3" w:rsidP="00B77EA3">
            <w:pPr>
              <w:adjustRightInd w:val="0"/>
              <w:spacing w:beforeLines="10" w:before="24" w:afterLines="10" w:after="24" w:line="256" w:lineRule="auto"/>
              <w:jc w:val="center"/>
              <w:rPr>
                <w:sz w:val="22"/>
                <w:szCs w:val="22"/>
              </w:rPr>
            </w:pPr>
          </w:p>
        </w:tc>
        <w:tc>
          <w:tcPr>
            <w:tcW w:w="567" w:type="dxa"/>
            <w:shd w:val="clear" w:color="auto" w:fill="FFFFFF"/>
            <w:tcMar>
              <w:top w:w="0" w:type="dxa"/>
              <w:left w:w="67" w:type="dxa"/>
              <w:bottom w:w="0" w:type="dxa"/>
              <w:right w:w="67" w:type="dxa"/>
            </w:tcMar>
            <w:vAlign w:val="center"/>
          </w:tcPr>
          <w:p w14:paraId="61E92DDF" w14:textId="77777777" w:rsidR="00B77EA3" w:rsidRPr="0082484A" w:rsidRDefault="00B77EA3" w:rsidP="00B77EA3">
            <w:pPr>
              <w:adjustRightInd w:val="0"/>
              <w:spacing w:beforeLines="10" w:before="24" w:afterLines="10" w:after="24" w:line="256" w:lineRule="auto"/>
              <w:jc w:val="center"/>
              <w:rPr>
                <w:sz w:val="22"/>
                <w:szCs w:val="22"/>
              </w:rPr>
            </w:pP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4991A51E" w14:textId="77777777" w:rsidR="00B77EA3" w:rsidRPr="0082484A" w:rsidRDefault="00B77EA3" w:rsidP="00B77EA3">
            <w:pPr>
              <w:adjustRightInd w:val="0"/>
              <w:spacing w:beforeLines="10" w:before="24" w:afterLines="10" w:after="24" w:line="256" w:lineRule="auto"/>
              <w:jc w:val="center"/>
              <w:rPr>
                <w:sz w:val="22"/>
                <w:szCs w:val="22"/>
              </w:rPr>
            </w:pPr>
          </w:p>
        </w:tc>
      </w:tr>
      <w:tr w:rsidR="00B77EA3" w:rsidRPr="0082484A" w14:paraId="1FB1BA28"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6B078E6E"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Pre-intervention achievement for anticoagulation in AF</w:t>
            </w:r>
          </w:p>
        </w:tc>
        <w:tc>
          <w:tcPr>
            <w:tcW w:w="3969" w:type="dxa"/>
            <w:shd w:val="clear" w:color="auto" w:fill="FFFFFF"/>
            <w:tcMar>
              <w:top w:w="0" w:type="dxa"/>
              <w:left w:w="67" w:type="dxa"/>
              <w:bottom w:w="0" w:type="dxa"/>
              <w:right w:w="67" w:type="dxa"/>
            </w:tcMar>
            <w:vAlign w:val="center"/>
          </w:tcPr>
          <w:p w14:paraId="1BF004AE" w14:textId="77777777" w:rsidR="00B77EA3" w:rsidRPr="0082484A" w:rsidRDefault="00B77EA3" w:rsidP="00B77EA3">
            <w:pPr>
              <w:adjustRightInd w:val="0"/>
              <w:spacing w:beforeLines="10" w:before="24" w:afterLines="10" w:after="24" w:line="256" w:lineRule="auto"/>
              <w:rPr>
                <w:sz w:val="22"/>
                <w:szCs w:val="22"/>
              </w:rPr>
            </w:pPr>
          </w:p>
        </w:tc>
        <w:tc>
          <w:tcPr>
            <w:tcW w:w="1134" w:type="dxa"/>
            <w:shd w:val="clear" w:color="auto" w:fill="FFFFFF"/>
            <w:tcMar>
              <w:top w:w="0" w:type="dxa"/>
              <w:left w:w="67" w:type="dxa"/>
              <w:bottom w:w="0" w:type="dxa"/>
              <w:right w:w="67" w:type="dxa"/>
            </w:tcMar>
            <w:vAlign w:val="center"/>
            <w:hideMark/>
          </w:tcPr>
          <w:p w14:paraId="61F03E48"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-0.0535</w:t>
            </w:r>
          </w:p>
        </w:tc>
        <w:tc>
          <w:tcPr>
            <w:tcW w:w="1134" w:type="dxa"/>
            <w:shd w:val="clear" w:color="auto" w:fill="FFFFFF"/>
            <w:tcMar>
              <w:top w:w="0" w:type="dxa"/>
              <w:left w:w="67" w:type="dxa"/>
              <w:bottom w:w="0" w:type="dxa"/>
              <w:right w:w="67" w:type="dxa"/>
            </w:tcMar>
            <w:vAlign w:val="center"/>
            <w:hideMark/>
          </w:tcPr>
          <w:p w14:paraId="58923D67"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0.0316</w:t>
            </w:r>
          </w:p>
        </w:tc>
        <w:tc>
          <w:tcPr>
            <w:tcW w:w="1134" w:type="dxa"/>
            <w:shd w:val="clear" w:color="auto" w:fill="FFFFFF"/>
            <w:tcMar>
              <w:top w:w="0" w:type="dxa"/>
              <w:left w:w="67" w:type="dxa"/>
              <w:bottom w:w="0" w:type="dxa"/>
              <w:right w:w="67" w:type="dxa"/>
            </w:tcMar>
            <w:vAlign w:val="center"/>
            <w:hideMark/>
          </w:tcPr>
          <w:p w14:paraId="7D4A6BC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-0.1243</w:t>
            </w:r>
          </w:p>
        </w:tc>
        <w:tc>
          <w:tcPr>
            <w:tcW w:w="1134" w:type="dxa"/>
            <w:shd w:val="clear" w:color="auto" w:fill="FFFFFF"/>
            <w:tcMar>
              <w:top w:w="0" w:type="dxa"/>
              <w:left w:w="67" w:type="dxa"/>
              <w:bottom w:w="0" w:type="dxa"/>
              <w:right w:w="67" w:type="dxa"/>
            </w:tcMar>
            <w:vAlign w:val="center"/>
            <w:hideMark/>
          </w:tcPr>
          <w:p w14:paraId="2B16EAC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0.0173</w:t>
            </w:r>
          </w:p>
        </w:tc>
        <w:tc>
          <w:tcPr>
            <w:tcW w:w="1134" w:type="dxa"/>
            <w:shd w:val="clear" w:color="auto" w:fill="FFFFFF"/>
            <w:tcMar>
              <w:top w:w="0" w:type="dxa"/>
              <w:left w:w="67" w:type="dxa"/>
              <w:bottom w:w="0" w:type="dxa"/>
              <w:right w:w="67" w:type="dxa"/>
            </w:tcMar>
            <w:vAlign w:val="center"/>
            <w:hideMark/>
          </w:tcPr>
          <w:p w14:paraId="29396A1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2.86</w:t>
            </w:r>
          </w:p>
        </w:tc>
        <w:tc>
          <w:tcPr>
            <w:tcW w:w="567" w:type="dxa"/>
            <w:shd w:val="clear" w:color="auto" w:fill="FFFFFF"/>
            <w:tcMar>
              <w:top w:w="0" w:type="dxa"/>
              <w:left w:w="67" w:type="dxa"/>
              <w:bottom w:w="0" w:type="dxa"/>
              <w:right w:w="67" w:type="dxa"/>
            </w:tcMar>
            <w:vAlign w:val="center"/>
            <w:hideMark/>
          </w:tcPr>
          <w:p w14:paraId="1AA81574"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3D4BCAD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0.0906</w:t>
            </w:r>
          </w:p>
        </w:tc>
      </w:tr>
      <w:tr w:rsidR="00B77EA3" w:rsidRPr="0082484A" w14:paraId="108E7950"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003F4369"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Pre-intervention achievement for blood pressure control</w:t>
            </w:r>
          </w:p>
        </w:tc>
        <w:tc>
          <w:tcPr>
            <w:tcW w:w="3969" w:type="dxa"/>
            <w:shd w:val="clear" w:color="auto" w:fill="FFFFFF"/>
            <w:tcMar>
              <w:top w:w="0" w:type="dxa"/>
              <w:left w:w="67" w:type="dxa"/>
              <w:bottom w:w="0" w:type="dxa"/>
              <w:right w:w="67" w:type="dxa"/>
            </w:tcMar>
            <w:vAlign w:val="center"/>
          </w:tcPr>
          <w:p w14:paraId="1609D370" w14:textId="77777777" w:rsidR="00B77EA3" w:rsidRPr="0082484A" w:rsidRDefault="00B77EA3" w:rsidP="00B77EA3">
            <w:pPr>
              <w:adjustRightInd w:val="0"/>
              <w:spacing w:beforeLines="10" w:before="24" w:afterLines="10" w:after="24" w:line="256" w:lineRule="auto"/>
              <w:rPr>
                <w:sz w:val="22"/>
                <w:szCs w:val="22"/>
              </w:rPr>
            </w:pPr>
          </w:p>
        </w:tc>
        <w:tc>
          <w:tcPr>
            <w:tcW w:w="1134" w:type="dxa"/>
            <w:shd w:val="clear" w:color="auto" w:fill="FFFFFF"/>
            <w:tcMar>
              <w:top w:w="0" w:type="dxa"/>
              <w:left w:w="67" w:type="dxa"/>
              <w:bottom w:w="0" w:type="dxa"/>
              <w:right w:w="67" w:type="dxa"/>
            </w:tcMar>
            <w:vAlign w:val="center"/>
            <w:hideMark/>
          </w:tcPr>
          <w:p w14:paraId="12011D53"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-0.1293</w:t>
            </w:r>
          </w:p>
        </w:tc>
        <w:tc>
          <w:tcPr>
            <w:tcW w:w="1134" w:type="dxa"/>
            <w:shd w:val="clear" w:color="auto" w:fill="FFFFFF"/>
            <w:tcMar>
              <w:top w:w="0" w:type="dxa"/>
              <w:left w:w="67" w:type="dxa"/>
              <w:bottom w:w="0" w:type="dxa"/>
              <w:right w:w="67" w:type="dxa"/>
            </w:tcMar>
            <w:vAlign w:val="center"/>
            <w:hideMark/>
          </w:tcPr>
          <w:p w14:paraId="4FCEAC62"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0.0452</w:t>
            </w:r>
          </w:p>
        </w:tc>
        <w:tc>
          <w:tcPr>
            <w:tcW w:w="1134" w:type="dxa"/>
            <w:shd w:val="clear" w:color="auto" w:fill="FFFFFF"/>
            <w:tcMar>
              <w:top w:w="0" w:type="dxa"/>
              <w:left w:w="67" w:type="dxa"/>
              <w:bottom w:w="0" w:type="dxa"/>
              <w:right w:w="67" w:type="dxa"/>
            </w:tcMar>
            <w:vAlign w:val="center"/>
            <w:hideMark/>
          </w:tcPr>
          <w:p w14:paraId="46B81695"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-0.2307</w:t>
            </w:r>
          </w:p>
        </w:tc>
        <w:tc>
          <w:tcPr>
            <w:tcW w:w="1134" w:type="dxa"/>
            <w:shd w:val="clear" w:color="auto" w:fill="FFFFFF"/>
            <w:tcMar>
              <w:top w:w="0" w:type="dxa"/>
              <w:left w:w="67" w:type="dxa"/>
              <w:bottom w:w="0" w:type="dxa"/>
              <w:right w:w="67" w:type="dxa"/>
            </w:tcMar>
            <w:vAlign w:val="center"/>
            <w:hideMark/>
          </w:tcPr>
          <w:p w14:paraId="1F471C2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-0.0280</w:t>
            </w:r>
          </w:p>
        </w:tc>
        <w:tc>
          <w:tcPr>
            <w:tcW w:w="1134" w:type="dxa"/>
            <w:shd w:val="clear" w:color="auto" w:fill="FFFFFF"/>
            <w:tcMar>
              <w:top w:w="0" w:type="dxa"/>
              <w:left w:w="67" w:type="dxa"/>
              <w:bottom w:w="0" w:type="dxa"/>
              <w:right w:w="67" w:type="dxa"/>
            </w:tcMar>
            <w:vAlign w:val="center"/>
            <w:hideMark/>
          </w:tcPr>
          <w:p w14:paraId="0610160F"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8.18</w:t>
            </w:r>
          </w:p>
        </w:tc>
        <w:tc>
          <w:tcPr>
            <w:tcW w:w="567" w:type="dxa"/>
            <w:shd w:val="clear" w:color="auto" w:fill="FFFFFF"/>
            <w:tcMar>
              <w:top w:w="0" w:type="dxa"/>
              <w:left w:w="67" w:type="dxa"/>
              <w:bottom w:w="0" w:type="dxa"/>
              <w:right w:w="67" w:type="dxa"/>
            </w:tcMar>
            <w:vAlign w:val="center"/>
            <w:hideMark/>
          </w:tcPr>
          <w:p w14:paraId="322AE3AA"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326CBCA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0.0042</w:t>
            </w:r>
          </w:p>
        </w:tc>
      </w:tr>
      <w:tr w:rsidR="00B77EA3" w:rsidRPr="0082484A" w14:paraId="6AFA5173" w14:textId="77777777" w:rsidTr="00B77EA3">
        <w:trPr>
          <w:cantSplit/>
          <w:jc w:val="center"/>
        </w:trPr>
        <w:tc>
          <w:tcPr>
            <w:tcW w:w="3118" w:type="dxa"/>
            <w:tcBorders>
              <w:top w:val="nil"/>
              <w:left w:val="single" w:sz="4" w:space="0" w:color="auto"/>
              <w:bottom w:val="nil"/>
              <w:right w:val="nil"/>
            </w:tcBorders>
            <w:shd w:val="clear" w:color="auto" w:fill="FFFFFF"/>
            <w:tcMar>
              <w:top w:w="0" w:type="dxa"/>
              <w:left w:w="67" w:type="dxa"/>
              <w:bottom w:w="0" w:type="dxa"/>
              <w:right w:w="67" w:type="dxa"/>
            </w:tcMar>
            <w:vAlign w:val="center"/>
            <w:hideMark/>
          </w:tcPr>
          <w:p w14:paraId="44D0A457"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Overall QOF score</w:t>
            </w:r>
          </w:p>
        </w:tc>
        <w:tc>
          <w:tcPr>
            <w:tcW w:w="3969" w:type="dxa"/>
            <w:shd w:val="clear" w:color="auto" w:fill="FFFFFF"/>
            <w:tcMar>
              <w:top w:w="0" w:type="dxa"/>
              <w:left w:w="67" w:type="dxa"/>
              <w:bottom w:w="0" w:type="dxa"/>
              <w:right w:w="67" w:type="dxa"/>
            </w:tcMar>
            <w:vAlign w:val="center"/>
          </w:tcPr>
          <w:p w14:paraId="133D72E0" w14:textId="77777777" w:rsidR="00B77EA3" w:rsidRPr="0082484A" w:rsidRDefault="00B77EA3" w:rsidP="00B77EA3">
            <w:pPr>
              <w:adjustRightInd w:val="0"/>
              <w:spacing w:beforeLines="10" w:before="24" w:afterLines="10" w:after="24" w:line="256" w:lineRule="auto"/>
              <w:rPr>
                <w:sz w:val="22"/>
                <w:szCs w:val="22"/>
              </w:rPr>
            </w:pPr>
          </w:p>
        </w:tc>
        <w:tc>
          <w:tcPr>
            <w:tcW w:w="1134" w:type="dxa"/>
            <w:shd w:val="clear" w:color="auto" w:fill="FFFFFF"/>
            <w:tcMar>
              <w:top w:w="0" w:type="dxa"/>
              <w:left w:w="67" w:type="dxa"/>
              <w:bottom w:w="0" w:type="dxa"/>
              <w:right w:w="67" w:type="dxa"/>
            </w:tcMar>
            <w:vAlign w:val="center"/>
            <w:hideMark/>
          </w:tcPr>
          <w:p w14:paraId="376CC9FA"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0.0016</w:t>
            </w:r>
          </w:p>
        </w:tc>
        <w:tc>
          <w:tcPr>
            <w:tcW w:w="1134" w:type="dxa"/>
            <w:shd w:val="clear" w:color="auto" w:fill="FFFFFF"/>
            <w:tcMar>
              <w:top w:w="0" w:type="dxa"/>
              <w:left w:w="67" w:type="dxa"/>
              <w:bottom w:w="0" w:type="dxa"/>
              <w:right w:w="67" w:type="dxa"/>
            </w:tcMar>
            <w:vAlign w:val="center"/>
            <w:hideMark/>
          </w:tcPr>
          <w:p w14:paraId="638D440D"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0.0123</w:t>
            </w:r>
          </w:p>
        </w:tc>
        <w:tc>
          <w:tcPr>
            <w:tcW w:w="1134" w:type="dxa"/>
            <w:shd w:val="clear" w:color="auto" w:fill="FFFFFF"/>
            <w:tcMar>
              <w:top w:w="0" w:type="dxa"/>
              <w:left w:w="67" w:type="dxa"/>
              <w:bottom w:w="0" w:type="dxa"/>
              <w:right w:w="67" w:type="dxa"/>
            </w:tcMar>
            <w:vAlign w:val="center"/>
            <w:hideMark/>
          </w:tcPr>
          <w:p w14:paraId="3D788475"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-0.0260</w:t>
            </w:r>
          </w:p>
        </w:tc>
        <w:tc>
          <w:tcPr>
            <w:tcW w:w="1134" w:type="dxa"/>
            <w:shd w:val="clear" w:color="auto" w:fill="FFFFFF"/>
            <w:tcMar>
              <w:top w:w="0" w:type="dxa"/>
              <w:left w:w="67" w:type="dxa"/>
              <w:bottom w:w="0" w:type="dxa"/>
              <w:right w:w="67" w:type="dxa"/>
            </w:tcMar>
            <w:vAlign w:val="center"/>
            <w:hideMark/>
          </w:tcPr>
          <w:p w14:paraId="537E5F42"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0.0291</w:t>
            </w:r>
          </w:p>
        </w:tc>
        <w:tc>
          <w:tcPr>
            <w:tcW w:w="1134" w:type="dxa"/>
            <w:shd w:val="clear" w:color="auto" w:fill="FFFFFF"/>
            <w:tcMar>
              <w:top w:w="0" w:type="dxa"/>
              <w:left w:w="67" w:type="dxa"/>
              <w:bottom w:w="0" w:type="dxa"/>
              <w:right w:w="67" w:type="dxa"/>
            </w:tcMar>
            <w:vAlign w:val="center"/>
            <w:hideMark/>
          </w:tcPr>
          <w:p w14:paraId="3219504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0.02</w:t>
            </w:r>
          </w:p>
        </w:tc>
        <w:tc>
          <w:tcPr>
            <w:tcW w:w="567" w:type="dxa"/>
            <w:shd w:val="clear" w:color="auto" w:fill="FFFFFF"/>
            <w:tcMar>
              <w:top w:w="0" w:type="dxa"/>
              <w:left w:w="67" w:type="dxa"/>
              <w:bottom w:w="0" w:type="dxa"/>
              <w:right w:w="67" w:type="dxa"/>
            </w:tcMar>
            <w:vAlign w:val="center"/>
            <w:hideMark/>
          </w:tcPr>
          <w:p w14:paraId="102888F6"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nil"/>
              <w:right w:val="single" w:sz="4" w:space="0" w:color="auto"/>
            </w:tcBorders>
            <w:shd w:val="clear" w:color="auto" w:fill="FFFFFF"/>
            <w:tcMar>
              <w:top w:w="0" w:type="dxa"/>
              <w:left w:w="67" w:type="dxa"/>
              <w:bottom w:w="0" w:type="dxa"/>
              <w:right w:w="67" w:type="dxa"/>
            </w:tcMar>
            <w:vAlign w:val="center"/>
            <w:hideMark/>
          </w:tcPr>
          <w:p w14:paraId="7E1AF372"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0.8990</w:t>
            </w:r>
          </w:p>
        </w:tc>
      </w:tr>
      <w:tr w:rsidR="00B77EA3" w:rsidRPr="0082484A" w14:paraId="623EF279" w14:textId="77777777" w:rsidTr="00B77EA3">
        <w:trPr>
          <w:cantSplit/>
          <w:jc w:val="center"/>
        </w:trPr>
        <w:tc>
          <w:tcPr>
            <w:tcW w:w="3118" w:type="dxa"/>
            <w:tcBorders>
              <w:top w:val="nil"/>
              <w:left w:val="single" w:sz="4" w:space="0" w:color="auto"/>
              <w:bottom w:val="single" w:sz="4" w:space="0" w:color="auto"/>
              <w:right w:val="nil"/>
            </w:tcBorders>
            <w:shd w:val="clear" w:color="auto" w:fill="FFFFFF"/>
            <w:tcMar>
              <w:top w:w="0" w:type="dxa"/>
              <w:left w:w="67" w:type="dxa"/>
              <w:bottom w:w="0" w:type="dxa"/>
              <w:right w:w="67" w:type="dxa"/>
            </w:tcMar>
            <w:vAlign w:val="center"/>
            <w:hideMark/>
          </w:tcPr>
          <w:p w14:paraId="20139E7E" w14:textId="77777777" w:rsidR="00B77EA3" w:rsidRPr="0082484A" w:rsidRDefault="00B77EA3" w:rsidP="00B77EA3">
            <w:pPr>
              <w:adjustRightInd w:val="0"/>
              <w:spacing w:beforeLines="10" w:before="24" w:afterLines="10" w:after="24" w:line="256" w:lineRule="auto"/>
              <w:rPr>
                <w:sz w:val="22"/>
                <w:szCs w:val="22"/>
              </w:rPr>
            </w:pPr>
            <w:r w:rsidRPr="0082484A">
              <w:rPr>
                <w:sz w:val="22"/>
                <w:szCs w:val="22"/>
              </w:rPr>
              <w:t>Comorbidity</w:t>
            </w:r>
          </w:p>
        </w:tc>
        <w:tc>
          <w:tcPr>
            <w:tcW w:w="3969" w:type="dxa"/>
            <w:tcBorders>
              <w:top w:val="nil"/>
              <w:left w:val="nil"/>
              <w:bottom w:val="single" w:sz="4" w:space="0" w:color="auto"/>
              <w:right w:val="nil"/>
            </w:tcBorders>
            <w:shd w:val="clear" w:color="auto" w:fill="FFFFFF"/>
            <w:tcMar>
              <w:top w:w="0" w:type="dxa"/>
              <w:left w:w="67" w:type="dxa"/>
              <w:bottom w:w="0" w:type="dxa"/>
              <w:right w:w="67" w:type="dxa"/>
            </w:tcMar>
            <w:vAlign w:val="center"/>
          </w:tcPr>
          <w:p w14:paraId="2BB4090A" w14:textId="77777777" w:rsidR="00B77EA3" w:rsidRPr="0082484A" w:rsidRDefault="00B77EA3" w:rsidP="00B77EA3">
            <w:pPr>
              <w:adjustRightInd w:val="0"/>
              <w:spacing w:beforeLines="10" w:before="24" w:afterLines="10" w:after="24" w:line="256" w:lineRule="auto"/>
              <w:rPr>
                <w:sz w:val="22"/>
                <w:szCs w:val="22"/>
              </w:rPr>
            </w:pP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34CB8020"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0.0873</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7DFF2E01"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0.2776</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4194C92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-0.5350</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03F5F9D9"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0.7096</w:t>
            </w:r>
          </w:p>
        </w:tc>
        <w:tc>
          <w:tcPr>
            <w:tcW w:w="1134"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0E7EA60B"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0.10</w:t>
            </w:r>
          </w:p>
        </w:tc>
        <w:tc>
          <w:tcPr>
            <w:tcW w:w="567" w:type="dxa"/>
            <w:tcBorders>
              <w:top w:val="nil"/>
              <w:left w:val="nil"/>
              <w:bottom w:val="single" w:sz="4" w:space="0" w:color="auto"/>
              <w:right w:val="nil"/>
            </w:tcBorders>
            <w:shd w:val="clear" w:color="auto" w:fill="FFFFFF"/>
            <w:tcMar>
              <w:top w:w="0" w:type="dxa"/>
              <w:left w:w="67" w:type="dxa"/>
              <w:bottom w:w="0" w:type="dxa"/>
              <w:right w:w="67" w:type="dxa"/>
            </w:tcMar>
            <w:vAlign w:val="center"/>
            <w:hideMark/>
          </w:tcPr>
          <w:p w14:paraId="2BB4ADEB"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1</w:t>
            </w:r>
          </w:p>
        </w:tc>
        <w:tc>
          <w:tcPr>
            <w:tcW w:w="1134"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center"/>
            <w:hideMark/>
          </w:tcPr>
          <w:p w14:paraId="4D80D382" w14:textId="77777777" w:rsidR="00B77EA3" w:rsidRPr="0082484A" w:rsidRDefault="00B77EA3" w:rsidP="00B77EA3">
            <w:pPr>
              <w:adjustRightInd w:val="0"/>
              <w:spacing w:beforeLines="10" w:before="24" w:afterLines="10" w:after="24" w:line="256" w:lineRule="auto"/>
              <w:jc w:val="center"/>
              <w:rPr>
                <w:sz w:val="22"/>
                <w:szCs w:val="22"/>
              </w:rPr>
            </w:pPr>
            <w:r w:rsidRPr="0082484A">
              <w:rPr>
                <w:sz w:val="22"/>
                <w:szCs w:val="22"/>
              </w:rPr>
              <w:t>0.7531</w:t>
            </w:r>
          </w:p>
        </w:tc>
      </w:tr>
    </w:tbl>
    <w:p w14:paraId="23E8FA67" w14:textId="77777777" w:rsidR="00B77EA3" w:rsidRPr="0082484A" w:rsidRDefault="00B77EA3" w:rsidP="00B77EA3">
      <w:pPr>
        <w:spacing w:before="0" w:after="200"/>
        <w:rPr>
          <w:bCs/>
          <w:sz w:val="22"/>
          <w:szCs w:val="22"/>
        </w:rPr>
      </w:pPr>
      <w:bookmarkStart w:id="209" w:name="_Ref502918071"/>
      <w:r w:rsidRPr="0082484A">
        <w:rPr>
          <w:sz w:val="22"/>
          <w:szCs w:val="22"/>
        </w:rPr>
        <w:br w:type="page"/>
      </w:r>
    </w:p>
    <w:p w14:paraId="3BDB1138" w14:textId="4E953DD3" w:rsidR="00B77EA3" w:rsidRPr="0082484A" w:rsidRDefault="00B77EA3" w:rsidP="00B77EA3">
      <w:pPr>
        <w:spacing w:before="0" w:line="240" w:lineRule="auto"/>
        <w:rPr>
          <w:bCs/>
          <w:sz w:val="22"/>
          <w:szCs w:val="22"/>
        </w:rPr>
      </w:pPr>
      <w:bookmarkStart w:id="210" w:name="_Ref8647381"/>
      <w:bookmarkStart w:id="211" w:name="_Toc8728132"/>
      <w:bookmarkStart w:id="212" w:name="_Toc19526787"/>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58</w:t>
      </w:r>
      <w:r w:rsidRPr="0082484A">
        <w:rPr>
          <w:bCs/>
          <w:noProof/>
          <w:sz w:val="22"/>
          <w:szCs w:val="22"/>
        </w:rPr>
        <w:fldChar w:fldCharType="end"/>
      </w:r>
      <w:bookmarkEnd w:id="209"/>
      <w:bookmarkEnd w:id="210"/>
      <w:r w:rsidRPr="0082484A">
        <w:rPr>
          <w:bCs/>
          <w:sz w:val="22"/>
          <w:szCs w:val="22"/>
        </w:rPr>
        <w:t>: Secondary outcome for Trial 1: Summary of practice level adherence to QOF indicators related to the diabetes control indicators (WP4a)</w:t>
      </w:r>
      <w:bookmarkEnd w:id="211"/>
      <w:bookmarkEnd w:id="212"/>
    </w:p>
    <w:p w14:paraId="5E3055FA" w14:textId="77777777" w:rsidR="00B77EA3" w:rsidRPr="0082484A" w:rsidRDefault="00B77EA3" w:rsidP="00B77EA3">
      <w:pPr>
        <w:spacing w:before="0" w:line="240" w:lineRule="auto"/>
        <w:contextualSpacing/>
        <w:rPr>
          <w:bCs/>
          <w:sz w:val="22"/>
          <w:szCs w:val="22"/>
        </w:rPr>
      </w:pPr>
    </w:p>
    <w:tbl>
      <w:tblPr>
        <w:tblStyle w:val="TableGrid"/>
        <w:tblW w:w="0" w:type="auto"/>
        <w:tblLook w:val="04A0" w:firstRow="1" w:lastRow="0" w:firstColumn="1" w:lastColumn="0" w:noHBand="0" w:noVBand="1"/>
      </w:tblPr>
      <w:tblGrid>
        <w:gridCol w:w="8075"/>
        <w:gridCol w:w="2835"/>
        <w:gridCol w:w="3038"/>
      </w:tblGrid>
      <w:tr w:rsidR="00B77EA3" w:rsidRPr="0082484A" w14:paraId="3B5890C7" w14:textId="77777777" w:rsidTr="0082484A">
        <w:tc>
          <w:tcPr>
            <w:tcW w:w="8075" w:type="dxa"/>
          </w:tcPr>
          <w:p w14:paraId="7F5F4057" w14:textId="77777777" w:rsidR="00B77EA3" w:rsidRPr="0082484A" w:rsidRDefault="00B77EA3" w:rsidP="00B77EA3">
            <w:pPr>
              <w:spacing w:before="0"/>
              <w:rPr>
                <w:sz w:val="22"/>
                <w:szCs w:val="22"/>
              </w:rPr>
            </w:pPr>
            <w:r w:rsidRPr="0082484A">
              <w:rPr>
                <w:sz w:val="22"/>
                <w:szCs w:val="22"/>
              </w:rPr>
              <w:t>QOF indicator</w:t>
            </w:r>
          </w:p>
          <w:p w14:paraId="043458B9" w14:textId="77777777" w:rsidR="00B77EA3" w:rsidRPr="0082484A" w:rsidRDefault="00B77EA3" w:rsidP="00B77EA3">
            <w:pPr>
              <w:spacing w:before="0"/>
              <w:rPr>
                <w:sz w:val="22"/>
                <w:szCs w:val="22"/>
              </w:rPr>
            </w:pPr>
          </w:p>
        </w:tc>
        <w:tc>
          <w:tcPr>
            <w:tcW w:w="2835" w:type="dxa"/>
          </w:tcPr>
          <w:p w14:paraId="673C6248" w14:textId="77777777" w:rsidR="00B77EA3" w:rsidRPr="0082484A" w:rsidRDefault="00B77EA3" w:rsidP="00B77EA3">
            <w:pPr>
              <w:spacing w:before="0"/>
              <w:jc w:val="center"/>
              <w:rPr>
                <w:sz w:val="22"/>
                <w:szCs w:val="22"/>
              </w:rPr>
            </w:pPr>
            <w:r w:rsidRPr="0082484A">
              <w:rPr>
                <w:sz w:val="22"/>
                <w:szCs w:val="22"/>
              </w:rPr>
              <w:t>Diabetes control package (n=40)</w:t>
            </w:r>
          </w:p>
        </w:tc>
        <w:tc>
          <w:tcPr>
            <w:tcW w:w="3038" w:type="dxa"/>
          </w:tcPr>
          <w:p w14:paraId="12936363" w14:textId="77777777" w:rsidR="00B77EA3" w:rsidRPr="0082484A" w:rsidRDefault="00B77EA3" w:rsidP="00B77EA3">
            <w:pPr>
              <w:spacing w:before="0"/>
              <w:jc w:val="center"/>
              <w:rPr>
                <w:sz w:val="22"/>
                <w:szCs w:val="22"/>
              </w:rPr>
            </w:pPr>
            <w:r w:rsidRPr="0082484A">
              <w:rPr>
                <w:sz w:val="22"/>
                <w:szCs w:val="22"/>
              </w:rPr>
              <w:t>Control (risky prescribing package) (n=40)</w:t>
            </w:r>
          </w:p>
        </w:tc>
      </w:tr>
      <w:tr w:rsidR="00B77EA3" w:rsidRPr="0082484A" w14:paraId="32DA0865" w14:textId="77777777" w:rsidTr="0082484A">
        <w:tc>
          <w:tcPr>
            <w:tcW w:w="8075" w:type="dxa"/>
          </w:tcPr>
          <w:p w14:paraId="4FB6E487" w14:textId="77777777" w:rsidR="00B77EA3" w:rsidRPr="0082484A" w:rsidRDefault="00B77EA3" w:rsidP="00B77EA3">
            <w:pPr>
              <w:spacing w:before="0"/>
              <w:rPr>
                <w:sz w:val="22"/>
                <w:szCs w:val="22"/>
              </w:rPr>
            </w:pPr>
            <w:r w:rsidRPr="0082484A">
              <w:rPr>
                <w:sz w:val="22"/>
                <w:szCs w:val="22"/>
              </w:rPr>
              <w:t>The percentage of patients with diabetes, on the register, in whom the last blood pressure reading (measured in the preceding 12 months) is 150/90 mmHg or less (DM002)</w:t>
            </w:r>
          </w:p>
        </w:tc>
        <w:tc>
          <w:tcPr>
            <w:tcW w:w="2835" w:type="dxa"/>
          </w:tcPr>
          <w:p w14:paraId="3669FEC3" w14:textId="77777777" w:rsidR="00B77EA3" w:rsidRPr="0082484A" w:rsidRDefault="00B77EA3" w:rsidP="00B77EA3">
            <w:pPr>
              <w:spacing w:before="0"/>
              <w:rPr>
                <w:sz w:val="22"/>
                <w:szCs w:val="22"/>
              </w:rPr>
            </w:pPr>
          </w:p>
        </w:tc>
        <w:tc>
          <w:tcPr>
            <w:tcW w:w="3038" w:type="dxa"/>
          </w:tcPr>
          <w:p w14:paraId="1B5F5203" w14:textId="77777777" w:rsidR="00B77EA3" w:rsidRPr="0082484A" w:rsidRDefault="00B77EA3" w:rsidP="00B77EA3">
            <w:pPr>
              <w:spacing w:before="0"/>
              <w:rPr>
                <w:sz w:val="22"/>
                <w:szCs w:val="22"/>
              </w:rPr>
            </w:pPr>
          </w:p>
        </w:tc>
      </w:tr>
      <w:tr w:rsidR="00B77EA3" w:rsidRPr="0082484A" w14:paraId="027A735E" w14:textId="77777777" w:rsidTr="0082484A">
        <w:tc>
          <w:tcPr>
            <w:tcW w:w="8075" w:type="dxa"/>
          </w:tcPr>
          <w:p w14:paraId="7180D338"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763404F3" w14:textId="77777777" w:rsidR="00B77EA3" w:rsidRPr="0082484A" w:rsidRDefault="00B77EA3" w:rsidP="00B77EA3">
            <w:pPr>
              <w:spacing w:before="0"/>
              <w:contextualSpacing/>
              <w:jc w:val="center"/>
              <w:rPr>
                <w:bCs/>
                <w:sz w:val="22"/>
                <w:szCs w:val="22"/>
              </w:rPr>
            </w:pPr>
            <w:r w:rsidRPr="0082484A">
              <w:rPr>
                <w:bCs/>
                <w:sz w:val="22"/>
                <w:szCs w:val="22"/>
              </w:rPr>
              <w:t>91.54% (5.05%)</w:t>
            </w:r>
          </w:p>
        </w:tc>
        <w:tc>
          <w:tcPr>
            <w:tcW w:w="3038" w:type="dxa"/>
            <w:vAlign w:val="center"/>
          </w:tcPr>
          <w:p w14:paraId="44AED6FD" w14:textId="77777777" w:rsidR="00B77EA3" w:rsidRPr="0082484A" w:rsidRDefault="00B77EA3" w:rsidP="00B77EA3">
            <w:pPr>
              <w:spacing w:before="0"/>
              <w:contextualSpacing/>
              <w:jc w:val="center"/>
              <w:rPr>
                <w:bCs/>
                <w:sz w:val="22"/>
                <w:szCs w:val="22"/>
              </w:rPr>
            </w:pPr>
            <w:r w:rsidRPr="0082484A">
              <w:rPr>
                <w:bCs/>
                <w:sz w:val="22"/>
                <w:szCs w:val="22"/>
              </w:rPr>
              <w:t>91.33% (4.71%)</w:t>
            </w:r>
          </w:p>
        </w:tc>
      </w:tr>
      <w:tr w:rsidR="00B77EA3" w:rsidRPr="0082484A" w14:paraId="135D6DE7" w14:textId="77777777" w:rsidTr="0082484A">
        <w:tc>
          <w:tcPr>
            <w:tcW w:w="8075" w:type="dxa"/>
          </w:tcPr>
          <w:p w14:paraId="2EA88D41"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133FC19F" w14:textId="77777777" w:rsidR="00B77EA3" w:rsidRPr="0082484A" w:rsidRDefault="00B77EA3" w:rsidP="00B77EA3">
            <w:pPr>
              <w:spacing w:before="0"/>
              <w:contextualSpacing/>
              <w:jc w:val="center"/>
              <w:rPr>
                <w:bCs/>
                <w:sz w:val="22"/>
                <w:szCs w:val="22"/>
              </w:rPr>
            </w:pPr>
            <w:r w:rsidRPr="0082484A">
              <w:rPr>
                <w:bCs/>
                <w:sz w:val="22"/>
                <w:szCs w:val="22"/>
              </w:rPr>
              <w:t>93.18% (77.81%, 98.00%)</w:t>
            </w:r>
          </w:p>
        </w:tc>
        <w:tc>
          <w:tcPr>
            <w:tcW w:w="3038" w:type="dxa"/>
            <w:vAlign w:val="center"/>
          </w:tcPr>
          <w:p w14:paraId="0FF3B46D" w14:textId="77777777" w:rsidR="00B77EA3" w:rsidRPr="0082484A" w:rsidRDefault="00B77EA3" w:rsidP="00B77EA3">
            <w:pPr>
              <w:spacing w:before="0"/>
              <w:contextualSpacing/>
              <w:jc w:val="center"/>
              <w:rPr>
                <w:bCs/>
                <w:sz w:val="22"/>
                <w:szCs w:val="22"/>
              </w:rPr>
            </w:pPr>
            <w:r w:rsidRPr="0082484A">
              <w:rPr>
                <w:bCs/>
                <w:sz w:val="22"/>
                <w:szCs w:val="22"/>
              </w:rPr>
              <w:t>92.88% (79.06%, 100.00%)</w:t>
            </w:r>
          </w:p>
        </w:tc>
      </w:tr>
      <w:tr w:rsidR="00B77EA3" w:rsidRPr="0082484A" w14:paraId="43465844" w14:textId="77777777" w:rsidTr="0082484A">
        <w:tc>
          <w:tcPr>
            <w:tcW w:w="8075" w:type="dxa"/>
          </w:tcPr>
          <w:p w14:paraId="024DE228" w14:textId="77777777" w:rsidR="00B77EA3" w:rsidRPr="0082484A" w:rsidRDefault="00B77EA3" w:rsidP="00B77EA3">
            <w:pPr>
              <w:spacing w:before="0"/>
              <w:rPr>
                <w:sz w:val="22"/>
                <w:szCs w:val="22"/>
              </w:rPr>
            </w:pPr>
          </w:p>
        </w:tc>
        <w:tc>
          <w:tcPr>
            <w:tcW w:w="2835" w:type="dxa"/>
          </w:tcPr>
          <w:p w14:paraId="00E9C498" w14:textId="77777777" w:rsidR="00B77EA3" w:rsidRPr="0082484A" w:rsidRDefault="00B77EA3" w:rsidP="00B77EA3">
            <w:pPr>
              <w:spacing w:before="0"/>
              <w:rPr>
                <w:sz w:val="22"/>
                <w:szCs w:val="22"/>
              </w:rPr>
            </w:pPr>
          </w:p>
        </w:tc>
        <w:tc>
          <w:tcPr>
            <w:tcW w:w="3038" w:type="dxa"/>
          </w:tcPr>
          <w:p w14:paraId="2327A735" w14:textId="77777777" w:rsidR="00B77EA3" w:rsidRPr="0082484A" w:rsidRDefault="00B77EA3" w:rsidP="00B77EA3">
            <w:pPr>
              <w:spacing w:before="0"/>
              <w:rPr>
                <w:sz w:val="22"/>
                <w:szCs w:val="22"/>
              </w:rPr>
            </w:pPr>
          </w:p>
        </w:tc>
      </w:tr>
      <w:tr w:rsidR="00B77EA3" w:rsidRPr="0082484A" w14:paraId="3B2E0C7F" w14:textId="77777777" w:rsidTr="0082484A">
        <w:tc>
          <w:tcPr>
            <w:tcW w:w="8075" w:type="dxa"/>
          </w:tcPr>
          <w:p w14:paraId="7CB5025A" w14:textId="77777777" w:rsidR="00B77EA3" w:rsidRPr="0082484A" w:rsidRDefault="00B77EA3" w:rsidP="00B77EA3">
            <w:pPr>
              <w:spacing w:before="0"/>
              <w:rPr>
                <w:sz w:val="22"/>
                <w:szCs w:val="22"/>
              </w:rPr>
            </w:pPr>
            <w:r w:rsidRPr="0082484A">
              <w:rPr>
                <w:sz w:val="22"/>
                <w:szCs w:val="22"/>
              </w:rPr>
              <w:t>The percentage of patients with diabetes, on the register, in whom the last blood pressure reading (measured in the preceding 12 months) is 140/80 mmHg or less (DM003)</w:t>
            </w:r>
          </w:p>
        </w:tc>
        <w:tc>
          <w:tcPr>
            <w:tcW w:w="2835" w:type="dxa"/>
          </w:tcPr>
          <w:p w14:paraId="47283087" w14:textId="77777777" w:rsidR="00B77EA3" w:rsidRPr="0082484A" w:rsidRDefault="00B77EA3" w:rsidP="00B77EA3">
            <w:pPr>
              <w:spacing w:before="0"/>
              <w:rPr>
                <w:sz w:val="22"/>
                <w:szCs w:val="22"/>
              </w:rPr>
            </w:pPr>
          </w:p>
        </w:tc>
        <w:tc>
          <w:tcPr>
            <w:tcW w:w="3038" w:type="dxa"/>
          </w:tcPr>
          <w:p w14:paraId="6BDA925E" w14:textId="77777777" w:rsidR="00B77EA3" w:rsidRPr="0082484A" w:rsidRDefault="00B77EA3" w:rsidP="00B77EA3">
            <w:pPr>
              <w:spacing w:before="0"/>
              <w:rPr>
                <w:sz w:val="22"/>
                <w:szCs w:val="22"/>
              </w:rPr>
            </w:pPr>
          </w:p>
        </w:tc>
      </w:tr>
      <w:tr w:rsidR="00B77EA3" w:rsidRPr="0082484A" w14:paraId="52605D89" w14:textId="77777777" w:rsidTr="0082484A">
        <w:tc>
          <w:tcPr>
            <w:tcW w:w="8075" w:type="dxa"/>
          </w:tcPr>
          <w:p w14:paraId="70A230C9"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19368842" w14:textId="77777777" w:rsidR="00B77EA3" w:rsidRPr="0082484A" w:rsidRDefault="00B77EA3" w:rsidP="00B77EA3">
            <w:pPr>
              <w:spacing w:before="0"/>
              <w:contextualSpacing/>
              <w:jc w:val="center"/>
              <w:rPr>
                <w:bCs/>
                <w:sz w:val="22"/>
                <w:szCs w:val="22"/>
              </w:rPr>
            </w:pPr>
            <w:r w:rsidRPr="0082484A">
              <w:rPr>
                <w:bCs/>
                <w:sz w:val="22"/>
                <w:szCs w:val="22"/>
              </w:rPr>
              <w:t>77.25% (11.02%)</w:t>
            </w:r>
          </w:p>
        </w:tc>
        <w:tc>
          <w:tcPr>
            <w:tcW w:w="3038" w:type="dxa"/>
            <w:vAlign w:val="center"/>
          </w:tcPr>
          <w:p w14:paraId="5C15FB8E" w14:textId="77777777" w:rsidR="00B77EA3" w:rsidRPr="0082484A" w:rsidRDefault="00B77EA3" w:rsidP="00B77EA3">
            <w:pPr>
              <w:spacing w:before="0"/>
              <w:contextualSpacing/>
              <w:jc w:val="center"/>
              <w:rPr>
                <w:bCs/>
                <w:sz w:val="22"/>
                <w:szCs w:val="22"/>
              </w:rPr>
            </w:pPr>
            <w:r w:rsidRPr="0082484A">
              <w:rPr>
                <w:bCs/>
                <w:sz w:val="22"/>
                <w:szCs w:val="22"/>
              </w:rPr>
              <w:t>76.73% (9.63%)</w:t>
            </w:r>
          </w:p>
        </w:tc>
      </w:tr>
      <w:tr w:rsidR="00B77EA3" w:rsidRPr="0082484A" w14:paraId="25650C43" w14:textId="77777777" w:rsidTr="0082484A">
        <w:tc>
          <w:tcPr>
            <w:tcW w:w="8075" w:type="dxa"/>
          </w:tcPr>
          <w:p w14:paraId="55F140A3"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23498E53" w14:textId="77777777" w:rsidR="00B77EA3" w:rsidRPr="0082484A" w:rsidRDefault="00B77EA3" w:rsidP="00B77EA3">
            <w:pPr>
              <w:spacing w:before="0"/>
              <w:contextualSpacing/>
              <w:jc w:val="center"/>
              <w:rPr>
                <w:bCs/>
                <w:sz w:val="22"/>
                <w:szCs w:val="22"/>
              </w:rPr>
            </w:pPr>
            <w:r w:rsidRPr="0082484A">
              <w:rPr>
                <w:bCs/>
                <w:sz w:val="22"/>
                <w:szCs w:val="22"/>
              </w:rPr>
              <w:t>79.73% (33.33%, 92.00%)</w:t>
            </w:r>
          </w:p>
        </w:tc>
        <w:tc>
          <w:tcPr>
            <w:tcW w:w="3038" w:type="dxa"/>
            <w:vAlign w:val="center"/>
          </w:tcPr>
          <w:p w14:paraId="57E5C936" w14:textId="77777777" w:rsidR="00B77EA3" w:rsidRPr="0082484A" w:rsidRDefault="00B77EA3" w:rsidP="00B77EA3">
            <w:pPr>
              <w:spacing w:before="0"/>
              <w:contextualSpacing/>
              <w:jc w:val="center"/>
              <w:rPr>
                <w:bCs/>
                <w:sz w:val="22"/>
                <w:szCs w:val="22"/>
              </w:rPr>
            </w:pPr>
            <w:r w:rsidRPr="0082484A">
              <w:rPr>
                <w:bCs/>
                <w:sz w:val="22"/>
                <w:szCs w:val="22"/>
              </w:rPr>
              <w:t>75.73% (54.39%, 98.67%)</w:t>
            </w:r>
          </w:p>
        </w:tc>
      </w:tr>
      <w:tr w:rsidR="00B77EA3" w:rsidRPr="0082484A" w14:paraId="50DF6798" w14:textId="77777777" w:rsidTr="0082484A">
        <w:tc>
          <w:tcPr>
            <w:tcW w:w="8075" w:type="dxa"/>
          </w:tcPr>
          <w:p w14:paraId="3094328B" w14:textId="77777777" w:rsidR="00B77EA3" w:rsidRPr="0082484A" w:rsidRDefault="00B77EA3" w:rsidP="00B77EA3">
            <w:pPr>
              <w:spacing w:before="0"/>
              <w:rPr>
                <w:sz w:val="22"/>
                <w:szCs w:val="22"/>
              </w:rPr>
            </w:pPr>
          </w:p>
        </w:tc>
        <w:tc>
          <w:tcPr>
            <w:tcW w:w="2835" w:type="dxa"/>
            <w:vAlign w:val="center"/>
          </w:tcPr>
          <w:p w14:paraId="4063CDEC" w14:textId="77777777" w:rsidR="00B77EA3" w:rsidRPr="0082484A" w:rsidRDefault="00B77EA3" w:rsidP="00B77EA3">
            <w:pPr>
              <w:spacing w:before="0"/>
              <w:contextualSpacing/>
              <w:jc w:val="center"/>
              <w:rPr>
                <w:bCs/>
                <w:sz w:val="22"/>
                <w:szCs w:val="22"/>
              </w:rPr>
            </w:pPr>
          </w:p>
        </w:tc>
        <w:tc>
          <w:tcPr>
            <w:tcW w:w="3038" w:type="dxa"/>
            <w:vAlign w:val="center"/>
          </w:tcPr>
          <w:p w14:paraId="4FDF9EE4" w14:textId="77777777" w:rsidR="00B77EA3" w:rsidRPr="0082484A" w:rsidRDefault="00B77EA3" w:rsidP="00B77EA3">
            <w:pPr>
              <w:spacing w:before="0"/>
              <w:contextualSpacing/>
              <w:jc w:val="center"/>
              <w:rPr>
                <w:bCs/>
                <w:sz w:val="22"/>
                <w:szCs w:val="22"/>
              </w:rPr>
            </w:pPr>
          </w:p>
        </w:tc>
      </w:tr>
      <w:tr w:rsidR="00B77EA3" w:rsidRPr="0082484A" w14:paraId="2DC2B32D" w14:textId="77777777" w:rsidTr="0082484A">
        <w:tc>
          <w:tcPr>
            <w:tcW w:w="8075" w:type="dxa"/>
          </w:tcPr>
          <w:p w14:paraId="25961919" w14:textId="77777777" w:rsidR="00B77EA3" w:rsidRPr="0082484A" w:rsidRDefault="00B77EA3" w:rsidP="00B77EA3">
            <w:pPr>
              <w:spacing w:before="0"/>
              <w:rPr>
                <w:sz w:val="22"/>
                <w:szCs w:val="22"/>
              </w:rPr>
            </w:pPr>
            <w:r w:rsidRPr="0082484A">
              <w:rPr>
                <w:sz w:val="22"/>
                <w:szCs w:val="22"/>
              </w:rPr>
              <w:t>The percentage of patients with diabetes, on the register, whose last measured total serum cholesterol (measured in the preceding 12 months) is 5 mmol/mol or less (DM004)</w:t>
            </w:r>
          </w:p>
        </w:tc>
        <w:tc>
          <w:tcPr>
            <w:tcW w:w="2835" w:type="dxa"/>
            <w:vAlign w:val="center"/>
          </w:tcPr>
          <w:p w14:paraId="0A4D969F" w14:textId="77777777" w:rsidR="00B77EA3" w:rsidRPr="0082484A" w:rsidRDefault="00B77EA3" w:rsidP="00B77EA3">
            <w:pPr>
              <w:spacing w:before="0"/>
              <w:contextualSpacing/>
              <w:jc w:val="center"/>
              <w:rPr>
                <w:bCs/>
                <w:sz w:val="22"/>
                <w:szCs w:val="22"/>
              </w:rPr>
            </w:pPr>
          </w:p>
        </w:tc>
        <w:tc>
          <w:tcPr>
            <w:tcW w:w="3038" w:type="dxa"/>
            <w:vAlign w:val="center"/>
          </w:tcPr>
          <w:p w14:paraId="5D9810A0" w14:textId="77777777" w:rsidR="00B77EA3" w:rsidRPr="0082484A" w:rsidRDefault="00B77EA3" w:rsidP="00B77EA3">
            <w:pPr>
              <w:spacing w:before="0"/>
              <w:contextualSpacing/>
              <w:jc w:val="center"/>
              <w:rPr>
                <w:bCs/>
                <w:sz w:val="22"/>
                <w:szCs w:val="22"/>
              </w:rPr>
            </w:pPr>
          </w:p>
        </w:tc>
      </w:tr>
      <w:tr w:rsidR="00B77EA3" w:rsidRPr="0082484A" w14:paraId="301F5442" w14:textId="77777777" w:rsidTr="0082484A">
        <w:tc>
          <w:tcPr>
            <w:tcW w:w="8075" w:type="dxa"/>
          </w:tcPr>
          <w:p w14:paraId="21609227"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10D39C9E" w14:textId="77777777" w:rsidR="00B77EA3" w:rsidRPr="0082484A" w:rsidRDefault="00B77EA3" w:rsidP="00B77EA3">
            <w:pPr>
              <w:spacing w:before="0"/>
              <w:contextualSpacing/>
              <w:jc w:val="center"/>
              <w:rPr>
                <w:bCs/>
                <w:sz w:val="22"/>
                <w:szCs w:val="22"/>
              </w:rPr>
            </w:pPr>
            <w:r w:rsidRPr="0082484A">
              <w:rPr>
                <w:bCs/>
                <w:sz w:val="22"/>
                <w:szCs w:val="22"/>
              </w:rPr>
              <w:t>79.54% (6.74%)</w:t>
            </w:r>
          </w:p>
        </w:tc>
        <w:tc>
          <w:tcPr>
            <w:tcW w:w="3038" w:type="dxa"/>
            <w:vAlign w:val="center"/>
          </w:tcPr>
          <w:p w14:paraId="212C0097" w14:textId="77777777" w:rsidR="00B77EA3" w:rsidRPr="0082484A" w:rsidRDefault="00B77EA3" w:rsidP="00B77EA3">
            <w:pPr>
              <w:spacing w:before="0"/>
              <w:contextualSpacing/>
              <w:jc w:val="center"/>
              <w:rPr>
                <w:bCs/>
                <w:sz w:val="22"/>
                <w:szCs w:val="22"/>
              </w:rPr>
            </w:pPr>
            <w:r w:rsidRPr="0082484A">
              <w:rPr>
                <w:bCs/>
                <w:sz w:val="22"/>
                <w:szCs w:val="22"/>
              </w:rPr>
              <w:t>79.30% (7.98%)</w:t>
            </w:r>
          </w:p>
        </w:tc>
      </w:tr>
      <w:tr w:rsidR="00B77EA3" w:rsidRPr="0082484A" w14:paraId="2B5583BA" w14:textId="77777777" w:rsidTr="0082484A">
        <w:tc>
          <w:tcPr>
            <w:tcW w:w="8075" w:type="dxa"/>
          </w:tcPr>
          <w:p w14:paraId="3CF032AE"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65D51AB8" w14:textId="77777777" w:rsidR="00B77EA3" w:rsidRPr="0082484A" w:rsidRDefault="00B77EA3" w:rsidP="00B77EA3">
            <w:pPr>
              <w:spacing w:before="0"/>
              <w:contextualSpacing/>
              <w:jc w:val="center"/>
              <w:rPr>
                <w:bCs/>
                <w:sz w:val="22"/>
                <w:szCs w:val="22"/>
              </w:rPr>
            </w:pPr>
            <w:r w:rsidRPr="0082484A">
              <w:rPr>
                <w:bCs/>
                <w:sz w:val="22"/>
                <w:szCs w:val="22"/>
              </w:rPr>
              <w:t>80.83% (60.94%, 93.60%)</w:t>
            </w:r>
          </w:p>
        </w:tc>
        <w:tc>
          <w:tcPr>
            <w:tcW w:w="3038" w:type="dxa"/>
            <w:vAlign w:val="center"/>
          </w:tcPr>
          <w:p w14:paraId="3B6EF90F" w14:textId="77777777" w:rsidR="00B77EA3" w:rsidRPr="0082484A" w:rsidRDefault="00B77EA3" w:rsidP="00B77EA3">
            <w:pPr>
              <w:spacing w:before="0"/>
              <w:contextualSpacing/>
              <w:jc w:val="center"/>
              <w:rPr>
                <w:bCs/>
                <w:sz w:val="22"/>
                <w:szCs w:val="22"/>
              </w:rPr>
            </w:pPr>
            <w:r w:rsidRPr="0082484A">
              <w:rPr>
                <w:bCs/>
                <w:sz w:val="22"/>
                <w:szCs w:val="22"/>
              </w:rPr>
              <w:t>80.00% (56.93%, 96.09%)</w:t>
            </w:r>
          </w:p>
        </w:tc>
      </w:tr>
      <w:tr w:rsidR="00B77EA3" w:rsidRPr="0082484A" w14:paraId="2516A016" w14:textId="77777777" w:rsidTr="0082484A">
        <w:tc>
          <w:tcPr>
            <w:tcW w:w="8075" w:type="dxa"/>
          </w:tcPr>
          <w:p w14:paraId="0AAB30CB" w14:textId="77777777" w:rsidR="00B77EA3" w:rsidRPr="0082484A" w:rsidRDefault="00B77EA3" w:rsidP="00B77EA3">
            <w:pPr>
              <w:spacing w:before="0"/>
              <w:rPr>
                <w:sz w:val="22"/>
                <w:szCs w:val="22"/>
              </w:rPr>
            </w:pPr>
          </w:p>
        </w:tc>
        <w:tc>
          <w:tcPr>
            <w:tcW w:w="2835" w:type="dxa"/>
            <w:vAlign w:val="center"/>
          </w:tcPr>
          <w:p w14:paraId="647B9464" w14:textId="77777777" w:rsidR="00B77EA3" w:rsidRPr="0082484A" w:rsidRDefault="00B77EA3" w:rsidP="00B77EA3">
            <w:pPr>
              <w:spacing w:before="0"/>
              <w:contextualSpacing/>
              <w:jc w:val="center"/>
              <w:rPr>
                <w:bCs/>
                <w:sz w:val="22"/>
                <w:szCs w:val="22"/>
              </w:rPr>
            </w:pPr>
          </w:p>
        </w:tc>
        <w:tc>
          <w:tcPr>
            <w:tcW w:w="3038" w:type="dxa"/>
            <w:vAlign w:val="center"/>
          </w:tcPr>
          <w:p w14:paraId="73F8A674" w14:textId="77777777" w:rsidR="00B77EA3" w:rsidRPr="0082484A" w:rsidRDefault="00B77EA3" w:rsidP="00B77EA3">
            <w:pPr>
              <w:spacing w:before="0"/>
              <w:contextualSpacing/>
              <w:jc w:val="center"/>
              <w:rPr>
                <w:bCs/>
                <w:sz w:val="22"/>
                <w:szCs w:val="22"/>
              </w:rPr>
            </w:pPr>
          </w:p>
        </w:tc>
      </w:tr>
      <w:tr w:rsidR="00B77EA3" w:rsidRPr="0082484A" w14:paraId="68157F9D" w14:textId="77777777" w:rsidTr="0082484A">
        <w:tc>
          <w:tcPr>
            <w:tcW w:w="8075" w:type="dxa"/>
          </w:tcPr>
          <w:p w14:paraId="70082DDA" w14:textId="77777777" w:rsidR="00B77EA3" w:rsidRPr="0082484A" w:rsidRDefault="00B77EA3" w:rsidP="00B77EA3">
            <w:pPr>
              <w:spacing w:before="0"/>
              <w:rPr>
                <w:sz w:val="22"/>
                <w:szCs w:val="22"/>
              </w:rPr>
            </w:pPr>
            <w:r w:rsidRPr="0082484A">
              <w:rPr>
                <w:sz w:val="22"/>
                <w:szCs w:val="22"/>
              </w:rPr>
              <w:t>The percentage of patients with diabetes, on the register, with a diagnosis of nephropathy (clinical proteinuria) or micro-albuminuria who are currently treated with an ACE-I (or ARBs) (DM006)</w:t>
            </w:r>
          </w:p>
        </w:tc>
        <w:tc>
          <w:tcPr>
            <w:tcW w:w="2835" w:type="dxa"/>
            <w:vAlign w:val="center"/>
          </w:tcPr>
          <w:p w14:paraId="04D3F770" w14:textId="77777777" w:rsidR="00B77EA3" w:rsidRPr="0082484A" w:rsidRDefault="00B77EA3" w:rsidP="00B77EA3">
            <w:pPr>
              <w:spacing w:before="0"/>
              <w:contextualSpacing/>
              <w:jc w:val="center"/>
              <w:rPr>
                <w:bCs/>
                <w:sz w:val="22"/>
                <w:szCs w:val="22"/>
              </w:rPr>
            </w:pPr>
          </w:p>
        </w:tc>
        <w:tc>
          <w:tcPr>
            <w:tcW w:w="3038" w:type="dxa"/>
            <w:vAlign w:val="center"/>
          </w:tcPr>
          <w:p w14:paraId="52C84540" w14:textId="77777777" w:rsidR="00B77EA3" w:rsidRPr="0082484A" w:rsidRDefault="00B77EA3" w:rsidP="00B77EA3">
            <w:pPr>
              <w:spacing w:before="0"/>
              <w:contextualSpacing/>
              <w:jc w:val="center"/>
              <w:rPr>
                <w:bCs/>
                <w:sz w:val="22"/>
                <w:szCs w:val="22"/>
              </w:rPr>
            </w:pPr>
          </w:p>
        </w:tc>
      </w:tr>
      <w:tr w:rsidR="00B77EA3" w:rsidRPr="0082484A" w14:paraId="5CDF014C" w14:textId="77777777" w:rsidTr="0082484A">
        <w:tc>
          <w:tcPr>
            <w:tcW w:w="8075" w:type="dxa"/>
          </w:tcPr>
          <w:p w14:paraId="1BCDA24C"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3AD8058B" w14:textId="77777777" w:rsidR="00B77EA3" w:rsidRPr="0082484A" w:rsidRDefault="00B77EA3" w:rsidP="00B77EA3">
            <w:pPr>
              <w:spacing w:before="0"/>
              <w:contextualSpacing/>
              <w:jc w:val="center"/>
              <w:rPr>
                <w:bCs/>
                <w:sz w:val="22"/>
                <w:szCs w:val="22"/>
              </w:rPr>
            </w:pPr>
            <w:r w:rsidRPr="0082484A">
              <w:rPr>
                <w:bCs/>
                <w:sz w:val="22"/>
                <w:szCs w:val="22"/>
              </w:rPr>
              <w:t>94.38% (6.58%)</w:t>
            </w:r>
          </w:p>
        </w:tc>
        <w:tc>
          <w:tcPr>
            <w:tcW w:w="3038" w:type="dxa"/>
            <w:vAlign w:val="center"/>
          </w:tcPr>
          <w:p w14:paraId="0C59675D" w14:textId="77777777" w:rsidR="00B77EA3" w:rsidRPr="0082484A" w:rsidRDefault="00B77EA3" w:rsidP="00B77EA3">
            <w:pPr>
              <w:spacing w:before="0"/>
              <w:contextualSpacing/>
              <w:jc w:val="center"/>
              <w:rPr>
                <w:bCs/>
                <w:sz w:val="22"/>
                <w:szCs w:val="22"/>
              </w:rPr>
            </w:pPr>
            <w:r w:rsidRPr="0082484A">
              <w:rPr>
                <w:bCs/>
                <w:sz w:val="22"/>
                <w:szCs w:val="22"/>
              </w:rPr>
              <w:t>89.94% (8.08%)</w:t>
            </w:r>
          </w:p>
        </w:tc>
      </w:tr>
      <w:tr w:rsidR="00B77EA3" w:rsidRPr="0082484A" w14:paraId="685A5D8F" w14:textId="77777777" w:rsidTr="0082484A">
        <w:tc>
          <w:tcPr>
            <w:tcW w:w="8075" w:type="dxa"/>
          </w:tcPr>
          <w:p w14:paraId="7241A862"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5BE5A765" w14:textId="77777777" w:rsidR="00B77EA3" w:rsidRPr="0082484A" w:rsidRDefault="00B77EA3" w:rsidP="00B77EA3">
            <w:pPr>
              <w:spacing w:before="0"/>
              <w:contextualSpacing/>
              <w:jc w:val="center"/>
              <w:rPr>
                <w:bCs/>
                <w:sz w:val="22"/>
                <w:szCs w:val="22"/>
              </w:rPr>
            </w:pPr>
            <w:r w:rsidRPr="0082484A">
              <w:rPr>
                <w:bCs/>
                <w:sz w:val="22"/>
                <w:szCs w:val="22"/>
              </w:rPr>
              <w:t>97.25% (78.13%, 100.00%)</w:t>
            </w:r>
          </w:p>
        </w:tc>
        <w:tc>
          <w:tcPr>
            <w:tcW w:w="3038" w:type="dxa"/>
            <w:vAlign w:val="center"/>
          </w:tcPr>
          <w:p w14:paraId="1453A7D5" w14:textId="77777777" w:rsidR="00B77EA3" w:rsidRPr="0082484A" w:rsidRDefault="00B77EA3" w:rsidP="00B77EA3">
            <w:pPr>
              <w:spacing w:before="0"/>
              <w:contextualSpacing/>
              <w:jc w:val="center"/>
              <w:rPr>
                <w:bCs/>
                <w:sz w:val="22"/>
                <w:szCs w:val="22"/>
              </w:rPr>
            </w:pPr>
            <w:r w:rsidRPr="0082484A">
              <w:rPr>
                <w:bCs/>
                <w:sz w:val="22"/>
                <w:szCs w:val="22"/>
              </w:rPr>
              <w:t>91.84% (70.83%, 100.00%)</w:t>
            </w:r>
          </w:p>
        </w:tc>
      </w:tr>
      <w:tr w:rsidR="00B77EA3" w:rsidRPr="0082484A" w14:paraId="25DEF98A" w14:textId="77777777" w:rsidTr="0082484A">
        <w:tc>
          <w:tcPr>
            <w:tcW w:w="8075" w:type="dxa"/>
          </w:tcPr>
          <w:p w14:paraId="6DC42637" w14:textId="77777777" w:rsidR="00B77EA3" w:rsidRPr="0082484A" w:rsidRDefault="00B77EA3" w:rsidP="00B77EA3">
            <w:pPr>
              <w:spacing w:before="0"/>
              <w:rPr>
                <w:sz w:val="22"/>
                <w:szCs w:val="22"/>
              </w:rPr>
            </w:pPr>
          </w:p>
        </w:tc>
        <w:tc>
          <w:tcPr>
            <w:tcW w:w="2835" w:type="dxa"/>
            <w:vAlign w:val="center"/>
          </w:tcPr>
          <w:p w14:paraId="18FB0212" w14:textId="77777777" w:rsidR="00B77EA3" w:rsidRPr="0082484A" w:rsidRDefault="00B77EA3" w:rsidP="00B77EA3">
            <w:pPr>
              <w:spacing w:before="0"/>
              <w:contextualSpacing/>
              <w:jc w:val="center"/>
              <w:rPr>
                <w:bCs/>
                <w:sz w:val="22"/>
                <w:szCs w:val="22"/>
              </w:rPr>
            </w:pPr>
          </w:p>
        </w:tc>
        <w:tc>
          <w:tcPr>
            <w:tcW w:w="3038" w:type="dxa"/>
            <w:vAlign w:val="center"/>
          </w:tcPr>
          <w:p w14:paraId="708B2A34" w14:textId="77777777" w:rsidR="00B77EA3" w:rsidRPr="0082484A" w:rsidRDefault="00B77EA3" w:rsidP="00B77EA3">
            <w:pPr>
              <w:spacing w:before="0"/>
              <w:contextualSpacing/>
              <w:jc w:val="center"/>
              <w:rPr>
                <w:bCs/>
                <w:sz w:val="22"/>
                <w:szCs w:val="22"/>
              </w:rPr>
            </w:pPr>
          </w:p>
        </w:tc>
      </w:tr>
      <w:tr w:rsidR="00B77EA3" w:rsidRPr="0082484A" w14:paraId="7D557421" w14:textId="77777777" w:rsidTr="0082484A">
        <w:tc>
          <w:tcPr>
            <w:tcW w:w="8075" w:type="dxa"/>
          </w:tcPr>
          <w:p w14:paraId="7617E54B" w14:textId="77777777" w:rsidR="00B77EA3" w:rsidRPr="0082484A" w:rsidRDefault="00B77EA3" w:rsidP="00B77EA3">
            <w:pPr>
              <w:spacing w:before="0"/>
              <w:rPr>
                <w:sz w:val="22"/>
                <w:szCs w:val="22"/>
              </w:rPr>
            </w:pPr>
            <w:r w:rsidRPr="0082484A">
              <w:rPr>
                <w:sz w:val="22"/>
                <w:szCs w:val="22"/>
              </w:rPr>
              <w:t>The percentage of patients with diabetes, on the register, in whom the last IFCC-HbA1c is 59 mmol/mol or less in the preceding 12 months (DM007)</w:t>
            </w:r>
          </w:p>
        </w:tc>
        <w:tc>
          <w:tcPr>
            <w:tcW w:w="2835" w:type="dxa"/>
            <w:vAlign w:val="center"/>
          </w:tcPr>
          <w:p w14:paraId="0DC45700" w14:textId="77777777" w:rsidR="00B77EA3" w:rsidRPr="0082484A" w:rsidRDefault="00B77EA3" w:rsidP="00B77EA3">
            <w:pPr>
              <w:spacing w:before="0"/>
              <w:contextualSpacing/>
              <w:jc w:val="center"/>
              <w:rPr>
                <w:bCs/>
                <w:sz w:val="22"/>
                <w:szCs w:val="22"/>
              </w:rPr>
            </w:pPr>
          </w:p>
        </w:tc>
        <w:tc>
          <w:tcPr>
            <w:tcW w:w="3038" w:type="dxa"/>
            <w:vAlign w:val="center"/>
          </w:tcPr>
          <w:p w14:paraId="404A4C14" w14:textId="77777777" w:rsidR="00B77EA3" w:rsidRPr="0082484A" w:rsidRDefault="00B77EA3" w:rsidP="00B77EA3">
            <w:pPr>
              <w:spacing w:before="0"/>
              <w:contextualSpacing/>
              <w:jc w:val="center"/>
              <w:rPr>
                <w:bCs/>
                <w:sz w:val="22"/>
                <w:szCs w:val="22"/>
              </w:rPr>
            </w:pPr>
          </w:p>
        </w:tc>
      </w:tr>
      <w:tr w:rsidR="00B77EA3" w:rsidRPr="0082484A" w14:paraId="263240D6" w14:textId="77777777" w:rsidTr="0082484A">
        <w:tc>
          <w:tcPr>
            <w:tcW w:w="8075" w:type="dxa"/>
          </w:tcPr>
          <w:p w14:paraId="52550029"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21F40D92" w14:textId="77777777" w:rsidR="00B77EA3" w:rsidRPr="0082484A" w:rsidRDefault="00B77EA3" w:rsidP="00B77EA3">
            <w:pPr>
              <w:spacing w:before="0"/>
              <w:contextualSpacing/>
              <w:jc w:val="center"/>
              <w:rPr>
                <w:bCs/>
                <w:sz w:val="22"/>
                <w:szCs w:val="22"/>
              </w:rPr>
            </w:pPr>
            <w:r w:rsidRPr="0082484A">
              <w:rPr>
                <w:bCs/>
                <w:sz w:val="22"/>
                <w:szCs w:val="22"/>
              </w:rPr>
              <w:t>69.93% (9.20%)</w:t>
            </w:r>
          </w:p>
        </w:tc>
        <w:tc>
          <w:tcPr>
            <w:tcW w:w="3038" w:type="dxa"/>
            <w:vAlign w:val="center"/>
          </w:tcPr>
          <w:p w14:paraId="2AB96A5D" w14:textId="77777777" w:rsidR="00B77EA3" w:rsidRPr="0082484A" w:rsidRDefault="00B77EA3" w:rsidP="00B77EA3">
            <w:pPr>
              <w:spacing w:before="0"/>
              <w:contextualSpacing/>
              <w:jc w:val="center"/>
              <w:rPr>
                <w:bCs/>
                <w:sz w:val="22"/>
                <w:szCs w:val="22"/>
              </w:rPr>
            </w:pPr>
            <w:r w:rsidRPr="0082484A">
              <w:rPr>
                <w:bCs/>
                <w:sz w:val="22"/>
                <w:szCs w:val="22"/>
              </w:rPr>
              <w:t>68.06% (9.88%)</w:t>
            </w:r>
          </w:p>
        </w:tc>
      </w:tr>
      <w:tr w:rsidR="00B77EA3" w:rsidRPr="0082484A" w14:paraId="155B2723" w14:textId="77777777" w:rsidTr="0082484A">
        <w:tc>
          <w:tcPr>
            <w:tcW w:w="8075" w:type="dxa"/>
          </w:tcPr>
          <w:p w14:paraId="70EE1D6B"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79EB7D3D" w14:textId="77777777" w:rsidR="00B77EA3" w:rsidRPr="0082484A" w:rsidRDefault="00B77EA3" w:rsidP="00B77EA3">
            <w:pPr>
              <w:spacing w:before="0"/>
              <w:contextualSpacing/>
              <w:jc w:val="center"/>
              <w:rPr>
                <w:bCs/>
                <w:sz w:val="22"/>
                <w:szCs w:val="22"/>
              </w:rPr>
            </w:pPr>
            <w:r w:rsidRPr="0082484A">
              <w:rPr>
                <w:bCs/>
                <w:sz w:val="22"/>
                <w:szCs w:val="22"/>
              </w:rPr>
              <w:t>70.20% (46.58%, 96.19%)</w:t>
            </w:r>
          </w:p>
        </w:tc>
        <w:tc>
          <w:tcPr>
            <w:tcW w:w="3038" w:type="dxa"/>
            <w:vAlign w:val="center"/>
          </w:tcPr>
          <w:p w14:paraId="5A30989A" w14:textId="77777777" w:rsidR="00B77EA3" w:rsidRPr="0082484A" w:rsidRDefault="00B77EA3" w:rsidP="00B77EA3">
            <w:pPr>
              <w:spacing w:before="0"/>
              <w:contextualSpacing/>
              <w:jc w:val="center"/>
              <w:rPr>
                <w:bCs/>
                <w:sz w:val="22"/>
                <w:szCs w:val="22"/>
              </w:rPr>
            </w:pPr>
            <w:r w:rsidRPr="0082484A">
              <w:rPr>
                <w:bCs/>
                <w:sz w:val="22"/>
                <w:szCs w:val="22"/>
              </w:rPr>
              <w:t>68.31% (39.80%, 89.06%)</w:t>
            </w:r>
          </w:p>
        </w:tc>
      </w:tr>
      <w:tr w:rsidR="00B77EA3" w:rsidRPr="0082484A" w14:paraId="28E12B70" w14:textId="77777777" w:rsidTr="0082484A">
        <w:tc>
          <w:tcPr>
            <w:tcW w:w="8075" w:type="dxa"/>
          </w:tcPr>
          <w:p w14:paraId="64F91F5D" w14:textId="77777777" w:rsidR="00B77EA3" w:rsidRPr="0082484A" w:rsidRDefault="00B77EA3" w:rsidP="00B77EA3">
            <w:pPr>
              <w:spacing w:before="0"/>
              <w:rPr>
                <w:sz w:val="22"/>
                <w:szCs w:val="22"/>
              </w:rPr>
            </w:pPr>
          </w:p>
        </w:tc>
        <w:tc>
          <w:tcPr>
            <w:tcW w:w="2835" w:type="dxa"/>
            <w:vAlign w:val="center"/>
          </w:tcPr>
          <w:p w14:paraId="44350EB9" w14:textId="77777777" w:rsidR="00B77EA3" w:rsidRPr="0082484A" w:rsidRDefault="00B77EA3" w:rsidP="00B77EA3">
            <w:pPr>
              <w:spacing w:before="0"/>
              <w:contextualSpacing/>
              <w:jc w:val="center"/>
              <w:rPr>
                <w:bCs/>
                <w:sz w:val="22"/>
                <w:szCs w:val="22"/>
              </w:rPr>
            </w:pPr>
          </w:p>
        </w:tc>
        <w:tc>
          <w:tcPr>
            <w:tcW w:w="3038" w:type="dxa"/>
            <w:vAlign w:val="center"/>
          </w:tcPr>
          <w:p w14:paraId="4282A42D" w14:textId="77777777" w:rsidR="00B77EA3" w:rsidRPr="0082484A" w:rsidRDefault="00B77EA3" w:rsidP="00B77EA3">
            <w:pPr>
              <w:spacing w:before="0"/>
              <w:contextualSpacing/>
              <w:jc w:val="center"/>
              <w:rPr>
                <w:bCs/>
                <w:sz w:val="22"/>
                <w:szCs w:val="22"/>
              </w:rPr>
            </w:pPr>
          </w:p>
        </w:tc>
      </w:tr>
      <w:tr w:rsidR="00B77EA3" w:rsidRPr="0082484A" w14:paraId="74A84831" w14:textId="77777777" w:rsidTr="0082484A">
        <w:tc>
          <w:tcPr>
            <w:tcW w:w="8075" w:type="dxa"/>
          </w:tcPr>
          <w:p w14:paraId="614C4067" w14:textId="77777777" w:rsidR="00B77EA3" w:rsidRPr="0082484A" w:rsidRDefault="00B77EA3" w:rsidP="00B77EA3">
            <w:pPr>
              <w:spacing w:before="0"/>
              <w:rPr>
                <w:sz w:val="22"/>
                <w:szCs w:val="22"/>
              </w:rPr>
            </w:pPr>
            <w:r w:rsidRPr="0082484A">
              <w:rPr>
                <w:sz w:val="22"/>
                <w:szCs w:val="22"/>
              </w:rPr>
              <w:t>The percentage of patients with diabetes, on the register, in whom the last IFCC-HbA1c is 64 mmol/mol or less in the preceding 12 months (DM008)</w:t>
            </w:r>
          </w:p>
        </w:tc>
        <w:tc>
          <w:tcPr>
            <w:tcW w:w="2835" w:type="dxa"/>
            <w:vAlign w:val="center"/>
          </w:tcPr>
          <w:p w14:paraId="454F8BA8" w14:textId="77777777" w:rsidR="00B77EA3" w:rsidRPr="0082484A" w:rsidRDefault="00B77EA3" w:rsidP="00B77EA3">
            <w:pPr>
              <w:spacing w:before="0"/>
              <w:contextualSpacing/>
              <w:jc w:val="center"/>
              <w:rPr>
                <w:bCs/>
                <w:sz w:val="22"/>
                <w:szCs w:val="22"/>
              </w:rPr>
            </w:pPr>
          </w:p>
        </w:tc>
        <w:tc>
          <w:tcPr>
            <w:tcW w:w="3038" w:type="dxa"/>
            <w:vAlign w:val="center"/>
          </w:tcPr>
          <w:p w14:paraId="17AD7683" w14:textId="77777777" w:rsidR="00B77EA3" w:rsidRPr="0082484A" w:rsidRDefault="00B77EA3" w:rsidP="00B77EA3">
            <w:pPr>
              <w:spacing w:before="0"/>
              <w:contextualSpacing/>
              <w:jc w:val="center"/>
              <w:rPr>
                <w:bCs/>
                <w:sz w:val="22"/>
                <w:szCs w:val="22"/>
              </w:rPr>
            </w:pPr>
          </w:p>
        </w:tc>
      </w:tr>
      <w:tr w:rsidR="00B77EA3" w:rsidRPr="0082484A" w14:paraId="5A01F481" w14:textId="77777777" w:rsidTr="0082484A">
        <w:tc>
          <w:tcPr>
            <w:tcW w:w="8075" w:type="dxa"/>
          </w:tcPr>
          <w:p w14:paraId="76E68060"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03D7D764" w14:textId="77777777" w:rsidR="00B77EA3" w:rsidRPr="0082484A" w:rsidRDefault="00B77EA3" w:rsidP="00B77EA3">
            <w:pPr>
              <w:spacing w:before="0"/>
              <w:contextualSpacing/>
              <w:jc w:val="center"/>
              <w:rPr>
                <w:bCs/>
                <w:sz w:val="22"/>
                <w:szCs w:val="22"/>
              </w:rPr>
            </w:pPr>
            <w:r w:rsidRPr="0082484A">
              <w:rPr>
                <w:bCs/>
                <w:sz w:val="22"/>
                <w:szCs w:val="22"/>
              </w:rPr>
              <w:t>78.00% (8.11%)</w:t>
            </w:r>
          </w:p>
        </w:tc>
        <w:tc>
          <w:tcPr>
            <w:tcW w:w="3038" w:type="dxa"/>
            <w:vAlign w:val="center"/>
          </w:tcPr>
          <w:p w14:paraId="0A6EDC31" w14:textId="77777777" w:rsidR="00B77EA3" w:rsidRPr="0082484A" w:rsidRDefault="00B77EA3" w:rsidP="00B77EA3">
            <w:pPr>
              <w:spacing w:before="0"/>
              <w:contextualSpacing/>
              <w:jc w:val="center"/>
              <w:rPr>
                <w:bCs/>
                <w:sz w:val="22"/>
                <w:szCs w:val="22"/>
              </w:rPr>
            </w:pPr>
            <w:r w:rsidRPr="0082484A">
              <w:rPr>
                <w:bCs/>
                <w:sz w:val="22"/>
                <w:szCs w:val="22"/>
              </w:rPr>
              <w:t>76.67% (9.29%)</w:t>
            </w:r>
          </w:p>
        </w:tc>
      </w:tr>
      <w:tr w:rsidR="00B77EA3" w:rsidRPr="0082484A" w14:paraId="258DA003" w14:textId="77777777" w:rsidTr="0082484A">
        <w:tc>
          <w:tcPr>
            <w:tcW w:w="8075" w:type="dxa"/>
          </w:tcPr>
          <w:p w14:paraId="180DD541"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65BAD0AA" w14:textId="77777777" w:rsidR="00B77EA3" w:rsidRPr="0082484A" w:rsidRDefault="00B77EA3" w:rsidP="00B77EA3">
            <w:pPr>
              <w:spacing w:before="0"/>
              <w:contextualSpacing/>
              <w:jc w:val="center"/>
              <w:rPr>
                <w:bCs/>
                <w:sz w:val="22"/>
                <w:szCs w:val="22"/>
              </w:rPr>
            </w:pPr>
            <w:r w:rsidRPr="0082484A">
              <w:rPr>
                <w:bCs/>
                <w:sz w:val="22"/>
                <w:szCs w:val="22"/>
              </w:rPr>
              <w:t>77.21% (55.10%, 96.92%)</w:t>
            </w:r>
          </w:p>
        </w:tc>
        <w:tc>
          <w:tcPr>
            <w:tcW w:w="3038" w:type="dxa"/>
            <w:vAlign w:val="center"/>
          </w:tcPr>
          <w:p w14:paraId="4AE3F07C" w14:textId="77777777" w:rsidR="00B77EA3" w:rsidRPr="0082484A" w:rsidRDefault="00B77EA3" w:rsidP="00B77EA3">
            <w:pPr>
              <w:spacing w:before="0"/>
              <w:contextualSpacing/>
              <w:jc w:val="center"/>
              <w:rPr>
                <w:bCs/>
                <w:sz w:val="22"/>
                <w:szCs w:val="22"/>
              </w:rPr>
            </w:pPr>
            <w:r w:rsidRPr="0082484A">
              <w:rPr>
                <w:bCs/>
                <w:sz w:val="22"/>
                <w:szCs w:val="22"/>
              </w:rPr>
              <w:t>80.00% (49.25%, 92.14%)</w:t>
            </w:r>
          </w:p>
        </w:tc>
      </w:tr>
      <w:tr w:rsidR="00B77EA3" w:rsidRPr="0082484A" w14:paraId="3D2CF98F" w14:textId="77777777" w:rsidTr="0082484A">
        <w:tc>
          <w:tcPr>
            <w:tcW w:w="8075" w:type="dxa"/>
          </w:tcPr>
          <w:p w14:paraId="45405A32" w14:textId="77777777" w:rsidR="00B77EA3" w:rsidRPr="0082484A" w:rsidRDefault="00B77EA3" w:rsidP="00B77EA3">
            <w:pPr>
              <w:spacing w:before="0"/>
              <w:rPr>
                <w:sz w:val="22"/>
                <w:szCs w:val="22"/>
              </w:rPr>
            </w:pPr>
          </w:p>
        </w:tc>
        <w:tc>
          <w:tcPr>
            <w:tcW w:w="2835" w:type="dxa"/>
            <w:vAlign w:val="center"/>
          </w:tcPr>
          <w:p w14:paraId="50D11877" w14:textId="77777777" w:rsidR="00B77EA3" w:rsidRPr="0082484A" w:rsidRDefault="00B77EA3" w:rsidP="00B77EA3">
            <w:pPr>
              <w:spacing w:before="0"/>
              <w:contextualSpacing/>
              <w:jc w:val="center"/>
              <w:rPr>
                <w:bCs/>
                <w:sz w:val="22"/>
                <w:szCs w:val="22"/>
              </w:rPr>
            </w:pPr>
          </w:p>
        </w:tc>
        <w:tc>
          <w:tcPr>
            <w:tcW w:w="3038" w:type="dxa"/>
            <w:vAlign w:val="center"/>
          </w:tcPr>
          <w:p w14:paraId="00A46114" w14:textId="77777777" w:rsidR="00B77EA3" w:rsidRPr="0082484A" w:rsidRDefault="00B77EA3" w:rsidP="00B77EA3">
            <w:pPr>
              <w:spacing w:before="0"/>
              <w:contextualSpacing/>
              <w:jc w:val="center"/>
              <w:rPr>
                <w:bCs/>
                <w:sz w:val="22"/>
                <w:szCs w:val="22"/>
              </w:rPr>
            </w:pPr>
          </w:p>
        </w:tc>
      </w:tr>
      <w:tr w:rsidR="00B77EA3" w:rsidRPr="0082484A" w14:paraId="199D04EE" w14:textId="77777777" w:rsidTr="0082484A">
        <w:tc>
          <w:tcPr>
            <w:tcW w:w="8075" w:type="dxa"/>
          </w:tcPr>
          <w:p w14:paraId="016EACC2" w14:textId="77777777" w:rsidR="00B77EA3" w:rsidRPr="0082484A" w:rsidRDefault="00B77EA3" w:rsidP="00B77EA3">
            <w:pPr>
              <w:spacing w:before="0"/>
              <w:rPr>
                <w:sz w:val="22"/>
                <w:szCs w:val="22"/>
              </w:rPr>
            </w:pPr>
            <w:r w:rsidRPr="0082484A">
              <w:rPr>
                <w:sz w:val="22"/>
                <w:szCs w:val="22"/>
              </w:rPr>
              <w:t>The percentage of patients with diabetes, on the register, in whom the last IFCC-HbA1c is 75 mmol/mol or less in the preceding 12 months (DM009)</w:t>
            </w:r>
          </w:p>
        </w:tc>
        <w:tc>
          <w:tcPr>
            <w:tcW w:w="2835" w:type="dxa"/>
            <w:vAlign w:val="center"/>
          </w:tcPr>
          <w:p w14:paraId="0DE64A33" w14:textId="77777777" w:rsidR="00B77EA3" w:rsidRPr="0082484A" w:rsidRDefault="00B77EA3" w:rsidP="00B77EA3">
            <w:pPr>
              <w:spacing w:before="0"/>
              <w:contextualSpacing/>
              <w:jc w:val="center"/>
              <w:rPr>
                <w:bCs/>
                <w:sz w:val="22"/>
                <w:szCs w:val="22"/>
              </w:rPr>
            </w:pPr>
          </w:p>
        </w:tc>
        <w:tc>
          <w:tcPr>
            <w:tcW w:w="3038" w:type="dxa"/>
            <w:vAlign w:val="center"/>
          </w:tcPr>
          <w:p w14:paraId="56B93116" w14:textId="77777777" w:rsidR="00B77EA3" w:rsidRPr="0082484A" w:rsidRDefault="00B77EA3" w:rsidP="00B77EA3">
            <w:pPr>
              <w:spacing w:before="0"/>
              <w:contextualSpacing/>
              <w:jc w:val="center"/>
              <w:rPr>
                <w:bCs/>
                <w:sz w:val="22"/>
                <w:szCs w:val="22"/>
              </w:rPr>
            </w:pPr>
          </w:p>
        </w:tc>
      </w:tr>
      <w:tr w:rsidR="00B77EA3" w:rsidRPr="0082484A" w14:paraId="6EAB954E" w14:textId="77777777" w:rsidTr="0082484A">
        <w:tc>
          <w:tcPr>
            <w:tcW w:w="8075" w:type="dxa"/>
          </w:tcPr>
          <w:p w14:paraId="37D2D7DB"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2EAFCBA5" w14:textId="77777777" w:rsidR="00B77EA3" w:rsidRPr="0082484A" w:rsidRDefault="00B77EA3" w:rsidP="00B77EA3">
            <w:pPr>
              <w:spacing w:before="0"/>
              <w:contextualSpacing/>
              <w:jc w:val="center"/>
              <w:rPr>
                <w:bCs/>
                <w:sz w:val="22"/>
                <w:szCs w:val="22"/>
              </w:rPr>
            </w:pPr>
            <w:r w:rsidRPr="0082484A">
              <w:rPr>
                <w:bCs/>
                <w:sz w:val="22"/>
                <w:szCs w:val="22"/>
              </w:rPr>
              <w:t>88.07% (6.81%)</w:t>
            </w:r>
          </w:p>
        </w:tc>
        <w:tc>
          <w:tcPr>
            <w:tcW w:w="3038" w:type="dxa"/>
            <w:vAlign w:val="center"/>
          </w:tcPr>
          <w:p w14:paraId="29243FAD" w14:textId="77777777" w:rsidR="00B77EA3" w:rsidRPr="0082484A" w:rsidRDefault="00B77EA3" w:rsidP="00B77EA3">
            <w:pPr>
              <w:spacing w:before="0"/>
              <w:contextualSpacing/>
              <w:jc w:val="center"/>
              <w:rPr>
                <w:bCs/>
                <w:sz w:val="22"/>
                <w:szCs w:val="22"/>
              </w:rPr>
            </w:pPr>
            <w:r w:rsidRPr="0082484A">
              <w:rPr>
                <w:bCs/>
                <w:sz w:val="22"/>
                <w:szCs w:val="22"/>
              </w:rPr>
              <w:t>87.24% (7.93%)</w:t>
            </w:r>
          </w:p>
        </w:tc>
      </w:tr>
      <w:tr w:rsidR="00B77EA3" w:rsidRPr="0082484A" w14:paraId="6B67A6CC" w14:textId="77777777" w:rsidTr="0082484A">
        <w:tc>
          <w:tcPr>
            <w:tcW w:w="8075" w:type="dxa"/>
          </w:tcPr>
          <w:p w14:paraId="478BB9C9"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566335F3" w14:textId="77777777" w:rsidR="00B77EA3" w:rsidRPr="0082484A" w:rsidRDefault="00B77EA3" w:rsidP="00B77EA3">
            <w:pPr>
              <w:spacing w:before="0"/>
              <w:contextualSpacing/>
              <w:jc w:val="center"/>
              <w:rPr>
                <w:bCs/>
                <w:sz w:val="22"/>
                <w:szCs w:val="22"/>
              </w:rPr>
            </w:pPr>
            <w:r w:rsidRPr="0082484A">
              <w:rPr>
                <w:bCs/>
                <w:sz w:val="22"/>
                <w:szCs w:val="22"/>
              </w:rPr>
              <w:t>88.78% (68.00%, 100.00%)</w:t>
            </w:r>
          </w:p>
        </w:tc>
        <w:tc>
          <w:tcPr>
            <w:tcW w:w="3038" w:type="dxa"/>
            <w:vAlign w:val="center"/>
          </w:tcPr>
          <w:p w14:paraId="371994A1" w14:textId="77777777" w:rsidR="00B77EA3" w:rsidRPr="0082484A" w:rsidRDefault="00B77EA3" w:rsidP="00B77EA3">
            <w:pPr>
              <w:spacing w:before="0"/>
              <w:contextualSpacing/>
              <w:jc w:val="center"/>
              <w:rPr>
                <w:bCs/>
                <w:sz w:val="22"/>
                <w:szCs w:val="22"/>
              </w:rPr>
            </w:pPr>
            <w:r w:rsidRPr="0082484A">
              <w:rPr>
                <w:bCs/>
                <w:sz w:val="22"/>
                <w:szCs w:val="22"/>
              </w:rPr>
              <w:t>90.00% (61.27%, 98.83%)</w:t>
            </w:r>
          </w:p>
        </w:tc>
      </w:tr>
      <w:tr w:rsidR="00B77EA3" w:rsidRPr="0082484A" w14:paraId="40D26A6A" w14:textId="77777777" w:rsidTr="0082484A">
        <w:tc>
          <w:tcPr>
            <w:tcW w:w="8075" w:type="dxa"/>
          </w:tcPr>
          <w:p w14:paraId="0276D6CD" w14:textId="77777777" w:rsidR="00B77EA3" w:rsidRPr="0082484A" w:rsidRDefault="00B77EA3" w:rsidP="00B77EA3">
            <w:pPr>
              <w:spacing w:before="0"/>
              <w:rPr>
                <w:sz w:val="22"/>
                <w:szCs w:val="22"/>
              </w:rPr>
            </w:pPr>
          </w:p>
        </w:tc>
        <w:tc>
          <w:tcPr>
            <w:tcW w:w="2835" w:type="dxa"/>
            <w:vAlign w:val="center"/>
          </w:tcPr>
          <w:p w14:paraId="241B1F29" w14:textId="77777777" w:rsidR="00B77EA3" w:rsidRPr="0082484A" w:rsidRDefault="00B77EA3" w:rsidP="00B77EA3">
            <w:pPr>
              <w:spacing w:before="0"/>
              <w:contextualSpacing/>
              <w:jc w:val="center"/>
              <w:rPr>
                <w:bCs/>
                <w:sz w:val="22"/>
                <w:szCs w:val="22"/>
              </w:rPr>
            </w:pPr>
          </w:p>
        </w:tc>
        <w:tc>
          <w:tcPr>
            <w:tcW w:w="3038" w:type="dxa"/>
            <w:vAlign w:val="center"/>
          </w:tcPr>
          <w:p w14:paraId="3F873393" w14:textId="77777777" w:rsidR="00B77EA3" w:rsidRPr="0082484A" w:rsidRDefault="00B77EA3" w:rsidP="00B77EA3">
            <w:pPr>
              <w:spacing w:before="0"/>
              <w:contextualSpacing/>
              <w:jc w:val="center"/>
              <w:rPr>
                <w:bCs/>
                <w:sz w:val="22"/>
                <w:szCs w:val="22"/>
              </w:rPr>
            </w:pPr>
          </w:p>
        </w:tc>
      </w:tr>
      <w:tr w:rsidR="00B77EA3" w:rsidRPr="0082484A" w14:paraId="6B04C103" w14:textId="77777777" w:rsidTr="0082484A">
        <w:tc>
          <w:tcPr>
            <w:tcW w:w="8075" w:type="dxa"/>
          </w:tcPr>
          <w:p w14:paraId="63494071" w14:textId="77777777" w:rsidR="00B77EA3" w:rsidRPr="0082484A" w:rsidRDefault="00B77EA3" w:rsidP="00B77EA3">
            <w:pPr>
              <w:spacing w:before="0"/>
              <w:rPr>
                <w:sz w:val="22"/>
                <w:szCs w:val="22"/>
              </w:rPr>
            </w:pPr>
            <w:r w:rsidRPr="0082484A">
              <w:rPr>
                <w:sz w:val="22"/>
                <w:szCs w:val="22"/>
              </w:rPr>
              <w:t>The percentage of patients with diabetes, on the register, with a record of a foot examination and risk classification within the preceding 12 months (DM012)</w:t>
            </w:r>
          </w:p>
        </w:tc>
        <w:tc>
          <w:tcPr>
            <w:tcW w:w="2835" w:type="dxa"/>
            <w:vAlign w:val="center"/>
          </w:tcPr>
          <w:p w14:paraId="0C3A2A63" w14:textId="77777777" w:rsidR="00B77EA3" w:rsidRPr="0082484A" w:rsidRDefault="00B77EA3" w:rsidP="00B77EA3">
            <w:pPr>
              <w:spacing w:before="0"/>
              <w:contextualSpacing/>
              <w:jc w:val="center"/>
              <w:rPr>
                <w:bCs/>
                <w:sz w:val="22"/>
                <w:szCs w:val="22"/>
              </w:rPr>
            </w:pPr>
          </w:p>
        </w:tc>
        <w:tc>
          <w:tcPr>
            <w:tcW w:w="3038" w:type="dxa"/>
            <w:vAlign w:val="center"/>
          </w:tcPr>
          <w:p w14:paraId="2E78CAB1" w14:textId="77777777" w:rsidR="00B77EA3" w:rsidRPr="0082484A" w:rsidRDefault="00B77EA3" w:rsidP="00B77EA3">
            <w:pPr>
              <w:spacing w:before="0"/>
              <w:contextualSpacing/>
              <w:jc w:val="center"/>
              <w:rPr>
                <w:bCs/>
                <w:sz w:val="22"/>
                <w:szCs w:val="22"/>
              </w:rPr>
            </w:pPr>
          </w:p>
        </w:tc>
      </w:tr>
      <w:tr w:rsidR="00B77EA3" w:rsidRPr="0082484A" w14:paraId="2AAD1598" w14:textId="77777777" w:rsidTr="0082484A">
        <w:tc>
          <w:tcPr>
            <w:tcW w:w="8075" w:type="dxa"/>
          </w:tcPr>
          <w:p w14:paraId="306D92B1"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76A15ADA" w14:textId="77777777" w:rsidR="00B77EA3" w:rsidRPr="0082484A" w:rsidRDefault="00B77EA3" w:rsidP="00B77EA3">
            <w:pPr>
              <w:spacing w:before="0"/>
              <w:contextualSpacing/>
              <w:jc w:val="center"/>
              <w:rPr>
                <w:bCs/>
                <w:sz w:val="22"/>
                <w:szCs w:val="22"/>
              </w:rPr>
            </w:pPr>
            <w:r w:rsidRPr="0082484A">
              <w:rPr>
                <w:bCs/>
                <w:sz w:val="22"/>
                <w:szCs w:val="22"/>
              </w:rPr>
              <w:t>85.88% (10.35%)</w:t>
            </w:r>
          </w:p>
        </w:tc>
        <w:tc>
          <w:tcPr>
            <w:tcW w:w="3038" w:type="dxa"/>
            <w:vAlign w:val="center"/>
          </w:tcPr>
          <w:p w14:paraId="27275322" w14:textId="77777777" w:rsidR="00B77EA3" w:rsidRPr="0082484A" w:rsidRDefault="00B77EA3" w:rsidP="00B77EA3">
            <w:pPr>
              <w:spacing w:before="0"/>
              <w:contextualSpacing/>
              <w:jc w:val="center"/>
              <w:rPr>
                <w:bCs/>
                <w:sz w:val="22"/>
                <w:szCs w:val="22"/>
              </w:rPr>
            </w:pPr>
            <w:r w:rsidRPr="0082484A">
              <w:rPr>
                <w:bCs/>
                <w:sz w:val="22"/>
                <w:szCs w:val="22"/>
              </w:rPr>
              <w:t>83.51% (10.50%)</w:t>
            </w:r>
          </w:p>
        </w:tc>
      </w:tr>
      <w:tr w:rsidR="00B77EA3" w:rsidRPr="0082484A" w14:paraId="354034FE" w14:textId="77777777" w:rsidTr="0082484A">
        <w:tc>
          <w:tcPr>
            <w:tcW w:w="8075" w:type="dxa"/>
          </w:tcPr>
          <w:p w14:paraId="4D2244AE"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36B1A698" w14:textId="77777777" w:rsidR="00B77EA3" w:rsidRPr="0082484A" w:rsidRDefault="00B77EA3" w:rsidP="00B77EA3">
            <w:pPr>
              <w:spacing w:before="0"/>
              <w:contextualSpacing/>
              <w:jc w:val="center"/>
              <w:rPr>
                <w:bCs/>
                <w:sz w:val="22"/>
                <w:szCs w:val="22"/>
              </w:rPr>
            </w:pPr>
            <w:r w:rsidRPr="0082484A">
              <w:rPr>
                <w:bCs/>
                <w:sz w:val="22"/>
                <w:szCs w:val="22"/>
              </w:rPr>
              <w:t>90.36% (59.76%, 98.28%)</w:t>
            </w:r>
          </w:p>
        </w:tc>
        <w:tc>
          <w:tcPr>
            <w:tcW w:w="3038" w:type="dxa"/>
            <w:vAlign w:val="center"/>
          </w:tcPr>
          <w:p w14:paraId="5850F7D3" w14:textId="77777777" w:rsidR="00B77EA3" w:rsidRPr="0082484A" w:rsidRDefault="00B77EA3" w:rsidP="00B77EA3">
            <w:pPr>
              <w:spacing w:before="0"/>
              <w:contextualSpacing/>
              <w:jc w:val="center"/>
              <w:rPr>
                <w:bCs/>
                <w:sz w:val="22"/>
                <w:szCs w:val="22"/>
              </w:rPr>
            </w:pPr>
            <w:r w:rsidRPr="0082484A">
              <w:rPr>
                <w:bCs/>
                <w:sz w:val="22"/>
                <w:szCs w:val="22"/>
              </w:rPr>
              <w:t>83.64% (54.82%, 98.91%)</w:t>
            </w:r>
          </w:p>
        </w:tc>
      </w:tr>
      <w:tr w:rsidR="00B77EA3" w:rsidRPr="0082484A" w14:paraId="71C9BDD0" w14:textId="77777777" w:rsidTr="0082484A">
        <w:tc>
          <w:tcPr>
            <w:tcW w:w="8075" w:type="dxa"/>
          </w:tcPr>
          <w:p w14:paraId="7B3DB7DB" w14:textId="77777777" w:rsidR="00B77EA3" w:rsidRPr="0082484A" w:rsidRDefault="00B77EA3" w:rsidP="00B77EA3">
            <w:pPr>
              <w:spacing w:before="0"/>
              <w:rPr>
                <w:sz w:val="22"/>
                <w:szCs w:val="22"/>
              </w:rPr>
            </w:pPr>
          </w:p>
        </w:tc>
        <w:tc>
          <w:tcPr>
            <w:tcW w:w="2835" w:type="dxa"/>
            <w:vAlign w:val="center"/>
          </w:tcPr>
          <w:p w14:paraId="09C3469F" w14:textId="77777777" w:rsidR="00B77EA3" w:rsidRPr="0082484A" w:rsidRDefault="00B77EA3" w:rsidP="00B77EA3">
            <w:pPr>
              <w:spacing w:before="0"/>
              <w:contextualSpacing/>
              <w:jc w:val="center"/>
              <w:rPr>
                <w:bCs/>
                <w:sz w:val="22"/>
                <w:szCs w:val="22"/>
              </w:rPr>
            </w:pPr>
          </w:p>
        </w:tc>
        <w:tc>
          <w:tcPr>
            <w:tcW w:w="3038" w:type="dxa"/>
            <w:vAlign w:val="center"/>
          </w:tcPr>
          <w:p w14:paraId="2378F132" w14:textId="77777777" w:rsidR="00B77EA3" w:rsidRPr="0082484A" w:rsidRDefault="00B77EA3" w:rsidP="00B77EA3">
            <w:pPr>
              <w:spacing w:before="0"/>
              <w:contextualSpacing/>
              <w:jc w:val="center"/>
              <w:rPr>
                <w:bCs/>
                <w:sz w:val="22"/>
                <w:szCs w:val="22"/>
              </w:rPr>
            </w:pPr>
          </w:p>
        </w:tc>
      </w:tr>
      <w:tr w:rsidR="00B77EA3" w:rsidRPr="0082484A" w14:paraId="5D9A176B" w14:textId="77777777" w:rsidTr="0082484A">
        <w:tc>
          <w:tcPr>
            <w:tcW w:w="8075" w:type="dxa"/>
          </w:tcPr>
          <w:p w14:paraId="6383CCAC" w14:textId="77777777" w:rsidR="00B77EA3" w:rsidRPr="0082484A" w:rsidRDefault="00B77EA3" w:rsidP="00B77EA3">
            <w:pPr>
              <w:spacing w:before="0"/>
              <w:rPr>
                <w:sz w:val="22"/>
                <w:szCs w:val="22"/>
              </w:rPr>
            </w:pPr>
            <w:r w:rsidRPr="0082484A">
              <w:rPr>
                <w:sz w:val="22"/>
                <w:szCs w:val="22"/>
              </w:rPr>
              <w:t>The percentage of patients newly diagnosed with diabetes, on the register, in the preceding 1 April to 31 March who have a record of being referred to a structured education programme within 9 months after entry on to the diabetes register (DM014)</w:t>
            </w:r>
          </w:p>
        </w:tc>
        <w:tc>
          <w:tcPr>
            <w:tcW w:w="2835" w:type="dxa"/>
            <w:vAlign w:val="center"/>
          </w:tcPr>
          <w:p w14:paraId="524FC2EB" w14:textId="77777777" w:rsidR="00B77EA3" w:rsidRPr="0082484A" w:rsidRDefault="00B77EA3" w:rsidP="00B77EA3">
            <w:pPr>
              <w:spacing w:before="0"/>
              <w:contextualSpacing/>
              <w:jc w:val="center"/>
              <w:rPr>
                <w:bCs/>
                <w:sz w:val="22"/>
                <w:szCs w:val="22"/>
              </w:rPr>
            </w:pPr>
          </w:p>
        </w:tc>
        <w:tc>
          <w:tcPr>
            <w:tcW w:w="3038" w:type="dxa"/>
            <w:vAlign w:val="center"/>
          </w:tcPr>
          <w:p w14:paraId="58F58271" w14:textId="77777777" w:rsidR="00B77EA3" w:rsidRPr="0082484A" w:rsidRDefault="00B77EA3" w:rsidP="00B77EA3">
            <w:pPr>
              <w:spacing w:before="0"/>
              <w:contextualSpacing/>
              <w:jc w:val="center"/>
              <w:rPr>
                <w:bCs/>
                <w:sz w:val="22"/>
                <w:szCs w:val="22"/>
              </w:rPr>
            </w:pPr>
          </w:p>
        </w:tc>
      </w:tr>
      <w:tr w:rsidR="00B77EA3" w:rsidRPr="0082484A" w14:paraId="48E3C9D0" w14:textId="77777777" w:rsidTr="0082484A">
        <w:tc>
          <w:tcPr>
            <w:tcW w:w="8075" w:type="dxa"/>
          </w:tcPr>
          <w:p w14:paraId="7B815310"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2B5C7BEF" w14:textId="77777777" w:rsidR="00B77EA3" w:rsidRPr="0082484A" w:rsidRDefault="00B77EA3" w:rsidP="00B77EA3">
            <w:pPr>
              <w:spacing w:before="0"/>
              <w:contextualSpacing/>
              <w:jc w:val="center"/>
              <w:rPr>
                <w:bCs/>
                <w:sz w:val="22"/>
                <w:szCs w:val="22"/>
              </w:rPr>
            </w:pPr>
            <w:r w:rsidRPr="0082484A">
              <w:rPr>
                <w:bCs/>
                <w:sz w:val="22"/>
                <w:szCs w:val="22"/>
              </w:rPr>
              <w:t>92.33% (18.93%)</w:t>
            </w:r>
          </w:p>
        </w:tc>
        <w:tc>
          <w:tcPr>
            <w:tcW w:w="3038" w:type="dxa"/>
            <w:vAlign w:val="center"/>
          </w:tcPr>
          <w:p w14:paraId="160B41B0" w14:textId="77777777" w:rsidR="00B77EA3" w:rsidRPr="0082484A" w:rsidRDefault="00B77EA3" w:rsidP="00B77EA3">
            <w:pPr>
              <w:spacing w:before="0"/>
              <w:contextualSpacing/>
              <w:jc w:val="center"/>
              <w:rPr>
                <w:bCs/>
                <w:sz w:val="22"/>
                <w:szCs w:val="22"/>
              </w:rPr>
            </w:pPr>
            <w:r w:rsidRPr="0082484A">
              <w:rPr>
                <w:bCs/>
                <w:sz w:val="22"/>
                <w:szCs w:val="22"/>
              </w:rPr>
              <w:t>91.78% (14.26%)</w:t>
            </w:r>
          </w:p>
        </w:tc>
      </w:tr>
      <w:tr w:rsidR="00B77EA3" w:rsidRPr="0082484A" w14:paraId="376F2D54" w14:textId="77777777" w:rsidTr="0082484A">
        <w:tc>
          <w:tcPr>
            <w:tcW w:w="8075" w:type="dxa"/>
          </w:tcPr>
          <w:p w14:paraId="65C21856"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622C8B09" w14:textId="77777777" w:rsidR="00B77EA3" w:rsidRPr="0082484A" w:rsidRDefault="00B77EA3" w:rsidP="00B77EA3">
            <w:pPr>
              <w:spacing w:before="0"/>
              <w:contextualSpacing/>
              <w:jc w:val="center"/>
              <w:rPr>
                <w:bCs/>
                <w:sz w:val="22"/>
                <w:szCs w:val="22"/>
              </w:rPr>
            </w:pPr>
            <w:r w:rsidRPr="0082484A">
              <w:rPr>
                <w:bCs/>
                <w:sz w:val="22"/>
                <w:szCs w:val="22"/>
              </w:rPr>
              <w:t>100.00% (0.00%, 100.00%)</w:t>
            </w:r>
          </w:p>
        </w:tc>
        <w:tc>
          <w:tcPr>
            <w:tcW w:w="3038" w:type="dxa"/>
            <w:vAlign w:val="center"/>
          </w:tcPr>
          <w:p w14:paraId="61DEB268" w14:textId="77777777" w:rsidR="00B77EA3" w:rsidRPr="0082484A" w:rsidRDefault="00B77EA3" w:rsidP="00B77EA3">
            <w:pPr>
              <w:spacing w:before="0"/>
              <w:contextualSpacing/>
              <w:jc w:val="center"/>
              <w:rPr>
                <w:bCs/>
                <w:sz w:val="22"/>
                <w:szCs w:val="22"/>
              </w:rPr>
            </w:pPr>
            <w:r w:rsidRPr="0082484A">
              <w:rPr>
                <w:bCs/>
                <w:sz w:val="22"/>
                <w:szCs w:val="22"/>
              </w:rPr>
              <w:t>96.67% (32.14%, 100.00%)</w:t>
            </w:r>
          </w:p>
        </w:tc>
      </w:tr>
      <w:tr w:rsidR="00B77EA3" w:rsidRPr="0082484A" w14:paraId="4FF4748D" w14:textId="77777777" w:rsidTr="0082484A">
        <w:tc>
          <w:tcPr>
            <w:tcW w:w="8075" w:type="dxa"/>
          </w:tcPr>
          <w:p w14:paraId="3F2AB86C" w14:textId="77777777" w:rsidR="00B77EA3" w:rsidRPr="0082484A" w:rsidRDefault="00B77EA3" w:rsidP="00B77EA3">
            <w:pPr>
              <w:spacing w:before="0"/>
              <w:rPr>
                <w:sz w:val="22"/>
                <w:szCs w:val="22"/>
              </w:rPr>
            </w:pPr>
          </w:p>
        </w:tc>
        <w:tc>
          <w:tcPr>
            <w:tcW w:w="2835" w:type="dxa"/>
            <w:vAlign w:val="center"/>
          </w:tcPr>
          <w:p w14:paraId="64F1D6F5" w14:textId="77777777" w:rsidR="00B77EA3" w:rsidRPr="0082484A" w:rsidRDefault="00B77EA3" w:rsidP="00B77EA3">
            <w:pPr>
              <w:spacing w:before="0"/>
              <w:contextualSpacing/>
              <w:jc w:val="center"/>
              <w:rPr>
                <w:bCs/>
                <w:sz w:val="22"/>
                <w:szCs w:val="22"/>
              </w:rPr>
            </w:pPr>
          </w:p>
        </w:tc>
        <w:tc>
          <w:tcPr>
            <w:tcW w:w="3038" w:type="dxa"/>
            <w:vAlign w:val="center"/>
          </w:tcPr>
          <w:p w14:paraId="2CD05909" w14:textId="77777777" w:rsidR="00B77EA3" w:rsidRPr="0082484A" w:rsidRDefault="00B77EA3" w:rsidP="00B77EA3">
            <w:pPr>
              <w:spacing w:before="0"/>
              <w:contextualSpacing/>
              <w:jc w:val="center"/>
              <w:rPr>
                <w:bCs/>
                <w:sz w:val="22"/>
                <w:szCs w:val="22"/>
              </w:rPr>
            </w:pPr>
          </w:p>
        </w:tc>
      </w:tr>
      <w:tr w:rsidR="00B77EA3" w:rsidRPr="0082484A" w14:paraId="393F1E40" w14:textId="77777777" w:rsidTr="0082484A">
        <w:tc>
          <w:tcPr>
            <w:tcW w:w="8075" w:type="dxa"/>
          </w:tcPr>
          <w:p w14:paraId="70282D98" w14:textId="77777777" w:rsidR="00B77EA3" w:rsidRPr="0082484A" w:rsidRDefault="00B77EA3" w:rsidP="00B77EA3">
            <w:pPr>
              <w:spacing w:before="0"/>
              <w:rPr>
                <w:sz w:val="22"/>
                <w:szCs w:val="22"/>
              </w:rPr>
            </w:pPr>
            <w:r w:rsidRPr="0082484A">
              <w:rPr>
                <w:sz w:val="22"/>
                <w:szCs w:val="22"/>
              </w:rPr>
              <w:t>The percentage of patients with diabetes, on the register, who have had influenza immunisation in the preceding 1 August to 31 March (DM018)</w:t>
            </w:r>
          </w:p>
        </w:tc>
        <w:tc>
          <w:tcPr>
            <w:tcW w:w="2835" w:type="dxa"/>
            <w:vAlign w:val="center"/>
          </w:tcPr>
          <w:p w14:paraId="506A2165" w14:textId="77777777" w:rsidR="00B77EA3" w:rsidRPr="0082484A" w:rsidRDefault="00B77EA3" w:rsidP="00B77EA3">
            <w:pPr>
              <w:spacing w:before="0"/>
              <w:contextualSpacing/>
              <w:jc w:val="center"/>
              <w:rPr>
                <w:bCs/>
                <w:sz w:val="22"/>
                <w:szCs w:val="22"/>
              </w:rPr>
            </w:pPr>
          </w:p>
        </w:tc>
        <w:tc>
          <w:tcPr>
            <w:tcW w:w="3038" w:type="dxa"/>
            <w:vAlign w:val="center"/>
          </w:tcPr>
          <w:p w14:paraId="128FFF3A" w14:textId="77777777" w:rsidR="00B77EA3" w:rsidRPr="0082484A" w:rsidRDefault="00B77EA3" w:rsidP="00B77EA3">
            <w:pPr>
              <w:spacing w:before="0"/>
              <w:contextualSpacing/>
              <w:jc w:val="center"/>
              <w:rPr>
                <w:bCs/>
                <w:sz w:val="22"/>
                <w:szCs w:val="22"/>
              </w:rPr>
            </w:pPr>
          </w:p>
        </w:tc>
      </w:tr>
      <w:tr w:rsidR="00B77EA3" w:rsidRPr="0082484A" w14:paraId="68B1B4CC" w14:textId="77777777" w:rsidTr="0082484A">
        <w:tc>
          <w:tcPr>
            <w:tcW w:w="8075" w:type="dxa"/>
          </w:tcPr>
          <w:p w14:paraId="45785058" w14:textId="77777777" w:rsidR="00B77EA3" w:rsidRPr="0082484A" w:rsidRDefault="00B77EA3" w:rsidP="00B77EA3">
            <w:pPr>
              <w:spacing w:before="0"/>
              <w:rPr>
                <w:sz w:val="22"/>
                <w:szCs w:val="22"/>
              </w:rPr>
            </w:pPr>
            <w:r w:rsidRPr="0082484A">
              <w:rPr>
                <w:sz w:val="22"/>
                <w:szCs w:val="22"/>
              </w:rPr>
              <w:t>Mean (SD)</w:t>
            </w:r>
          </w:p>
        </w:tc>
        <w:tc>
          <w:tcPr>
            <w:tcW w:w="2835" w:type="dxa"/>
            <w:vAlign w:val="center"/>
          </w:tcPr>
          <w:p w14:paraId="33AF2AAB" w14:textId="77777777" w:rsidR="00B77EA3" w:rsidRPr="0082484A" w:rsidRDefault="00B77EA3" w:rsidP="00B77EA3">
            <w:pPr>
              <w:spacing w:before="0"/>
              <w:contextualSpacing/>
              <w:jc w:val="center"/>
              <w:rPr>
                <w:bCs/>
                <w:sz w:val="22"/>
                <w:szCs w:val="22"/>
              </w:rPr>
            </w:pPr>
            <w:r w:rsidRPr="0082484A">
              <w:rPr>
                <w:bCs/>
                <w:sz w:val="22"/>
                <w:szCs w:val="22"/>
              </w:rPr>
              <w:t>95.79% (4.97%)</w:t>
            </w:r>
          </w:p>
        </w:tc>
        <w:tc>
          <w:tcPr>
            <w:tcW w:w="3038" w:type="dxa"/>
            <w:vAlign w:val="center"/>
          </w:tcPr>
          <w:p w14:paraId="6204AEC5" w14:textId="77777777" w:rsidR="00B77EA3" w:rsidRPr="0082484A" w:rsidRDefault="00B77EA3" w:rsidP="00B77EA3">
            <w:pPr>
              <w:spacing w:before="0"/>
              <w:contextualSpacing/>
              <w:jc w:val="center"/>
              <w:rPr>
                <w:bCs/>
                <w:sz w:val="22"/>
                <w:szCs w:val="22"/>
              </w:rPr>
            </w:pPr>
            <w:r w:rsidRPr="0082484A">
              <w:rPr>
                <w:bCs/>
                <w:sz w:val="22"/>
                <w:szCs w:val="22"/>
              </w:rPr>
              <w:t>96.28% (3.29%)</w:t>
            </w:r>
          </w:p>
        </w:tc>
      </w:tr>
      <w:tr w:rsidR="00B77EA3" w:rsidRPr="0082484A" w14:paraId="06ACA038" w14:textId="77777777" w:rsidTr="0082484A">
        <w:tc>
          <w:tcPr>
            <w:tcW w:w="8075" w:type="dxa"/>
          </w:tcPr>
          <w:p w14:paraId="0471F245" w14:textId="77777777" w:rsidR="00B77EA3" w:rsidRPr="0082484A" w:rsidRDefault="00B77EA3" w:rsidP="00B77EA3">
            <w:pPr>
              <w:spacing w:before="0"/>
              <w:rPr>
                <w:sz w:val="22"/>
                <w:szCs w:val="22"/>
              </w:rPr>
            </w:pPr>
            <w:r w:rsidRPr="0082484A">
              <w:rPr>
                <w:sz w:val="22"/>
                <w:szCs w:val="22"/>
              </w:rPr>
              <w:t>Median (Range)</w:t>
            </w:r>
          </w:p>
        </w:tc>
        <w:tc>
          <w:tcPr>
            <w:tcW w:w="2835" w:type="dxa"/>
            <w:vAlign w:val="center"/>
          </w:tcPr>
          <w:p w14:paraId="2267F3B8" w14:textId="77777777" w:rsidR="00B77EA3" w:rsidRPr="0082484A" w:rsidRDefault="00B77EA3" w:rsidP="00B77EA3">
            <w:pPr>
              <w:spacing w:before="0"/>
              <w:contextualSpacing/>
              <w:jc w:val="center"/>
              <w:rPr>
                <w:bCs/>
                <w:sz w:val="22"/>
                <w:szCs w:val="22"/>
              </w:rPr>
            </w:pPr>
            <w:r w:rsidRPr="0082484A">
              <w:rPr>
                <w:bCs/>
                <w:sz w:val="22"/>
                <w:szCs w:val="22"/>
              </w:rPr>
              <w:t>97.57% (76.67%, 100.00%)</w:t>
            </w:r>
          </w:p>
        </w:tc>
        <w:tc>
          <w:tcPr>
            <w:tcW w:w="3038" w:type="dxa"/>
            <w:vAlign w:val="center"/>
          </w:tcPr>
          <w:p w14:paraId="08FDAB98" w14:textId="77777777" w:rsidR="00B77EA3" w:rsidRPr="0082484A" w:rsidRDefault="00B77EA3" w:rsidP="00B77EA3">
            <w:pPr>
              <w:spacing w:before="0"/>
              <w:contextualSpacing/>
              <w:jc w:val="center"/>
              <w:rPr>
                <w:bCs/>
                <w:sz w:val="22"/>
                <w:szCs w:val="22"/>
              </w:rPr>
            </w:pPr>
            <w:r w:rsidRPr="0082484A">
              <w:rPr>
                <w:bCs/>
                <w:sz w:val="22"/>
                <w:szCs w:val="22"/>
              </w:rPr>
              <w:t>97.00% (86.24%, 100.00%)</w:t>
            </w:r>
          </w:p>
        </w:tc>
      </w:tr>
    </w:tbl>
    <w:p w14:paraId="278B2816" w14:textId="77777777" w:rsidR="00B77EA3" w:rsidRPr="0082484A" w:rsidRDefault="00B77EA3" w:rsidP="00B77EA3">
      <w:pPr>
        <w:spacing w:before="0" w:line="240" w:lineRule="auto"/>
        <w:contextualSpacing/>
        <w:rPr>
          <w:bCs/>
          <w:sz w:val="22"/>
          <w:szCs w:val="22"/>
        </w:rPr>
      </w:pPr>
    </w:p>
    <w:p w14:paraId="208DA01F" w14:textId="77777777" w:rsidR="00B77EA3" w:rsidRPr="0082484A" w:rsidRDefault="00B77EA3" w:rsidP="00B77EA3">
      <w:pPr>
        <w:spacing w:before="0" w:line="240" w:lineRule="auto"/>
        <w:contextualSpacing/>
        <w:rPr>
          <w:bCs/>
          <w:sz w:val="22"/>
          <w:szCs w:val="22"/>
        </w:rPr>
      </w:pPr>
      <w:r w:rsidRPr="0082484A">
        <w:rPr>
          <w:bCs/>
          <w:sz w:val="22"/>
          <w:szCs w:val="22"/>
        </w:rPr>
        <w:t>Footnote 1: Modelling assumptions were violated for indicators DM006, DM014 and DM018, further statistical comparisons were not made for these indicators</w:t>
      </w:r>
    </w:p>
    <w:p w14:paraId="74448DB7" w14:textId="77777777" w:rsidR="00B77EA3" w:rsidRPr="0082484A" w:rsidRDefault="00B77EA3" w:rsidP="00B77EA3">
      <w:pPr>
        <w:spacing w:before="0" w:line="240" w:lineRule="auto"/>
        <w:contextualSpacing/>
        <w:rPr>
          <w:bCs/>
          <w:sz w:val="22"/>
          <w:szCs w:val="22"/>
        </w:rPr>
      </w:pPr>
      <w:r w:rsidRPr="0082484A">
        <w:rPr>
          <w:bCs/>
          <w:sz w:val="22"/>
          <w:szCs w:val="22"/>
        </w:rPr>
        <w:t>Footnote 2: One practice in the control (risky prescribing) arm had missing data for all QOF indicators</w:t>
      </w:r>
    </w:p>
    <w:p w14:paraId="04FD9820" w14:textId="77777777" w:rsidR="00B77EA3" w:rsidRPr="0082484A" w:rsidRDefault="00B77EA3" w:rsidP="00B77EA3">
      <w:pPr>
        <w:spacing w:before="0" w:line="240" w:lineRule="auto"/>
        <w:rPr>
          <w:sz w:val="22"/>
          <w:szCs w:val="22"/>
        </w:rPr>
      </w:pPr>
      <w:bookmarkStart w:id="213" w:name="_Ref502918073"/>
      <w:r w:rsidRPr="0082484A">
        <w:rPr>
          <w:sz w:val="22"/>
          <w:szCs w:val="22"/>
        </w:rPr>
        <w:br w:type="page"/>
      </w:r>
    </w:p>
    <w:p w14:paraId="151BB7CF" w14:textId="283543C9" w:rsidR="00B77EA3" w:rsidRPr="0082484A" w:rsidRDefault="00B77EA3" w:rsidP="00B77EA3">
      <w:pPr>
        <w:spacing w:before="0" w:line="240" w:lineRule="auto"/>
        <w:rPr>
          <w:bCs/>
          <w:sz w:val="22"/>
          <w:szCs w:val="22"/>
        </w:rPr>
      </w:pPr>
      <w:bookmarkStart w:id="214" w:name="_Ref8647383"/>
      <w:bookmarkStart w:id="215" w:name="_Toc8728133"/>
      <w:bookmarkStart w:id="216" w:name="_Toc19526788"/>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59</w:t>
      </w:r>
      <w:r w:rsidRPr="0082484A">
        <w:rPr>
          <w:bCs/>
          <w:noProof/>
          <w:sz w:val="22"/>
          <w:szCs w:val="22"/>
        </w:rPr>
        <w:fldChar w:fldCharType="end"/>
      </w:r>
      <w:bookmarkEnd w:id="213"/>
      <w:bookmarkEnd w:id="214"/>
      <w:r w:rsidRPr="0082484A">
        <w:rPr>
          <w:bCs/>
          <w:sz w:val="22"/>
          <w:szCs w:val="22"/>
        </w:rPr>
        <w:t>: Secondary outcome for Trial 2: Summary of practice level adherence to QOF indicators related to the blood pressure control indicators (WP4a)</w:t>
      </w:r>
      <w:bookmarkEnd w:id="215"/>
      <w:bookmarkEnd w:id="216"/>
    </w:p>
    <w:p w14:paraId="63674F19" w14:textId="77777777" w:rsidR="00B77EA3" w:rsidRPr="0082484A" w:rsidRDefault="00B77EA3" w:rsidP="00B77EA3">
      <w:pPr>
        <w:spacing w:before="0" w:line="240" w:lineRule="auto"/>
        <w:contextualSpacing/>
        <w:rPr>
          <w:bCs/>
          <w:sz w:val="22"/>
          <w:szCs w:val="22"/>
        </w:rPr>
      </w:pPr>
      <w:bookmarkStart w:id="217" w:name="IDX1"/>
      <w:bookmarkEnd w:id="217"/>
    </w:p>
    <w:tbl>
      <w:tblPr>
        <w:tblStyle w:val="TableGrid"/>
        <w:tblW w:w="14312" w:type="dxa"/>
        <w:tblLook w:val="04A0" w:firstRow="1" w:lastRow="0" w:firstColumn="1" w:lastColumn="0" w:noHBand="0" w:noVBand="1"/>
      </w:tblPr>
      <w:tblGrid>
        <w:gridCol w:w="8075"/>
        <w:gridCol w:w="3260"/>
        <w:gridCol w:w="2977"/>
      </w:tblGrid>
      <w:tr w:rsidR="00B77EA3" w:rsidRPr="0082484A" w14:paraId="3CA37FEC" w14:textId="77777777" w:rsidTr="0082484A">
        <w:tc>
          <w:tcPr>
            <w:tcW w:w="8075" w:type="dxa"/>
          </w:tcPr>
          <w:p w14:paraId="0D525631" w14:textId="77777777" w:rsidR="00B77EA3" w:rsidRPr="0082484A" w:rsidRDefault="00B77EA3" w:rsidP="00B77EA3">
            <w:pPr>
              <w:spacing w:before="0"/>
              <w:rPr>
                <w:sz w:val="22"/>
                <w:szCs w:val="22"/>
              </w:rPr>
            </w:pPr>
            <w:r w:rsidRPr="0082484A">
              <w:rPr>
                <w:sz w:val="22"/>
                <w:szCs w:val="22"/>
              </w:rPr>
              <w:t>QOF indicator</w:t>
            </w:r>
          </w:p>
          <w:p w14:paraId="2AC13CB1" w14:textId="77777777" w:rsidR="00B77EA3" w:rsidRPr="0082484A" w:rsidRDefault="00B77EA3" w:rsidP="00B77EA3">
            <w:pPr>
              <w:spacing w:before="0"/>
              <w:rPr>
                <w:sz w:val="22"/>
                <w:szCs w:val="22"/>
              </w:rPr>
            </w:pPr>
          </w:p>
        </w:tc>
        <w:tc>
          <w:tcPr>
            <w:tcW w:w="3260" w:type="dxa"/>
          </w:tcPr>
          <w:p w14:paraId="52421031" w14:textId="77777777" w:rsidR="00B77EA3" w:rsidRPr="0082484A" w:rsidRDefault="00B77EA3" w:rsidP="00B77EA3">
            <w:pPr>
              <w:spacing w:before="0"/>
              <w:jc w:val="center"/>
              <w:rPr>
                <w:sz w:val="22"/>
                <w:szCs w:val="22"/>
              </w:rPr>
            </w:pPr>
            <w:r w:rsidRPr="0082484A">
              <w:rPr>
                <w:sz w:val="22"/>
                <w:szCs w:val="22"/>
              </w:rPr>
              <w:t>Blood pressure control package (n=32)</w:t>
            </w:r>
          </w:p>
        </w:tc>
        <w:tc>
          <w:tcPr>
            <w:tcW w:w="2977" w:type="dxa"/>
          </w:tcPr>
          <w:p w14:paraId="4B7402FD" w14:textId="77777777" w:rsidR="00B77EA3" w:rsidRPr="0082484A" w:rsidRDefault="00B77EA3" w:rsidP="00B77EA3">
            <w:pPr>
              <w:spacing w:before="0"/>
              <w:jc w:val="center"/>
              <w:rPr>
                <w:sz w:val="22"/>
                <w:szCs w:val="22"/>
              </w:rPr>
            </w:pPr>
            <w:r w:rsidRPr="0082484A">
              <w:rPr>
                <w:sz w:val="22"/>
                <w:szCs w:val="22"/>
              </w:rPr>
              <w:t>Control (anticoagulation in atrial fibrillation package) (n=32)</w:t>
            </w:r>
          </w:p>
        </w:tc>
      </w:tr>
      <w:tr w:rsidR="00B77EA3" w:rsidRPr="0082484A" w14:paraId="419E9E26" w14:textId="77777777" w:rsidTr="0082484A">
        <w:tc>
          <w:tcPr>
            <w:tcW w:w="8075" w:type="dxa"/>
          </w:tcPr>
          <w:p w14:paraId="676F5CAB" w14:textId="77777777" w:rsidR="00B77EA3" w:rsidRPr="0082484A" w:rsidRDefault="00B77EA3" w:rsidP="00B77EA3">
            <w:pPr>
              <w:spacing w:before="0"/>
              <w:rPr>
                <w:sz w:val="22"/>
                <w:szCs w:val="22"/>
              </w:rPr>
            </w:pPr>
            <w:r w:rsidRPr="0082484A">
              <w:rPr>
                <w:sz w:val="22"/>
                <w:szCs w:val="22"/>
              </w:rPr>
              <w:t>The percentage of patients with coronary heart disease in whom the last blood pressure reading (measured in the preceding 12 months) is 150/90 mmHg or less (CHD002)</w:t>
            </w:r>
          </w:p>
        </w:tc>
        <w:tc>
          <w:tcPr>
            <w:tcW w:w="3260" w:type="dxa"/>
          </w:tcPr>
          <w:p w14:paraId="36430774" w14:textId="77777777" w:rsidR="00B77EA3" w:rsidRPr="0082484A" w:rsidRDefault="00B77EA3" w:rsidP="00B77EA3">
            <w:pPr>
              <w:spacing w:before="0"/>
              <w:rPr>
                <w:sz w:val="22"/>
                <w:szCs w:val="22"/>
              </w:rPr>
            </w:pPr>
          </w:p>
        </w:tc>
        <w:tc>
          <w:tcPr>
            <w:tcW w:w="2977" w:type="dxa"/>
          </w:tcPr>
          <w:p w14:paraId="4481C63B" w14:textId="77777777" w:rsidR="00B77EA3" w:rsidRPr="0082484A" w:rsidRDefault="00B77EA3" w:rsidP="00B77EA3">
            <w:pPr>
              <w:spacing w:before="0"/>
              <w:rPr>
                <w:sz w:val="22"/>
                <w:szCs w:val="22"/>
              </w:rPr>
            </w:pPr>
          </w:p>
        </w:tc>
      </w:tr>
      <w:tr w:rsidR="00B77EA3" w:rsidRPr="0082484A" w14:paraId="3D42A20E" w14:textId="77777777" w:rsidTr="0082484A">
        <w:tc>
          <w:tcPr>
            <w:tcW w:w="8075" w:type="dxa"/>
          </w:tcPr>
          <w:p w14:paraId="7D25F40A" w14:textId="77777777" w:rsidR="00B77EA3" w:rsidRPr="0082484A" w:rsidRDefault="00B77EA3" w:rsidP="00B77EA3">
            <w:pPr>
              <w:spacing w:before="0"/>
              <w:rPr>
                <w:sz w:val="22"/>
                <w:szCs w:val="22"/>
              </w:rPr>
            </w:pPr>
            <w:r w:rsidRPr="0082484A">
              <w:rPr>
                <w:sz w:val="22"/>
                <w:szCs w:val="22"/>
              </w:rPr>
              <w:t>Mean (SD)</w:t>
            </w:r>
          </w:p>
        </w:tc>
        <w:tc>
          <w:tcPr>
            <w:tcW w:w="3260" w:type="dxa"/>
            <w:vAlign w:val="center"/>
          </w:tcPr>
          <w:p w14:paraId="3410147A" w14:textId="77777777" w:rsidR="00B77EA3" w:rsidRPr="0082484A" w:rsidRDefault="00B77EA3" w:rsidP="00B77EA3">
            <w:pPr>
              <w:spacing w:before="0"/>
              <w:contextualSpacing/>
              <w:jc w:val="center"/>
              <w:rPr>
                <w:bCs/>
                <w:sz w:val="22"/>
                <w:szCs w:val="22"/>
              </w:rPr>
            </w:pPr>
            <w:r w:rsidRPr="0082484A">
              <w:rPr>
                <w:bCs/>
                <w:sz w:val="22"/>
                <w:szCs w:val="22"/>
              </w:rPr>
              <w:t>90.65% (5.24%)</w:t>
            </w:r>
          </w:p>
        </w:tc>
        <w:tc>
          <w:tcPr>
            <w:tcW w:w="2977" w:type="dxa"/>
            <w:vAlign w:val="center"/>
          </w:tcPr>
          <w:p w14:paraId="67EE5513" w14:textId="77777777" w:rsidR="00B77EA3" w:rsidRPr="0082484A" w:rsidRDefault="00B77EA3" w:rsidP="00B77EA3">
            <w:pPr>
              <w:spacing w:before="0"/>
              <w:contextualSpacing/>
              <w:jc w:val="center"/>
              <w:rPr>
                <w:bCs/>
                <w:sz w:val="22"/>
                <w:szCs w:val="22"/>
              </w:rPr>
            </w:pPr>
            <w:r w:rsidRPr="0082484A">
              <w:rPr>
                <w:bCs/>
                <w:sz w:val="22"/>
                <w:szCs w:val="22"/>
              </w:rPr>
              <w:t>91.60% (3.82%)</w:t>
            </w:r>
          </w:p>
        </w:tc>
      </w:tr>
      <w:tr w:rsidR="00B77EA3" w:rsidRPr="0082484A" w14:paraId="05E10E4C" w14:textId="77777777" w:rsidTr="0082484A">
        <w:tc>
          <w:tcPr>
            <w:tcW w:w="8075" w:type="dxa"/>
          </w:tcPr>
          <w:p w14:paraId="404FB8FF" w14:textId="77777777" w:rsidR="00B77EA3" w:rsidRPr="0082484A" w:rsidRDefault="00B77EA3" w:rsidP="00B77EA3">
            <w:pPr>
              <w:spacing w:before="0"/>
              <w:rPr>
                <w:sz w:val="22"/>
                <w:szCs w:val="22"/>
              </w:rPr>
            </w:pPr>
            <w:r w:rsidRPr="0082484A">
              <w:rPr>
                <w:sz w:val="22"/>
                <w:szCs w:val="22"/>
              </w:rPr>
              <w:t>Median (Range)</w:t>
            </w:r>
          </w:p>
        </w:tc>
        <w:tc>
          <w:tcPr>
            <w:tcW w:w="3260" w:type="dxa"/>
            <w:vAlign w:val="center"/>
          </w:tcPr>
          <w:p w14:paraId="4D78D42B" w14:textId="77777777" w:rsidR="00B77EA3" w:rsidRPr="0082484A" w:rsidRDefault="00B77EA3" w:rsidP="00B77EA3">
            <w:pPr>
              <w:spacing w:before="0"/>
              <w:contextualSpacing/>
              <w:jc w:val="center"/>
              <w:rPr>
                <w:bCs/>
                <w:sz w:val="22"/>
                <w:szCs w:val="22"/>
              </w:rPr>
            </w:pPr>
            <w:r w:rsidRPr="0082484A">
              <w:rPr>
                <w:bCs/>
                <w:sz w:val="22"/>
                <w:szCs w:val="22"/>
              </w:rPr>
              <w:t>92.57% (73.48%, 96.38%)</w:t>
            </w:r>
          </w:p>
        </w:tc>
        <w:tc>
          <w:tcPr>
            <w:tcW w:w="2977" w:type="dxa"/>
            <w:vAlign w:val="center"/>
          </w:tcPr>
          <w:p w14:paraId="2F70650A" w14:textId="77777777" w:rsidR="00B77EA3" w:rsidRPr="0082484A" w:rsidRDefault="00B77EA3" w:rsidP="00B77EA3">
            <w:pPr>
              <w:spacing w:before="0"/>
              <w:contextualSpacing/>
              <w:jc w:val="center"/>
              <w:rPr>
                <w:bCs/>
                <w:sz w:val="22"/>
                <w:szCs w:val="22"/>
              </w:rPr>
            </w:pPr>
            <w:r w:rsidRPr="0082484A">
              <w:rPr>
                <w:bCs/>
                <w:sz w:val="22"/>
                <w:szCs w:val="22"/>
              </w:rPr>
              <w:t>92.13% (84.38%, 97.50%)</w:t>
            </w:r>
          </w:p>
        </w:tc>
      </w:tr>
      <w:tr w:rsidR="00B77EA3" w:rsidRPr="0082484A" w14:paraId="2DEF724E" w14:textId="77777777" w:rsidTr="0082484A">
        <w:tc>
          <w:tcPr>
            <w:tcW w:w="8075" w:type="dxa"/>
          </w:tcPr>
          <w:p w14:paraId="25EE2F09" w14:textId="77777777" w:rsidR="00B77EA3" w:rsidRPr="0082484A" w:rsidRDefault="00B77EA3" w:rsidP="00B77EA3">
            <w:pPr>
              <w:spacing w:before="0"/>
              <w:rPr>
                <w:sz w:val="22"/>
                <w:szCs w:val="22"/>
              </w:rPr>
            </w:pPr>
          </w:p>
        </w:tc>
        <w:tc>
          <w:tcPr>
            <w:tcW w:w="3260" w:type="dxa"/>
            <w:vAlign w:val="center"/>
          </w:tcPr>
          <w:p w14:paraId="3D8F334D" w14:textId="77777777" w:rsidR="00B77EA3" w:rsidRPr="0082484A" w:rsidRDefault="00B77EA3" w:rsidP="00B77EA3">
            <w:pPr>
              <w:spacing w:before="0"/>
              <w:contextualSpacing/>
              <w:jc w:val="center"/>
              <w:rPr>
                <w:bCs/>
                <w:sz w:val="22"/>
                <w:szCs w:val="22"/>
              </w:rPr>
            </w:pPr>
          </w:p>
        </w:tc>
        <w:tc>
          <w:tcPr>
            <w:tcW w:w="2977" w:type="dxa"/>
            <w:vAlign w:val="center"/>
          </w:tcPr>
          <w:p w14:paraId="39AFF24E" w14:textId="77777777" w:rsidR="00B77EA3" w:rsidRPr="0082484A" w:rsidRDefault="00B77EA3" w:rsidP="00B77EA3">
            <w:pPr>
              <w:spacing w:before="0"/>
              <w:contextualSpacing/>
              <w:jc w:val="center"/>
              <w:rPr>
                <w:bCs/>
                <w:sz w:val="22"/>
                <w:szCs w:val="22"/>
              </w:rPr>
            </w:pPr>
          </w:p>
        </w:tc>
      </w:tr>
      <w:tr w:rsidR="00B77EA3" w:rsidRPr="0082484A" w14:paraId="26FB3A4A" w14:textId="77777777" w:rsidTr="0082484A">
        <w:tc>
          <w:tcPr>
            <w:tcW w:w="8075" w:type="dxa"/>
          </w:tcPr>
          <w:p w14:paraId="5600D740" w14:textId="77777777" w:rsidR="00B77EA3" w:rsidRPr="0082484A" w:rsidRDefault="00B77EA3" w:rsidP="00B77EA3">
            <w:pPr>
              <w:spacing w:before="0"/>
              <w:rPr>
                <w:sz w:val="22"/>
                <w:szCs w:val="22"/>
              </w:rPr>
            </w:pPr>
            <w:r w:rsidRPr="0082484A">
              <w:rPr>
                <w:sz w:val="22"/>
                <w:szCs w:val="22"/>
              </w:rPr>
              <w:t>The percentage of patients with hypertension in whom the last blood pressure reading (measured in the preceding 12 months) is 150/90 mmHg or less (HYP006)</w:t>
            </w:r>
          </w:p>
        </w:tc>
        <w:tc>
          <w:tcPr>
            <w:tcW w:w="3260" w:type="dxa"/>
            <w:vAlign w:val="center"/>
          </w:tcPr>
          <w:p w14:paraId="794EA5F0" w14:textId="77777777" w:rsidR="00B77EA3" w:rsidRPr="0082484A" w:rsidRDefault="00B77EA3" w:rsidP="00B77EA3">
            <w:pPr>
              <w:spacing w:before="0"/>
              <w:contextualSpacing/>
              <w:jc w:val="center"/>
              <w:rPr>
                <w:bCs/>
                <w:sz w:val="22"/>
                <w:szCs w:val="22"/>
              </w:rPr>
            </w:pPr>
          </w:p>
        </w:tc>
        <w:tc>
          <w:tcPr>
            <w:tcW w:w="2977" w:type="dxa"/>
            <w:vAlign w:val="center"/>
          </w:tcPr>
          <w:p w14:paraId="5940D369" w14:textId="77777777" w:rsidR="00B77EA3" w:rsidRPr="0082484A" w:rsidRDefault="00B77EA3" w:rsidP="00B77EA3">
            <w:pPr>
              <w:spacing w:before="0"/>
              <w:contextualSpacing/>
              <w:jc w:val="center"/>
              <w:rPr>
                <w:bCs/>
                <w:sz w:val="22"/>
                <w:szCs w:val="22"/>
              </w:rPr>
            </w:pPr>
          </w:p>
        </w:tc>
      </w:tr>
      <w:tr w:rsidR="00B77EA3" w:rsidRPr="0082484A" w14:paraId="57DC3326" w14:textId="77777777" w:rsidTr="0082484A">
        <w:tc>
          <w:tcPr>
            <w:tcW w:w="8075" w:type="dxa"/>
          </w:tcPr>
          <w:p w14:paraId="0EF7E5E1" w14:textId="77777777" w:rsidR="00B77EA3" w:rsidRPr="0082484A" w:rsidRDefault="00B77EA3" w:rsidP="00B77EA3">
            <w:pPr>
              <w:spacing w:before="0"/>
              <w:rPr>
                <w:sz w:val="22"/>
                <w:szCs w:val="22"/>
              </w:rPr>
            </w:pPr>
            <w:r w:rsidRPr="0082484A">
              <w:rPr>
                <w:sz w:val="22"/>
                <w:szCs w:val="22"/>
              </w:rPr>
              <w:t>Mean (SD)</w:t>
            </w:r>
          </w:p>
        </w:tc>
        <w:tc>
          <w:tcPr>
            <w:tcW w:w="3260" w:type="dxa"/>
            <w:vAlign w:val="center"/>
          </w:tcPr>
          <w:p w14:paraId="573A96AB" w14:textId="77777777" w:rsidR="00B77EA3" w:rsidRPr="0082484A" w:rsidRDefault="00B77EA3" w:rsidP="00B77EA3">
            <w:pPr>
              <w:spacing w:before="0"/>
              <w:contextualSpacing/>
              <w:jc w:val="center"/>
              <w:rPr>
                <w:bCs/>
                <w:sz w:val="22"/>
                <w:szCs w:val="22"/>
              </w:rPr>
            </w:pPr>
            <w:r w:rsidRPr="0082484A">
              <w:rPr>
                <w:bCs/>
                <w:sz w:val="22"/>
                <w:szCs w:val="22"/>
              </w:rPr>
              <w:t>83.05% (5.33%)</w:t>
            </w:r>
          </w:p>
        </w:tc>
        <w:tc>
          <w:tcPr>
            <w:tcW w:w="2977" w:type="dxa"/>
            <w:vAlign w:val="center"/>
          </w:tcPr>
          <w:p w14:paraId="7DB30538" w14:textId="77777777" w:rsidR="00B77EA3" w:rsidRPr="0082484A" w:rsidRDefault="00B77EA3" w:rsidP="00B77EA3">
            <w:pPr>
              <w:spacing w:before="0"/>
              <w:contextualSpacing/>
              <w:jc w:val="center"/>
              <w:rPr>
                <w:bCs/>
                <w:sz w:val="22"/>
                <w:szCs w:val="22"/>
              </w:rPr>
            </w:pPr>
            <w:r w:rsidRPr="0082484A">
              <w:rPr>
                <w:bCs/>
                <w:sz w:val="22"/>
                <w:szCs w:val="22"/>
              </w:rPr>
              <w:t>81.70% (4.37%)</w:t>
            </w:r>
          </w:p>
        </w:tc>
      </w:tr>
      <w:tr w:rsidR="00B77EA3" w:rsidRPr="0082484A" w14:paraId="3B58BE64" w14:textId="77777777" w:rsidTr="0082484A">
        <w:tc>
          <w:tcPr>
            <w:tcW w:w="8075" w:type="dxa"/>
          </w:tcPr>
          <w:p w14:paraId="35A311BF" w14:textId="77777777" w:rsidR="00B77EA3" w:rsidRPr="0082484A" w:rsidRDefault="00B77EA3" w:rsidP="00B77EA3">
            <w:pPr>
              <w:spacing w:before="0"/>
              <w:rPr>
                <w:sz w:val="22"/>
                <w:szCs w:val="22"/>
              </w:rPr>
            </w:pPr>
            <w:r w:rsidRPr="0082484A">
              <w:rPr>
                <w:sz w:val="22"/>
                <w:szCs w:val="22"/>
              </w:rPr>
              <w:t>Median (Range)</w:t>
            </w:r>
          </w:p>
        </w:tc>
        <w:tc>
          <w:tcPr>
            <w:tcW w:w="3260" w:type="dxa"/>
            <w:vAlign w:val="center"/>
          </w:tcPr>
          <w:p w14:paraId="4BEC972A" w14:textId="77777777" w:rsidR="00B77EA3" w:rsidRPr="0082484A" w:rsidRDefault="00B77EA3" w:rsidP="00B77EA3">
            <w:pPr>
              <w:spacing w:before="0"/>
              <w:contextualSpacing/>
              <w:jc w:val="center"/>
              <w:rPr>
                <w:bCs/>
                <w:sz w:val="22"/>
                <w:szCs w:val="22"/>
              </w:rPr>
            </w:pPr>
            <w:r w:rsidRPr="0082484A">
              <w:rPr>
                <w:bCs/>
                <w:sz w:val="22"/>
                <w:szCs w:val="22"/>
              </w:rPr>
              <w:t>84.53% (66.43%, 90.45%)</w:t>
            </w:r>
          </w:p>
        </w:tc>
        <w:tc>
          <w:tcPr>
            <w:tcW w:w="2977" w:type="dxa"/>
            <w:vAlign w:val="center"/>
          </w:tcPr>
          <w:p w14:paraId="4E700ABC" w14:textId="77777777" w:rsidR="00B77EA3" w:rsidRPr="0082484A" w:rsidRDefault="00B77EA3" w:rsidP="00B77EA3">
            <w:pPr>
              <w:spacing w:before="0"/>
              <w:contextualSpacing/>
              <w:jc w:val="center"/>
              <w:rPr>
                <w:bCs/>
                <w:sz w:val="22"/>
                <w:szCs w:val="22"/>
              </w:rPr>
            </w:pPr>
            <w:r w:rsidRPr="0082484A">
              <w:rPr>
                <w:bCs/>
                <w:sz w:val="22"/>
                <w:szCs w:val="22"/>
              </w:rPr>
              <w:t>82.07% (73.78%, 92.66%)</w:t>
            </w:r>
          </w:p>
        </w:tc>
      </w:tr>
      <w:tr w:rsidR="00B77EA3" w:rsidRPr="0082484A" w14:paraId="4DD584F0" w14:textId="77777777" w:rsidTr="0082484A">
        <w:tc>
          <w:tcPr>
            <w:tcW w:w="8075" w:type="dxa"/>
          </w:tcPr>
          <w:p w14:paraId="568CD1FA" w14:textId="77777777" w:rsidR="00B77EA3" w:rsidRPr="0082484A" w:rsidRDefault="00B77EA3" w:rsidP="00B77EA3">
            <w:pPr>
              <w:spacing w:before="0"/>
              <w:rPr>
                <w:sz w:val="22"/>
                <w:szCs w:val="22"/>
              </w:rPr>
            </w:pPr>
          </w:p>
        </w:tc>
        <w:tc>
          <w:tcPr>
            <w:tcW w:w="3260" w:type="dxa"/>
            <w:vAlign w:val="center"/>
          </w:tcPr>
          <w:p w14:paraId="736040E1" w14:textId="77777777" w:rsidR="00B77EA3" w:rsidRPr="0082484A" w:rsidRDefault="00B77EA3" w:rsidP="00B77EA3">
            <w:pPr>
              <w:spacing w:before="0"/>
              <w:contextualSpacing/>
              <w:jc w:val="center"/>
              <w:rPr>
                <w:bCs/>
                <w:sz w:val="22"/>
                <w:szCs w:val="22"/>
              </w:rPr>
            </w:pPr>
          </w:p>
        </w:tc>
        <w:tc>
          <w:tcPr>
            <w:tcW w:w="2977" w:type="dxa"/>
            <w:vAlign w:val="center"/>
          </w:tcPr>
          <w:p w14:paraId="4EA5E881" w14:textId="77777777" w:rsidR="00B77EA3" w:rsidRPr="0082484A" w:rsidRDefault="00B77EA3" w:rsidP="00B77EA3">
            <w:pPr>
              <w:spacing w:before="0"/>
              <w:contextualSpacing/>
              <w:jc w:val="center"/>
              <w:rPr>
                <w:bCs/>
                <w:sz w:val="22"/>
                <w:szCs w:val="22"/>
              </w:rPr>
            </w:pPr>
          </w:p>
        </w:tc>
      </w:tr>
      <w:tr w:rsidR="00B77EA3" w:rsidRPr="0082484A" w14:paraId="0A3C7BEA" w14:textId="77777777" w:rsidTr="0082484A">
        <w:tc>
          <w:tcPr>
            <w:tcW w:w="8075" w:type="dxa"/>
          </w:tcPr>
          <w:p w14:paraId="1359D07E" w14:textId="77777777" w:rsidR="00B77EA3" w:rsidRPr="0082484A" w:rsidRDefault="00B77EA3" w:rsidP="00B77EA3">
            <w:pPr>
              <w:spacing w:before="0"/>
              <w:rPr>
                <w:sz w:val="22"/>
                <w:szCs w:val="22"/>
              </w:rPr>
            </w:pPr>
            <w:r w:rsidRPr="0082484A">
              <w:rPr>
                <w:sz w:val="22"/>
                <w:szCs w:val="22"/>
              </w:rPr>
              <w:t>The percentage of patients with a history of stroke or transient ischemic attack in whom the last blood pressure reading (measured in the preceding 12 months) is 150/90 mmHg or less (STIA003)</w:t>
            </w:r>
          </w:p>
        </w:tc>
        <w:tc>
          <w:tcPr>
            <w:tcW w:w="3260" w:type="dxa"/>
            <w:vAlign w:val="center"/>
          </w:tcPr>
          <w:p w14:paraId="77A03B6D" w14:textId="77777777" w:rsidR="00B77EA3" w:rsidRPr="0082484A" w:rsidRDefault="00B77EA3" w:rsidP="00B77EA3">
            <w:pPr>
              <w:spacing w:before="0"/>
              <w:contextualSpacing/>
              <w:jc w:val="center"/>
              <w:rPr>
                <w:bCs/>
                <w:sz w:val="22"/>
                <w:szCs w:val="22"/>
              </w:rPr>
            </w:pPr>
          </w:p>
        </w:tc>
        <w:tc>
          <w:tcPr>
            <w:tcW w:w="2977" w:type="dxa"/>
            <w:vAlign w:val="center"/>
          </w:tcPr>
          <w:p w14:paraId="5914B3A4" w14:textId="77777777" w:rsidR="00B77EA3" w:rsidRPr="0082484A" w:rsidRDefault="00B77EA3" w:rsidP="00B77EA3">
            <w:pPr>
              <w:spacing w:before="0"/>
              <w:contextualSpacing/>
              <w:jc w:val="center"/>
              <w:rPr>
                <w:bCs/>
                <w:sz w:val="22"/>
                <w:szCs w:val="22"/>
              </w:rPr>
            </w:pPr>
          </w:p>
        </w:tc>
      </w:tr>
      <w:tr w:rsidR="00B77EA3" w:rsidRPr="0082484A" w14:paraId="303A87F4" w14:textId="77777777" w:rsidTr="0082484A">
        <w:tc>
          <w:tcPr>
            <w:tcW w:w="8075" w:type="dxa"/>
          </w:tcPr>
          <w:p w14:paraId="4D6A719C" w14:textId="77777777" w:rsidR="00B77EA3" w:rsidRPr="0082484A" w:rsidRDefault="00B77EA3" w:rsidP="00B77EA3">
            <w:pPr>
              <w:spacing w:before="0"/>
              <w:rPr>
                <w:sz w:val="22"/>
                <w:szCs w:val="22"/>
              </w:rPr>
            </w:pPr>
            <w:r w:rsidRPr="0082484A">
              <w:rPr>
                <w:sz w:val="22"/>
                <w:szCs w:val="22"/>
              </w:rPr>
              <w:t>Mean (SD)</w:t>
            </w:r>
          </w:p>
        </w:tc>
        <w:tc>
          <w:tcPr>
            <w:tcW w:w="3260" w:type="dxa"/>
            <w:vAlign w:val="center"/>
          </w:tcPr>
          <w:p w14:paraId="079550F5" w14:textId="77777777" w:rsidR="00B77EA3" w:rsidRPr="0082484A" w:rsidRDefault="00B77EA3" w:rsidP="00B77EA3">
            <w:pPr>
              <w:spacing w:before="0"/>
              <w:contextualSpacing/>
              <w:jc w:val="center"/>
              <w:rPr>
                <w:bCs/>
                <w:sz w:val="22"/>
                <w:szCs w:val="22"/>
              </w:rPr>
            </w:pPr>
            <w:r w:rsidRPr="0082484A">
              <w:rPr>
                <w:bCs/>
                <w:sz w:val="22"/>
                <w:szCs w:val="22"/>
              </w:rPr>
              <w:t>87.75% (5.60%)</w:t>
            </w:r>
          </w:p>
        </w:tc>
        <w:tc>
          <w:tcPr>
            <w:tcW w:w="2977" w:type="dxa"/>
            <w:vAlign w:val="center"/>
          </w:tcPr>
          <w:p w14:paraId="064F6DF8" w14:textId="77777777" w:rsidR="00B77EA3" w:rsidRPr="0082484A" w:rsidRDefault="00B77EA3" w:rsidP="00B77EA3">
            <w:pPr>
              <w:spacing w:before="0"/>
              <w:contextualSpacing/>
              <w:jc w:val="center"/>
              <w:rPr>
                <w:bCs/>
                <w:sz w:val="22"/>
                <w:szCs w:val="22"/>
              </w:rPr>
            </w:pPr>
            <w:r w:rsidRPr="0082484A">
              <w:rPr>
                <w:bCs/>
                <w:sz w:val="22"/>
                <w:szCs w:val="22"/>
              </w:rPr>
              <w:t>87.73% (5.97%)</w:t>
            </w:r>
          </w:p>
        </w:tc>
      </w:tr>
      <w:tr w:rsidR="00B77EA3" w:rsidRPr="0082484A" w14:paraId="52C70780" w14:textId="77777777" w:rsidTr="0082484A">
        <w:tc>
          <w:tcPr>
            <w:tcW w:w="8075" w:type="dxa"/>
          </w:tcPr>
          <w:p w14:paraId="507E72B5" w14:textId="77777777" w:rsidR="00B77EA3" w:rsidRPr="0082484A" w:rsidRDefault="00B77EA3" w:rsidP="00B77EA3">
            <w:pPr>
              <w:spacing w:before="0"/>
              <w:rPr>
                <w:sz w:val="22"/>
                <w:szCs w:val="22"/>
              </w:rPr>
            </w:pPr>
            <w:r w:rsidRPr="0082484A">
              <w:rPr>
                <w:sz w:val="22"/>
                <w:szCs w:val="22"/>
              </w:rPr>
              <w:t>Median (Range)</w:t>
            </w:r>
          </w:p>
        </w:tc>
        <w:tc>
          <w:tcPr>
            <w:tcW w:w="3260" w:type="dxa"/>
            <w:vAlign w:val="center"/>
          </w:tcPr>
          <w:p w14:paraId="1E036625" w14:textId="77777777" w:rsidR="00B77EA3" w:rsidRPr="0082484A" w:rsidRDefault="00B77EA3" w:rsidP="00B77EA3">
            <w:pPr>
              <w:spacing w:before="0"/>
              <w:contextualSpacing/>
              <w:jc w:val="center"/>
              <w:rPr>
                <w:bCs/>
                <w:sz w:val="22"/>
                <w:szCs w:val="22"/>
              </w:rPr>
            </w:pPr>
            <w:r w:rsidRPr="0082484A">
              <w:rPr>
                <w:bCs/>
                <w:sz w:val="22"/>
                <w:szCs w:val="22"/>
              </w:rPr>
              <w:t>88.61% (71.26%, 96.03%)</w:t>
            </w:r>
          </w:p>
        </w:tc>
        <w:tc>
          <w:tcPr>
            <w:tcW w:w="2977" w:type="dxa"/>
            <w:vAlign w:val="center"/>
          </w:tcPr>
          <w:p w14:paraId="03724B7F" w14:textId="77777777" w:rsidR="00B77EA3" w:rsidRPr="0082484A" w:rsidRDefault="00B77EA3" w:rsidP="00B77EA3">
            <w:pPr>
              <w:spacing w:before="0"/>
              <w:contextualSpacing/>
              <w:jc w:val="center"/>
              <w:rPr>
                <w:bCs/>
                <w:sz w:val="22"/>
                <w:szCs w:val="22"/>
              </w:rPr>
            </w:pPr>
            <w:r w:rsidRPr="0082484A">
              <w:rPr>
                <w:bCs/>
                <w:sz w:val="22"/>
                <w:szCs w:val="22"/>
              </w:rPr>
              <w:t>87.20% (76.00%, 100.00%)</w:t>
            </w:r>
          </w:p>
        </w:tc>
      </w:tr>
      <w:tr w:rsidR="00B77EA3" w:rsidRPr="0082484A" w14:paraId="11CCC758" w14:textId="77777777" w:rsidTr="0082484A">
        <w:tc>
          <w:tcPr>
            <w:tcW w:w="8075" w:type="dxa"/>
          </w:tcPr>
          <w:p w14:paraId="38779477" w14:textId="77777777" w:rsidR="00B77EA3" w:rsidRPr="0082484A" w:rsidRDefault="00B77EA3" w:rsidP="00B77EA3">
            <w:pPr>
              <w:spacing w:before="0"/>
              <w:rPr>
                <w:sz w:val="22"/>
                <w:szCs w:val="22"/>
              </w:rPr>
            </w:pPr>
          </w:p>
        </w:tc>
        <w:tc>
          <w:tcPr>
            <w:tcW w:w="3260" w:type="dxa"/>
            <w:vAlign w:val="center"/>
          </w:tcPr>
          <w:p w14:paraId="5E876056" w14:textId="77777777" w:rsidR="00B77EA3" w:rsidRPr="0082484A" w:rsidRDefault="00B77EA3" w:rsidP="00B77EA3">
            <w:pPr>
              <w:spacing w:before="0"/>
              <w:contextualSpacing/>
              <w:jc w:val="center"/>
              <w:rPr>
                <w:bCs/>
                <w:sz w:val="22"/>
                <w:szCs w:val="22"/>
              </w:rPr>
            </w:pPr>
          </w:p>
        </w:tc>
        <w:tc>
          <w:tcPr>
            <w:tcW w:w="2977" w:type="dxa"/>
            <w:vAlign w:val="center"/>
          </w:tcPr>
          <w:p w14:paraId="0A87AB8C" w14:textId="77777777" w:rsidR="00B77EA3" w:rsidRPr="0082484A" w:rsidRDefault="00B77EA3" w:rsidP="00B77EA3">
            <w:pPr>
              <w:spacing w:before="0"/>
              <w:contextualSpacing/>
              <w:jc w:val="center"/>
              <w:rPr>
                <w:bCs/>
                <w:sz w:val="22"/>
                <w:szCs w:val="22"/>
              </w:rPr>
            </w:pPr>
          </w:p>
        </w:tc>
      </w:tr>
    </w:tbl>
    <w:p w14:paraId="78083842" w14:textId="77777777" w:rsidR="00B77EA3" w:rsidRPr="0082484A" w:rsidRDefault="00B77EA3" w:rsidP="00B77EA3">
      <w:pPr>
        <w:spacing w:before="0" w:line="240" w:lineRule="auto"/>
        <w:contextualSpacing/>
        <w:rPr>
          <w:bCs/>
          <w:sz w:val="22"/>
          <w:szCs w:val="22"/>
        </w:rPr>
      </w:pPr>
    </w:p>
    <w:p w14:paraId="6E632C24" w14:textId="77777777" w:rsidR="00B77EA3" w:rsidRPr="0082484A" w:rsidRDefault="00B77EA3" w:rsidP="00B77EA3">
      <w:pPr>
        <w:spacing w:before="0" w:line="240" w:lineRule="auto"/>
        <w:contextualSpacing/>
        <w:rPr>
          <w:bCs/>
          <w:sz w:val="22"/>
          <w:szCs w:val="22"/>
        </w:rPr>
      </w:pPr>
      <w:r w:rsidRPr="0082484A">
        <w:rPr>
          <w:bCs/>
          <w:sz w:val="22"/>
          <w:szCs w:val="22"/>
        </w:rPr>
        <w:t>Footnote: Two practices in the blood pressure control intervention arm had missing data for all QOF indicators</w:t>
      </w:r>
    </w:p>
    <w:p w14:paraId="6DA15E22" w14:textId="77777777" w:rsidR="00B77EA3" w:rsidRPr="0082484A" w:rsidRDefault="00B77EA3" w:rsidP="00B77EA3">
      <w:pPr>
        <w:spacing w:before="0" w:line="240" w:lineRule="auto"/>
        <w:rPr>
          <w:bCs/>
          <w:sz w:val="22"/>
          <w:szCs w:val="22"/>
        </w:rPr>
      </w:pPr>
      <w:bookmarkStart w:id="218" w:name="_Ref502918074"/>
      <w:r w:rsidRPr="0082484A">
        <w:rPr>
          <w:bCs/>
          <w:sz w:val="22"/>
          <w:szCs w:val="22"/>
        </w:rPr>
        <w:br w:type="page"/>
      </w:r>
    </w:p>
    <w:p w14:paraId="738996F1" w14:textId="65289A99" w:rsidR="00B77EA3" w:rsidRPr="0082484A" w:rsidRDefault="00B77EA3" w:rsidP="00B77EA3">
      <w:pPr>
        <w:spacing w:before="0" w:line="240" w:lineRule="auto"/>
        <w:rPr>
          <w:bCs/>
          <w:sz w:val="22"/>
          <w:szCs w:val="22"/>
        </w:rPr>
      </w:pPr>
      <w:bookmarkStart w:id="219" w:name="_Ref8647385"/>
      <w:bookmarkStart w:id="220" w:name="_Toc8728134"/>
      <w:bookmarkStart w:id="221" w:name="_Toc19526789"/>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60</w:t>
      </w:r>
      <w:r w:rsidRPr="0082484A">
        <w:rPr>
          <w:bCs/>
          <w:noProof/>
          <w:sz w:val="22"/>
          <w:szCs w:val="22"/>
        </w:rPr>
        <w:fldChar w:fldCharType="end"/>
      </w:r>
      <w:bookmarkEnd w:id="218"/>
      <w:bookmarkEnd w:id="219"/>
      <w:r w:rsidRPr="0082484A">
        <w:rPr>
          <w:bCs/>
          <w:sz w:val="22"/>
          <w:szCs w:val="22"/>
        </w:rPr>
        <w:t>: Secondary outcome for Trial 2: Summary of practice level adherence to QOF indicators related to the anticoagulation in atrial fibrillation indicators (WP4a)</w:t>
      </w:r>
      <w:bookmarkEnd w:id="220"/>
      <w:bookmarkEnd w:id="221"/>
    </w:p>
    <w:p w14:paraId="00708341" w14:textId="77777777" w:rsidR="00B77EA3" w:rsidRPr="0082484A" w:rsidRDefault="00B77EA3" w:rsidP="00B77EA3">
      <w:pPr>
        <w:spacing w:before="0" w:line="240" w:lineRule="auto"/>
        <w:contextualSpacing/>
        <w:rPr>
          <w:bCs/>
          <w:sz w:val="22"/>
          <w:szCs w:val="22"/>
        </w:rPr>
      </w:pPr>
    </w:p>
    <w:tbl>
      <w:tblPr>
        <w:tblStyle w:val="TableGrid"/>
        <w:tblW w:w="14596" w:type="dxa"/>
        <w:tblLook w:val="04A0" w:firstRow="1" w:lastRow="0" w:firstColumn="1" w:lastColumn="0" w:noHBand="0" w:noVBand="1"/>
      </w:tblPr>
      <w:tblGrid>
        <w:gridCol w:w="8642"/>
        <w:gridCol w:w="2977"/>
        <w:gridCol w:w="2977"/>
      </w:tblGrid>
      <w:tr w:rsidR="00B77EA3" w:rsidRPr="0082484A" w14:paraId="31EAFF4F" w14:textId="77777777" w:rsidTr="0082484A">
        <w:tc>
          <w:tcPr>
            <w:tcW w:w="8642" w:type="dxa"/>
          </w:tcPr>
          <w:p w14:paraId="77681712" w14:textId="77777777" w:rsidR="00B77EA3" w:rsidRPr="0082484A" w:rsidRDefault="00B77EA3" w:rsidP="00B77EA3">
            <w:pPr>
              <w:spacing w:before="0"/>
              <w:rPr>
                <w:sz w:val="22"/>
                <w:szCs w:val="22"/>
              </w:rPr>
            </w:pPr>
            <w:r w:rsidRPr="0082484A">
              <w:rPr>
                <w:sz w:val="22"/>
                <w:szCs w:val="22"/>
              </w:rPr>
              <w:t>QOF indicator</w:t>
            </w:r>
          </w:p>
          <w:p w14:paraId="6F4A1229" w14:textId="77777777" w:rsidR="00B77EA3" w:rsidRPr="0082484A" w:rsidRDefault="00B77EA3" w:rsidP="00B77EA3">
            <w:pPr>
              <w:spacing w:before="0"/>
              <w:rPr>
                <w:sz w:val="22"/>
                <w:szCs w:val="22"/>
              </w:rPr>
            </w:pPr>
          </w:p>
        </w:tc>
        <w:tc>
          <w:tcPr>
            <w:tcW w:w="2977" w:type="dxa"/>
          </w:tcPr>
          <w:p w14:paraId="07A7A79C" w14:textId="77777777" w:rsidR="00B77EA3" w:rsidRPr="0082484A" w:rsidRDefault="00B77EA3" w:rsidP="00B77EA3">
            <w:pPr>
              <w:spacing w:before="0"/>
              <w:jc w:val="center"/>
              <w:rPr>
                <w:sz w:val="22"/>
                <w:szCs w:val="22"/>
              </w:rPr>
            </w:pPr>
            <w:r w:rsidRPr="0082484A">
              <w:rPr>
                <w:sz w:val="22"/>
                <w:szCs w:val="22"/>
              </w:rPr>
              <w:t>Anticoagulation in atrial fibrillation package (n=32)</w:t>
            </w:r>
          </w:p>
        </w:tc>
        <w:tc>
          <w:tcPr>
            <w:tcW w:w="2977" w:type="dxa"/>
          </w:tcPr>
          <w:p w14:paraId="45D5B0C3" w14:textId="77777777" w:rsidR="00B77EA3" w:rsidRPr="0082484A" w:rsidRDefault="00B77EA3" w:rsidP="00B77EA3">
            <w:pPr>
              <w:spacing w:before="0"/>
              <w:jc w:val="center"/>
              <w:rPr>
                <w:sz w:val="22"/>
                <w:szCs w:val="22"/>
              </w:rPr>
            </w:pPr>
            <w:r w:rsidRPr="0082484A">
              <w:rPr>
                <w:sz w:val="22"/>
                <w:szCs w:val="22"/>
              </w:rPr>
              <w:t>Control (blood pressure control package) (n=32)</w:t>
            </w:r>
          </w:p>
        </w:tc>
      </w:tr>
      <w:tr w:rsidR="00B77EA3" w:rsidRPr="0082484A" w14:paraId="41BFA526" w14:textId="77777777" w:rsidTr="0082484A">
        <w:tc>
          <w:tcPr>
            <w:tcW w:w="8642" w:type="dxa"/>
          </w:tcPr>
          <w:p w14:paraId="1F5144B4" w14:textId="77777777" w:rsidR="00B77EA3" w:rsidRPr="0082484A" w:rsidRDefault="00B77EA3" w:rsidP="00B77EA3">
            <w:pPr>
              <w:spacing w:before="0"/>
              <w:rPr>
                <w:sz w:val="22"/>
                <w:szCs w:val="22"/>
              </w:rPr>
            </w:pPr>
            <w:r w:rsidRPr="0082484A">
              <w:rPr>
                <w:sz w:val="22"/>
                <w:szCs w:val="22"/>
              </w:rPr>
              <w:t>The percentage of patients with atrial fibrillation in whom stroke risk has been assessed using the CHA</w:t>
            </w:r>
            <w:r w:rsidRPr="0082484A">
              <w:rPr>
                <w:sz w:val="22"/>
                <w:szCs w:val="22"/>
                <w:vertAlign w:val="subscript"/>
              </w:rPr>
              <w:t>2</w:t>
            </w:r>
            <w:r w:rsidRPr="0082484A">
              <w:rPr>
                <w:sz w:val="22"/>
                <w:szCs w:val="22"/>
              </w:rPr>
              <w:t>DS</w:t>
            </w:r>
            <w:r w:rsidRPr="0082484A">
              <w:rPr>
                <w:sz w:val="22"/>
                <w:szCs w:val="22"/>
                <w:vertAlign w:val="subscript"/>
              </w:rPr>
              <w:t>2</w:t>
            </w:r>
            <w:r w:rsidRPr="0082484A">
              <w:rPr>
                <w:sz w:val="22"/>
                <w:szCs w:val="22"/>
              </w:rPr>
              <w:t>-VASc score risk stratification scoring system in the preceding 3 years (excluding those patients with a previous CHADS2 or CHA</w:t>
            </w:r>
            <w:r w:rsidRPr="0082484A">
              <w:rPr>
                <w:sz w:val="22"/>
                <w:szCs w:val="22"/>
                <w:vertAlign w:val="subscript"/>
              </w:rPr>
              <w:t>2</w:t>
            </w:r>
            <w:r w:rsidRPr="0082484A">
              <w:rPr>
                <w:sz w:val="22"/>
                <w:szCs w:val="22"/>
              </w:rPr>
              <w:t>DS</w:t>
            </w:r>
            <w:r w:rsidRPr="0082484A">
              <w:rPr>
                <w:sz w:val="22"/>
                <w:szCs w:val="22"/>
                <w:vertAlign w:val="subscript"/>
              </w:rPr>
              <w:t>2</w:t>
            </w:r>
            <w:r w:rsidRPr="0082484A">
              <w:rPr>
                <w:sz w:val="22"/>
                <w:szCs w:val="22"/>
              </w:rPr>
              <w:t>-VASc score of 2 or more) (AF006)</w:t>
            </w:r>
          </w:p>
        </w:tc>
        <w:tc>
          <w:tcPr>
            <w:tcW w:w="2977" w:type="dxa"/>
          </w:tcPr>
          <w:p w14:paraId="0BC5806A" w14:textId="77777777" w:rsidR="00B77EA3" w:rsidRPr="0082484A" w:rsidRDefault="00B77EA3" w:rsidP="00B77EA3">
            <w:pPr>
              <w:spacing w:before="0"/>
              <w:rPr>
                <w:sz w:val="22"/>
                <w:szCs w:val="22"/>
              </w:rPr>
            </w:pPr>
          </w:p>
        </w:tc>
        <w:tc>
          <w:tcPr>
            <w:tcW w:w="2977" w:type="dxa"/>
          </w:tcPr>
          <w:p w14:paraId="32DC1FE0" w14:textId="77777777" w:rsidR="00B77EA3" w:rsidRPr="0082484A" w:rsidRDefault="00B77EA3" w:rsidP="00B77EA3">
            <w:pPr>
              <w:spacing w:before="0"/>
              <w:rPr>
                <w:sz w:val="22"/>
                <w:szCs w:val="22"/>
              </w:rPr>
            </w:pPr>
          </w:p>
        </w:tc>
      </w:tr>
      <w:tr w:rsidR="00B77EA3" w:rsidRPr="0082484A" w14:paraId="5543DEF3" w14:textId="77777777" w:rsidTr="0082484A">
        <w:tc>
          <w:tcPr>
            <w:tcW w:w="8642" w:type="dxa"/>
          </w:tcPr>
          <w:p w14:paraId="702F754C" w14:textId="77777777" w:rsidR="00B77EA3" w:rsidRPr="0082484A" w:rsidRDefault="00B77EA3" w:rsidP="00B77EA3">
            <w:pPr>
              <w:spacing w:before="0"/>
              <w:rPr>
                <w:sz w:val="22"/>
                <w:szCs w:val="22"/>
              </w:rPr>
            </w:pPr>
            <w:r w:rsidRPr="0082484A">
              <w:rPr>
                <w:sz w:val="22"/>
                <w:szCs w:val="22"/>
              </w:rPr>
              <w:t>Mean (SD)</w:t>
            </w:r>
          </w:p>
        </w:tc>
        <w:tc>
          <w:tcPr>
            <w:tcW w:w="2977" w:type="dxa"/>
            <w:vAlign w:val="center"/>
          </w:tcPr>
          <w:p w14:paraId="67B3E449" w14:textId="77777777" w:rsidR="00B77EA3" w:rsidRPr="0082484A" w:rsidRDefault="00B77EA3" w:rsidP="00B77EA3">
            <w:pPr>
              <w:spacing w:before="0"/>
              <w:contextualSpacing/>
              <w:jc w:val="center"/>
              <w:rPr>
                <w:bCs/>
                <w:sz w:val="22"/>
                <w:szCs w:val="22"/>
              </w:rPr>
            </w:pPr>
            <w:r w:rsidRPr="0082484A">
              <w:rPr>
                <w:bCs/>
                <w:sz w:val="22"/>
                <w:szCs w:val="22"/>
              </w:rPr>
              <w:t>97.05% (3.91%)</w:t>
            </w:r>
          </w:p>
        </w:tc>
        <w:tc>
          <w:tcPr>
            <w:tcW w:w="2977" w:type="dxa"/>
            <w:vAlign w:val="center"/>
          </w:tcPr>
          <w:p w14:paraId="7B49B223" w14:textId="77777777" w:rsidR="00B77EA3" w:rsidRPr="0082484A" w:rsidRDefault="00B77EA3" w:rsidP="00B77EA3">
            <w:pPr>
              <w:spacing w:before="0"/>
              <w:contextualSpacing/>
              <w:jc w:val="center"/>
              <w:rPr>
                <w:bCs/>
                <w:sz w:val="22"/>
                <w:szCs w:val="22"/>
              </w:rPr>
            </w:pPr>
            <w:r w:rsidRPr="0082484A">
              <w:rPr>
                <w:bCs/>
                <w:sz w:val="22"/>
                <w:szCs w:val="22"/>
              </w:rPr>
              <w:t>96.88% (3.38%)</w:t>
            </w:r>
          </w:p>
        </w:tc>
      </w:tr>
      <w:tr w:rsidR="00B77EA3" w:rsidRPr="0082484A" w14:paraId="3F64BFF5" w14:textId="77777777" w:rsidTr="0082484A">
        <w:tc>
          <w:tcPr>
            <w:tcW w:w="8642" w:type="dxa"/>
          </w:tcPr>
          <w:p w14:paraId="27CD0265" w14:textId="77777777" w:rsidR="00B77EA3" w:rsidRPr="0082484A" w:rsidRDefault="00B77EA3" w:rsidP="00B77EA3">
            <w:pPr>
              <w:spacing w:before="0"/>
              <w:rPr>
                <w:sz w:val="22"/>
                <w:szCs w:val="22"/>
              </w:rPr>
            </w:pPr>
            <w:r w:rsidRPr="0082484A">
              <w:rPr>
                <w:sz w:val="22"/>
                <w:szCs w:val="22"/>
              </w:rPr>
              <w:t>Median (Range)</w:t>
            </w:r>
          </w:p>
        </w:tc>
        <w:tc>
          <w:tcPr>
            <w:tcW w:w="2977" w:type="dxa"/>
            <w:vAlign w:val="center"/>
          </w:tcPr>
          <w:p w14:paraId="7EE1A8AA" w14:textId="77777777" w:rsidR="00B77EA3" w:rsidRPr="0082484A" w:rsidRDefault="00B77EA3" w:rsidP="00B77EA3">
            <w:pPr>
              <w:spacing w:before="0"/>
              <w:contextualSpacing/>
              <w:jc w:val="center"/>
              <w:rPr>
                <w:bCs/>
                <w:sz w:val="22"/>
                <w:szCs w:val="22"/>
              </w:rPr>
            </w:pPr>
            <w:r w:rsidRPr="0082484A">
              <w:rPr>
                <w:bCs/>
                <w:sz w:val="22"/>
                <w:szCs w:val="22"/>
              </w:rPr>
              <w:t>99.18% (85.47%, 100.00%)</w:t>
            </w:r>
          </w:p>
        </w:tc>
        <w:tc>
          <w:tcPr>
            <w:tcW w:w="2977" w:type="dxa"/>
            <w:vAlign w:val="center"/>
          </w:tcPr>
          <w:p w14:paraId="32108901" w14:textId="77777777" w:rsidR="00B77EA3" w:rsidRPr="0082484A" w:rsidRDefault="00B77EA3" w:rsidP="00B77EA3">
            <w:pPr>
              <w:spacing w:before="0"/>
              <w:contextualSpacing/>
              <w:jc w:val="center"/>
              <w:rPr>
                <w:bCs/>
                <w:sz w:val="22"/>
                <w:szCs w:val="22"/>
              </w:rPr>
            </w:pPr>
            <w:r w:rsidRPr="0082484A">
              <w:rPr>
                <w:bCs/>
                <w:sz w:val="22"/>
                <w:szCs w:val="22"/>
              </w:rPr>
              <w:t>98.40% (87.68%, 100.00%)</w:t>
            </w:r>
          </w:p>
        </w:tc>
      </w:tr>
      <w:tr w:rsidR="00B77EA3" w:rsidRPr="0082484A" w14:paraId="3D765653" w14:textId="77777777" w:rsidTr="0082484A">
        <w:tc>
          <w:tcPr>
            <w:tcW w:w="8642" w:type="dxa"/>
          </w:tcPr>
          <w:p w14:paraId="1724F69E" w14:textId="77777777" w:rsidR="00B77EA3" w:rsidRPr="0082484A" w:rsidRDefault="00B77EA3" w:rsidP="00B77EA3">
            <w:pPr>
              <w:spacing w:before="0"/>
              <w:rPr>
                <w:sz w:val="22"/>
                <w:szCs w:val="22"/>
              </w:rPr>
            </w:pPr>
          </w:p>
        </w:tc>
        <w:tc>
          <w:tcPr>
            <w:tcW w:w="2977" w:type="dxa"/>
            <w:vAlign w:val="center"/>
          </w:tcPr>
          <w:p w14:paraId="0015D25C" w14:textId="77777777" w:rsidR="00B77EA3" w:rsidRPr="0082484A" w:rsidRDefault="00B77EA3" w:rsidP="00B77EA3">
            <w:pPr>
              <w:spacing w:before="0"/>
              <w:contextualSpacing/>
              <w:jc w:val="center"/>
              <w:rPr>
                <w:bCs/>
                <w:sz w:val="22"/>
                <w:szCs w:val="22"/>
              </w:rPr>
            </w:pPr>
          </w:p>
        </w:tc>
        <w:tc>
          <w:tcPr>
            <w:tcW w:w="2977" w:type="dxa"/>
            <w:vAlign w:val="center"/>
          </w:tcPr>
          <w:p w14:paraId="6033C76C" w14:textId="77777777" w:rsidR="00B77EA3" w:rsidRPr="0082484A" w:rsidRDefault="00B77EA3" w:rsidP="00B77EA3">
            <w:pPr>
              <w:spacing w:before="0"/>
              <w:contextualSpacing/>
              <w:jc w:val="center"/>
              <w:rPr>
                <w:bCs/>
                <w:sz w:val="22"/>
                <w:szCs w:val="22"/>
              </w:rPr>
            </w:pPr>
          </w:p>
        </w:tc>
      </w:tr>
      <w:tr w:rsidR="00B77EA3" w:rsidRPr="0082484A" w14:paraId="5CBFB921" w14:textId="77777777" w:rsidTr="0082484A">
        <w:tc>
          <w:tcPr>
            <w:tcW w:w="8642" w:type="dxa"/>
          </w:tcPr>
          <w:p w14:paraId="7FDA7854" w14:textId="77777777" w:rsidR="00B77EA3" w:rsidRPr="0082484A" w:rsidRDefault="00B77EA3" w:rsidP="00B77EA3">
            <w:pPr>
              <w:spacing w:before="0"/>
              <w:rPr>
                <w:sz w:val="22"/>
                <w:szCs w:val="22"/>
              </w:rPr>
            </w:pPr>
            <w:r w:rsidRPr="0082484A">
              <w:rPr>
                <w:sz w:val="22"/>
                <w:szCs w:val="22"/>
              </w:rPr>
              <w:t>In those patients with atrial fibrillation with a record of CHA</w:t>
            </w:r>
            <w:r w:rsidRPr="0082484A">
              <w:rPr>
                <w:sz w:val="22"/>
                <w:szCs w:val="22"/>
                <w:vertAlign w:val="subscript"/>
              </w:rPr>
              <w:t>2</w:t>
            </w:r>
            <w:r w:rsidRPr="0082484A">
              <w:rPr>
                <w:sz w:val="22"/>
                <w:szCs w:val="22"/>
              </w:rPr>
              <w:t>DS</w:t>
            </w:r>
            <w:r w:rsidRPr="0082484A">
              <w:rPr>
                <w:sz w:val="22"/>
                <w:szCs w:val="22"/>
                <w:vertAlign w:val="subscript"/>
              </w:rPr>
              <w:t>2</w:t>
            </w:r>
            <w:r w:rsidRPr="0082484A">
              <w:rPr>
                <w:sz w:val="22"/>
                <w:szCs w:val="22"/>
              </w:rPr>
              <w:t>-VASc score of 2 or more, the percentage of patients who are currently treated with anticoagulation drug therapy (AF007)</w:t>
            </w:r>
          </w:p>
        </w:tc>
        <w:tc>
          <w:tcPr>
            <w:tcW w:w="2977" w:type="dxa"/>
            <w:vAlign w:val="center"/>
          </w:tcPr>
          <w:p w14:paraId="7B4727F9" w14:textId="77777777" w:rsidR="00B77EA3" w:rsidRPr="0082484A" w:rsidRDefault="00B77EA3" w:rsidP="00B77EA3">
            <w:pPr>
              <w:spacing w:before="0"/>
              <w:contextualSpacing/>
              <w:jc w:val="center"/>
              <w:rPr>
                <w:bCs/>
                <w:sz w:val="22"/>
                <w:szCs w:val="22"/>
              </w:rPr>
            </w:pPr>
          </w:p>
        </w:tc>
        <w:tc>
          <w:tcPr>
            <w:tcW w:w="2977" w:type="dxa"/>
            <w:vAlign w:val="center"/>
          </w:tcPr>
          <w:p w14:paraId="73D5663A" w14:textId="77777777" w:rsidR="00B77EA3" w:rsidRPr="0082484A" w:rsidRDefault="00B77EA3" w:rsidP="00B77EA3">
            <w:pPr>
              <w:spacing w:before="0"/>
              <w:contextualSpacing/>
              <w:jc w:val="center"/>
              <w:rPr>
                <w:bCs/>
                <w:sz w:val="22"/>
                <w:szCs w:val="22"/>
              </w:rPr>
            </w:pPr>
          </w:p>
        </w:tc>
      </w:tr>
      <w:tr w:rsidR="00B77EA3" w:rsidRPr="0082484A" w14:paraId="7E5BF4DD" w14:textId="77777777" w:rsidTr="0082484A">
        <w:tc>
          <w:tcPr>
            <w:tcW w:w="8642" w:type="dxa"/>
          </w:tcPr>
          <w:p w14:paraId="422DFCC8" w14:textId="77777777" w:rsidR="00B77EA3" w:rsidRPr="0082484A" w:rsidRDefault="00B77EA3" w:rsidP="00B77EA3">
            <w:pPr>
              <w:spacing w:before="0"/>
              <w:rPr>
                <w:sz w:val="22"/>
                <w:szCs w:val="22"/>
              </w:rPr>
            </w:pPr>
            <w:r w:rsidRPr="0082484A">
              <w:rPr>
                <w:sz w:val="22"/>
                <w:szCs w:val="22"/>
              </w:rPr>
              <w:t>Mean (SD)</w:t>
            </w:r>
          </w:p>
        </w:tc>
        <w:tc>
          <w:tcPr>
            <w:tcW w:w="2977" w:type="dxa"/>
            <w:vAlign w:val="center"/>
          </w:tcPr>
          <w:p w14:paraId="79475DAB" w14:textId="77777777" w:rsidR="00B77EA3" w:rsidRPr="0082484A" w:rsidRDefault="00B77EA3" w:rsidP="00B77EA3">
            <w:pPr>
              <w:spacing w:before="0"/>
              <w:contextualSpacing/>
              <w:jc w:val="center"/>
              <w:rPr>
                <w:bCs/>
                <w:sz w:val="22"/>
                <w:szCs w:val="22"/>
              </w:rPr>
            </w:pPr>
            <w:r w:rsidRPr="0082484A">
              <w:rPr>
                <w:bCs/>
                <w:sz w:val="22"/>
                <w:szCs w:val="22"/>
              </w:rPr>
              <w:t>87.32% (9.89%)</w:t>
            </w:r>
          </w:p>
        </w:tc>
        <w:tc>
          <w:tcPr>
            <w:tcW w:w="2977" w:type="dxa"/>
            <w:vAlign w:val="center"/>
          </w:tcPr>
          <w:p w14:paraId="41E1613B" w14:textId="77777777" w:rsidR="00B77EA3" w:rsidRPr="0082484A" w:rsidRDefault="00B77EA3" w:rsidP="00B77EA3">
            <w:pPr>
              <w:spacing w:before="0"/>
              <w:contextualSpacing/>
              <w:jc w:val="center"/>
              <w:rPr>
                <w:bCs/>
                <w:sz w:val="22"/>
                <w:szCs w:val="22"/>
              </w:rPr>
            </w:pPr>
            <w:r w:rsidRPr="0082484A">
              <w:rPr>
                <w:bCs/>
                <w:sz w:val="22"/>
                <w:szCs w:val="22"/>
              </w:rPr>
              <w:t>86.21% (6.90%)</w:t>
            </w:r>
          </w:p>
        </w:tc>
      </w:tr>
      <w:tr w:rsidR="00B77EA3" w:rsidRPr="0082484A" w14:paraId="65D6DC3F" w14:textId="77777777" w:rsidTr="0082484A">
        <w:tc>
          <w:tcPr>
            <w:tcW w:w="8642" w:type="dxa"/>
          </w:tcPr>
          <w:p w14:paraId="28CDB9B9" w14:textId="77777777" w:rsidR="00B77EA3" w:rsidRPr="0082484A" w:rsidRDefault="00B77EA3" w:rsidP="00B77EA3">
            <w:pPr>
              <w:spacing w:before="0"/>
              <w:rPr>
                <w:sz w:val="22"/>
                <w:szCs w:val="22"/>
              </w:rPr>
            </w:pPr>
            <w:r w:rsidRPr="0082484A">
              <w:rPr>
                <w:sz w:val="22"/>
                <w:szCs w:val="22"/>
              </w:rPr>
              <w:t>Median (Range)</w:t>
            </w:r>
          </w:p>
        </w:tc>
        <w:tc>
          <w:tcPr>
            <w:tcW w:w="2977" w:type="dxa"/>
            <w:vAlign w:val="center"/>
          </w:tcPr>
          <w:p w14:paraId="775AB65C" w14:textId="77777777" w:rsidR="00B77EA3" w:rsidRPr="0082484A" w:rsidRDefault="00B77EA3" w:rsidP="00B77EA3">
            <w:pPr>
              <w:spacing w:before="0"/>
              <w:contextualSpacing/>
              <w:jc w:val="center"/>
              <w:rPr>
                <w:bCs/>
                <w:sz w:val="22"/>
                <w:szCs w:val="22"/>
              </w:rPr>
            </w:pPr>
            <w:r w:rsidRPr="0082484A">
              <w:rPr>
                <w:bCs/>
                <w:sz w:val="22"/>
                <w:szCs w:val="22"/>
              </w:rPr>
              <w:t>88.55% (70.31%, 100.00%)</w:t>
            </w:r>
          </w:p>
        </w:tc>
        <w:tc>
          <w:tcPr>
            <w:tcW w:w="2977" w:type="dxa"/>
            <w:vAlign w:val="center"/>
          </w:tcPr>
          <w:p w14:paraId="6E12E48D" w14:textId="77777777" w:rsidR="00B77EA3" w:rsidRPr="0082484A" w:rsidRDefault="00B77EA3" w:rsidP="00B77EA3">
            <w:pPr>
              <w:spacing w:before="0"/>
              <w:contextualSpacing/>
              <w:jc w:val="center"/>
              <w:rPr>
                <w:bCs/>
                <w:sz w:val="22"/>
                <w:szCs w:val="22"/>
              </w:rPr>
            </w:pPr>
            <w:r w:rsidRPr="0082484A">
              <w:rPr>
                <w:bCs/>
                <w:sz w:val="22"/>
                <w:szCs w:val="22"/>
              </w:rPr>
              <w:t>86.65% (72.73%, 100.00%)</w:t>
            </w:r>
          </w:p>
        </w:tc>
      </w:tr>
    </w:tbl>
    <w:p w14:paraId="7ECC53CB" w14:textId="77777777" w:rsidR="00B77EA3" w:rsidRPr="0082484A" w:rsidRDefault="00B77EA3" w:rsidP="00B77EA3">
      <w:pPr>
        <w:spacing w:before="0" w:line="240" w:lineRule="auto"/>
        <w:contextualSpacing/>
        <w:rPr>
          <w:bCs/>
          <w:sz w:val="22"/>
          <w:szCs w:val="22"/>
        </w:rPr>
      </w:pPr>
    </w:p>
    <w:p w14:paraId="7FB79D0F" w14:textId="77777777" w:rsidR="00B77EA3" w:rsidRPr="0082484A" w:rsidRDefault="00B77EA3" w:rsidP="00B77EA3">
      <w:pPr>
        <w:spacing w:before="0" w:line="240" w:lineRule="auto"/>
        <w:contextualSpacing/>
        <w:rPr>
          <w:bCs/>
          <w:sz w:val="22"/>
          <w:szCs w:val="22"/>
        </w:rPr>
      </w:pPr>
      <w:r w:rsidRPr="0082484A">
        <w:rPr>
          <w:bCs/>
          <w:sz w:val="22"/>
          <w:szCs w:val="22"/>
        </w:rPr>
        <w:t>Footnote 1: Modelling assumptions were violated for indicators AF006 and AF007, further statistical comparisons were not made for these indicators</w:t>
      </w:r>
    </w:p>
    <w:p w14:paraId="421154A4" w14:textId="77777777" w:rsidR="00B77EA3" w:rsidRPr="0082484A" w:rsidRDefault="00B77EA3" w:rsidP="00B77EA3">
      <w:pPr>
        <w:spacing w:before="0" w:line="240" w:lineRule="auto"/>
        <w:contextualSpacing/>
        <w:rPr>
          <w:bCs/>
          <w:sz w:val="22"/>
          <w:szCs w:val="22"/>
        </w:rPr>
      </w:pPr>
      <w:r w:rsidRPr="0082484A">
        <w:rPr>
          <w:bCs/>
          <w:sz w:val="22"/>
          <w:szCs w:val="22"/>
        </w:rPr>
        <w:t>Footnote 2: Two practices in the blood pressure control implementation package arm had missing data for all QOF indicators</w:t>
      </w:r>
      <w:bookmarkStart w:id="222" w:name="_Ref502918075"/>
      <w:r w:rsidRPr="0082484A">
        <w:rPr>
          <w:bCs/>
          <w:sz w:val="22"/>
          <w:szCs w:val="22"/>
        </w:rPr>
        <w:br w:type="page"/>
      </w:r>
    </w:p>
    <w:p w14:paraId="2DE8EBB9" w14:textId="6A0A20E7" w:rsidR="00B77EA3" w:rsidRPr="0082484A" w:rsidRDefault="00B77EA3" w:rsidP="00B77EA3">
      <w:pPr>
        <w:spacing w:before="0" w:line="240" w:lineRule="auto"/>
        <w:rPr>
          <w:bCs/>
          <w:sz w:val="22"/>
          <w:szCs w:val="22"/>
        </w:rPr>
      </w:pPr>
      <w:bookmarkStart w:id="223" w:name="_Ref8647388"/>
      <w:bookmarkStart w:id="224" w:name="_Toc8728135"/>
      <w:bookmarkStart w:id="225" w:name="_Toc19526790"/>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61</w:t>
      </w:r>
      <w:r w:rsidRPr="0082484A">
        <w:rPr>
          <w:bCs/>
          <w:noProof/>
          <w:sz w:val="22"/>
          <w:szCs w:val="22"/>
        </w:rPr>
        <w:fldChar w:fldCharType="end"/>
      </w:r>
      <w:bookmarkEnd w:id="222"/>
      <w:bookmarkEnd w:id="223"/>
      <w:r w:rsidRPr="0082484A">
        <w:rPr>
          <w:bCs/>
          <w:sz w:val="22"/>
          <w:szCs w:val="22"/>
        </w:rPr>
        <w:t>: Summary of practice-level adherence to non-trial related QOF indicators (WP4a)</w:t>
      </w:r>
      <w:bookmarkEnd w:id="224"/>
      <w:bookmarkEnd w:id="225"/>
    </w:p>
    <w:tbl>
      <w:tblPr>
        <w:tblW w:w="16101" w:type="dxa"/>
        <w:jc w:val="center"/>
        <w:tblLayout w:type="fixed"/>
        <w:tblCellMar>
          <w:left w:w="0" w:type="dxa"/>
          <w:right w:w="0" w:type="dxa"/>
        </w:tblCellMar>
        <w:tblLook w:val="0000" w:firstRow="0" w:lastRow="0" w:firstColumn="0" w:lastColumn="0" w:noHBand="0" w:noVBand="0"/>
      </w:tblPr>
      <w:tblGrid>
        <w:gridCol w:w="5669"/>
        <w:gridCol w:w="2608"/>
        <w:gridCol w:w="2608"/>
        <w:gridCol w:w="2608"/>
        <w:gridCol w:w="2608"/>
      </w:tblGrid>
      <w:tr w:rsidR="00B77EA3" w:rsidRPr="0082484A" w14:paraId="12277FF6" w14:textId="77777777" w:rsidTr="00B77EA3">
        <w:trPr>
          <w:cantSplit/>
          <w:tblHeader/>
          <w:jc w:val="center"/>
        </w:trPr>
        <w:tc>
          <w:tcPr>
            <w:tcW w:w="5669"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BA7F15F"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QOF indicator</w:t>
            </w:r>
          </w:p>
        </w:tc>
        <w:tc>
          <w:tcPr>
            <w:tcW w:w="2608" w:type="dxa"/>
            <w:tcBorders>
              <w:top w:val="single" w:sz="11" w:space="0" w:color="000000"/>
              <w:left w:val="nil"/>
              <w:bottom w:val="single" w:sz="4" w:space="0" w:color="000000"/>
              <w:right w:val="nil"/>
            </w:tcBorders>
            <w:shd w:val="clear" w:color="auto" w:fill="FFFFFF"/>
            <w:tcMar>
              <w:left w:w="67" w:type="dxa"/>
              <w:right w:w="67" w:type="dxa"/>
            </w:tcMar>
            <w:vAlign w:val="center"/>
          </w:tcPr>
          <w:p w14:paraId="54E3A932" w14:textId="77777777" w:rsidR="00B77EA3" w:rsidRPr="0082484A" w:rsidRDefault="00B77EA3" w:rsidP="00B77EA3">
            <w:pPr>
              <w:adjustRightInd w:val="0"/>
              <w:spacing w:before="67" w:after="67" w:line="240" w:lineRule="auto"/>
              <w:jc w:val="center"/>
              <w:rPr>
                <w:bCs/>
                <w:color w:val="000000"/>
                <w:sz w:val="22"/>
                <w:szCs w:val="22"/>
              </w:rPr>
            </w:pPr>
            <w:r w:rsidRPr="0082484A">
              <w:rPr>
                <w:sz w:val="22"/>
                <w:szCs w:val="22"/>
              </w:rPr>
              <w:t>Diabetes control package (n=40)</w:t>
            </w:r>
          </w:p>
        </w:tc>
        <w:tc>
          <w:tcPr>
            <w:tcW w:w="2608" w:type="dxa"/>
            <w:tcBorders>
              <w:top w:val="single" w:sz="11" w:space="0" w:color="000000"/>
              <w:left w:val="nil"/>
              <w:bottom w:val="single" w:sz="4" w:space="0" w:color="000000"/>
              <w:right w:val="nil"/>
            </w:tcBorders>
            <w:shd w:val="clear" w:color="auto" w:fill="FFFFFF"/>
            <w:tcMar>
              <w:left w:w="67" w:type="dxa"/>
              <w:right w:w="67" w:type="dxa"/>
            </w:tcMar>
            <w:vAlign w:val="center"/>
          </w:tcPr>
          <w:p w14:paraId="3CDEBB48" w14:textId="77777777" w:rsidR="00B77EA3" w:rsidRPr="0082484A" w:rsidRDefault="00B77EA3" w:rsidP="00B77EA3">
            <w:pPr>
              <w:adjustRightInd w:val="0"/>
              <w:spacing w:before="67" w:after="67" w:line="240" w:lineRule="auto"/>
              <w:jc w:val="center"/>
              <w:rPr>
                <w:bCs/>
                <w:color w:val="000000"/>
                <w:sz w:val="22"/>
                <w:szCs w:val="22"/>
              </w:rPr>
            </w:pPr>
            <w:r w:rsidRPr="0082484A">
              <w:rPr>
                <w:sz w:val="22"/>
                <w:szCs w:val="22"/>
              </w:rPr>
              <w:t>Risky prescribing package (n=40)</w:t>
            </w:r>
          </w:p>
        </w:tc>
        <w:tc>
          <w:tcPr>
            <w:tcW w:w="2608" w:type="dxa"/>
            <w:tcBorders>
              <w:top w:val="single" w:sz="11" w:space="0" w:color="000000"/>
              <w:left w:val="nil"/>
              <w:bottom w:val="single" w:sz="4" w:space="0" w:color="000000"/>
              <w:right w:val="nil"/>
            </w:tcBorders>
            <w:shd w:val="clear" w:color="auto" w:fill="FFFFFF"/>
            <w:tcMar>
              <w:left w:w="67" w:type="dxa"/>
              <w:right w:w="67" w:type="dxa"/>
            </w:tcMar>
            <w:vAlign w:val="center"/>
          </w:tcPr>
          <w:p w14:paraId="47C38402" w14:textId="77777777" w:rsidR="00B77EA3" w:rsidRPr="0082484A" w:rsidRDefault="00B77EA3" w:rsidP="00B77EA3">
            <w:pPr>
              <w:adjustRightInd w:val="0"/>
              <w:spacing w:before="67" w:after="67" w:line="240" w:lineRule="auto"/>
              <w:jc w:val="center"/>
              <w:rPr>
                <w:bCs/>
                <w:color w:val="000000"/>
                <w:sz w:val="22"/>
                <w:szCs w:val="22"/>
              </w:rPr>
            </w:pPr>
            <w:r w:rsidRPr="0082484A">
              <w:rPr>
                <w:sz w:val="22"/>
                <w:szCs w:val="22"/>
              </w:rPr>
              <w:t>Blood pressure control package (n=32)</w:t>
            </w:r>
          </w:p>
        </w:tc>
        <w:tc>
          <w:tcPr>
            <w:tcW w:w="2608"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center"/>
          </w:tcPr>
          <w:p w14:paraId="32AC2C2D" w14:textId="77777777" w:rsidR="00B77EA3" w:rsidRPr="0082484A" w:rsidRDefault="00B77EA3" w:rsidP="00B77EA3">
            <w:pPr>
              <w:adjustRightInd w:val="0"/>
              <w:spacing w:before="67" w:after="67" w:line="240" w:lineRule="auto"/>
              <w:jc w:val="center"/>
              <w:rPr>
                <w:bCs/>
                <w:color w:val="000000"/>
                <w:sz w:val="22"/>
                <w:szCs w:val="22"/>
              </w:rPr>
            </w:pPr>
            <w:r w:rsidRPr="0082484A">
              <w:rPr>
                <w:sz w:val="22"/>
                <w:szCs w:val="22"/>
              </w:rPr>
              <w:t>Anticoagulation in atrial fibrillation package (n=32)</w:t>
            </w:r>
          </w:p>
        </w:tc>
      </w:tr>
      <w:tr w:rsidR="00B77EA3" w:rsidRPr="0082484A" w14:paraId="08DDE56A"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1064AA08"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asthma, on the register, who have had an asthma review in the preceding 12 months that includes an assessment of asthma control using the 3 RCP questions (AST003)</w:t>
            </w:r>
          </w:p>
        </w:tc>
        <w:tc>
          <w:tcPr>
            <w:tcW w:w="2608" w:type="dxa"/>
            <w:tcBorders>
              <w:top w:val="nil"/>
              <w:left w:val="nil"/>
              <w:bottom w:val="nil"/>
              <w:right w:val="nil"/>
            </w:tcBorders>
            <w:shd w:val="clear" w:color="auto" w:fill="FFFFFF"/>
            <w:tcMar>
              <w:left w:w="67" w:type="dxa"/>
              <w:right w:w="67" w:type="dxa"/>
            </w:tcMar>
            <w:vAlign w:val="center"/>
          </w:tcPr>
          <w:p w14:paraId="00DBA81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05CC09CB"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7FA07441"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4998E033"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6E9EADF1"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43B6C1AA"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55306C66"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77.41% (7.62%)</w:t>
            </w:r>
          </w:p>
        </w:tc>
        <w:tc>
          <w:tcPr>
            <w:tcW w:w="2608" w:type="dxa"/>
            <w:tcBorders>
              <w:top w:val="nil"/>
              <w:left w:val="nil"/>
              <w:bottom w:val="nil"/>
              <w:right w:val="nil"/>
            </w:tcBorders>
            <w:shd w:val="clear" w:color="auto" w:fill="FFFFFF"/>
            <w:tcMar>
              <w:left w:w="67" w:type="dxa"/>
              <w:right w:w="67" w:type="dxa"/>
            </w:tcMar>
            <w:vAlign w:val="center"/>
          </w:tcPr>
          <w:p w14:paraId="3DBB767F"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76.19% (7.64%)</w:t>
            </w:r>
          </w:p>
        </w:tc>
        <w:tc>
          <w:tcPr>
            <w:tcW w:w="2608" w:type="dxa"/>
            <w:tcBorders>
              <w:top w:val="nil"/>
              <w:left w:val="nil"/>
              <w:bottom w:val="nil"/>
              <w:right w:val="nil"/>
            </w:tcBorders>
            <w:shd w:val="clear" w:color="auto" w:fill="FFFFFF"/>
            <w:tcMar>
              <w:left w:w="67" w:type="dxa"/>
              <w:right w:w="67" w:type="dxa"/>
            </w:tcMar>
            <w:vAlign w:val="center"/>
          </w:tcPr>
          <w:p w14:paraId="5BBDC020"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77.04% (8.95%)</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9806B3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77.46% (7.81%)</w:t>
            </w:r>
          </w:p>
        </w:tc>
      </w:tr>
      <w:tr w:rsidR="00B77EA3" w:rsidRPr="0082484A" w14:paraId="7C40EAFB"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883EBE3"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57FD4EB0"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77.56% (48.20%, 93.15%)</w:t>
            </w:r>
          </w:p>
        </w:tc>
        <w:tc>
          <w:tcPr>
            <w:tcW w:w="2608" w:type="dxa"/>
            <w:tcBorders>
              <w:top w:val="nil"/>
              <w:left w:val="nil"/>
              <w:bottom w:val="nil"/>
              <w:right w:val="nil"/>
            </w:tcBorders>
            <w:shd w:val="clear" w:color="auto" w:fill="FFFFFF"/>
            <w:tcMar>
              <w:left w:w="67" w:type="dxa"/>
              <w:right w:w="67" w:type="dxa"/>
            </w:tcMar>
            <w:vAlign w:val="center"/>
          </w:tcPr>
          <w:p w14:paraId="2BC08D01"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74.84% (54.78%, 97.90%)</w:t>
            </w:r>
          </w:p>
        </w:tc>
        <w:tc>
          <w:tcPr>
            <w:tcW w:w="2608" w:type="dxa"/>
            <w:tcBorders>
              <w:top w:val="nil"/>
              <w:left w:val="nil"/>
              <w:bottom w:val="nil"/>
              <w:right w:val="nil"/>
            </w:tcBorders>
            <w:shd w:val="clear" w:color="auto" w:fill="FFFFFF"/>
            <w:tcMar>
              <w:left w:w="67" w:type="dxa"/>
              <w:right w:w="67" w:type="dxa"/>
            </w:tcMar>
            <w:vAlign w:val="center"/>
          </w:tcPr>
          <w:p w14:paraId="14EE3BC1"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76.89% (49.33%, 99.51%)</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2770D2B"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75.73% (64.62%, 98.89%)</w:t>
            </w:r>
          </w:p>
        </w:tc>
      </w:tr>
      <w:tr w:rsidR="00B77EA3" w:rsidRPr="0082484A" w14:paraId="10CCD1FF"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6183A082"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1B188DA"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2DBBCB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22E3375C"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01CF8277"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197981B7"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1CA0D10C"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coronary heart disease with a record in the preceding 12 months that aspirin, an alternative anti-platelet therapy, or an anti-coagulant is being taken (CHD005)</w:t>
            </w:r>
          </w:p>
        </w:tc>
        <w:tc>
          <w:tcPr>
            <w:tcW w:w="2608" w:type="dxa"/>
            <w:tcBorders>
              <w:top w:val="nil"/>
              <w:left w:val="nil"/>
              <w:bottom w:val="nil"/>
              <w:right w:val="nil"/>
            </w:tcBorders>
            <w:shd w:val="clear" w:color="auto" w:fill="FFFFFF"/>
            <w:tcMar>
              <w:left w:w="67" w:type="dxa"/>
              <w:right w:w="67" w:type="dxa"/>
            </w:tcMar>
            <w:vAlign w:val="center"/>
          </w:tcPr>
          <w:p w14:paraId="608086AF"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DBBD2CC"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992B32D"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BF0A1BC"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45E203BB"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657209D8"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62F07E6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96.08% (4.06%)</w:t>
            </w:r>
          </w:p>
        </w:tc>
        <w:tc>
          <w:tcPr>
            <w:tcW w:w="2608" w:type="dxa"/>
            <w:tcBorders>
              <w:top w:val="nil"/>
              <w:left w:val="nil"/>
              <w:bottom w:val="nil"/>
              <w:right w:val="nil"/>
            </w:tcBorders>
            <w:shd w:val="clear" w:color="auto" w:fill="FFFFFF"/>
            <w:tcMar>
              <w:left w:w="67" w:type="dxa"/>
              <w:right w:w="67" w:type="dxa"/>
            </w:tcMar>
            <w:vAlign w:val="center"/>
          </w:tcPr>
          <w:p w14:paraId="3F2F2F6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94.91% (3.55%)</w:t>
            </w:r>
          </w:p>
        </w:tc>
        <w:tc>
          <w:tcPr>
            <w:tcW w:w="2608" w:type="dxa"/>
            <w:tcBorders>
              <w:top w:val="nil"/>
              <w:left w:val="nil"/>
              <w:bottom w:val="nil"/>
              <w:right w:val="nil"/>
            </w:tcBorders>
            <w:shd w:val="clear" w:color="auto" w:fill="FFFFFF"/>
            <w:tcMar>
              <w:left w:w="67" w:type="dxa"/>
              <w:right w:w="67" w:type="dxa"/>
            </w:tcMar>
            <w:vAlign w:val="center"/>
          </w:tcPr>
          <w:p w14:paraId="103B774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93.68% (4.76%)</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45B192F"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95.06% (4.02%)</w:t>
            </w:r>
          </w:p>
        </w:tc>
      </w:tr>
      <w:tr w:rsidR="00B77EA3" w:rsidRPr="0082484A" w14:paraId="52694E39"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0AB5E6BE"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7F61B746"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96.94% (80.00%, 100.00%)</w:t>
            </w:r>
          </w:p>
        </w:tc>
        <w:tc>
          <w:tcPr>
            <w:tcW w:w="2608" w:type="dxa"/>
            <w:tcBorders>
              <w:top w:val="nil"/>
              <w:left w:val="nil"/>
              <w:bottom w:val="nil"/>
              <w:right w:val="nil"/>
            </w:tcBorders>
            <w:shd w:val="clear" w:color="auto" w:fill="FFFFFF"/>
            <w:tcMar>
              <w:left w:w="67" w:type="dxa"/>
              <w:right w:w="67" w:type="dxa"/>
            </w:tcMar>
            <w:vAlign w:val="center"/>
          </w:tcPr>
          <w:p w14:paraId="62C0F7BB"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96.08% (84.56%, 100.00%)</w:t>
            </w:r>
          </w:p>
        </w:tc>
        <w:tc>
          <w:tcPr>
            <w:tcW w:w="2608" w:type="dxa"/>
            <w:tcBorders>
              <w:top w:val="nil"/>
              <w:left w:val="nil"/>
              <w:bottom w:val="nil"/>
              <w:right w:val="nil"/>
            </w:tcBorders>
            <w:shd w:val="clear" w:color="auto" w:fill="FFFFFF"/>
            <w:tcMar>
              <w:left w:w="67" w:type="dxa"/>
              <w:right w:w="67" w:type="dxa"/>
            </w:tcMar>
            <w:vAlign w:val="center"/>
          </w:tcPr>
          <w:p w14:paraId="1FECB227"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94.54% (79.13%,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67B4740"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96.11% (84.39%, 100.00%)</w:t>
            </w:r>
          </w:p>
        </w:tc>
      </w:tr>
      <w:tr w:rsidR="00B77EA3" w:rsidRPr="0082484A" w14:paraId="1E7D3BDF"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2CEAB0BB"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428ACF79"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246311E"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9D735C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036B9A9"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358E1106"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456EABAF"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coronary heart disease who have had influenza immunisation in the preceding 1 August to 31 March (CHD007)</w:t>
            </w:r>
          </w:p>
        </w:tc>
        <w:tc>
          <w:tcPr>
            <w:tcW w:w="2608" w:type="dxa"/>
            <w:tcBorders>
              <w:top w:val="nil"/>
              <w:left w:val="nil"/>
              <w:bottom w:val="nil"/>
              <w:right w:val="nil"/>
            </w:tcBorders>
            <w:shd w:val="clear" w:color="auto" w:fill="FFFFFF"/>
            <w:tcMar>
              <w:left w:w="67" w:type="dxa"/>
              <w:right w:w="67" w:type="dxa"/>
            </w:tcMar>
            <w:vAlign w:val="center"/>
          </w:tcPr>
          <w:p w14:paraId="41BD31F7"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2329EF5"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B08E8C2"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FD62674"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33D38047"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262FE7B3"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16D893A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95.73% (6.76%)</w:t>
            </w:r>
          </w:p>
        </w:tc>
        <w:tc>
          <w:tcPr>
            <w:tcW w:w="2608" w:type="dxa"/>
            <w:tcBorders>
              <w:top w:val="nil"/>
              <w:left w:val="nil"/>
              <w:bottom w:val="nil"/>
              <w:right w:val="nil"/>
            </w:tcBorders>
            <w:shd w:val="clear" w:color="auto" w:fill="FFFFFF"/>
            <w:tcMar>
              <w:left w:w="67" w:type="dxa"/>
              <w:right w:w="67" w:type="dxa"/>
            </w:tcMar>
            <w:vAlign w:val="center"/>
          </w:tcPr>
          <w:p w14:paraId="0DA5F891"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96.82% (3.65%)</w:t>
            </w:r>
          </w:p>
        </w:tc>
        <w:tc>
          <w:tcPr>
            <w:tcW w:w="2608" w:type="dxa"/>
            <w:tcBorders>
              <w:top w:val="nil"/>
              <w:left w:val="nil"/>
              <w:bottom w:val="nil"/>
              <w:right w:val="nil"/>
            </w:tcBorders>
            <w:shd w:val="clear" w:color="auto" w:fill="FFFFFF"/>
            <w:tcMar>
              <w:left w:w="67" w:type="dxa"/>
              <w:right w:w="67" w:type="dxa"/>
            </w:tcMar>
            <w:vAlign w:val="center"/>
          </w:tcPr>
          <w:p w14:paraId="333D864D"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94.26% (5.85%)</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A56179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96.74% (3.89%)</w:t>
            </w:r>
          </w:p>
        </w:tc>
      </w:tr>
      <w:tr w:rsidR="00B77EA3" w:rsidRPr="0082484A" w14:paraId="1E35D68D"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3ECF2C4"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442A3447"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97.52% (60.00%, 100.00%)</w:t>
            </w:r>
          </w:p>
        </w:tc>
        <w:tc>
          <w:tcPr>
            <w:tcW w:w="2608" w:type="dxa"/>
            <w:tcBorders>
              <w:top w:val="nil"/>
              <w:left w:val="nil"/>
              <w:bottom w:val="nil"/>
              <w:right w:val="nil"/>
            </w:tcBorders>
            <w:shd w:val="clear" w:color="auto" w:fill="FFFFFF"/>
            <w:tcMar>
              <w:left w:w="67" w:type="dxa"/>
              <w:right w:w="67" w:type="dxa"/>
            </w:tcMar>
            <w:vAlign w:val="center"/>
          </w:tcPr>
          <w:p w14:paraId="222450ED"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97.67% (84.42%, 100.00%)</w:t>
            </w:r>
          </w:p>
        </w:tc>
        <w:tc>
          <w:tcPr>
            <w:tcW w:w="2608" w:type="dxa"/>
            <w:tcBorders>
              <w:top w:val="nil"/>
              <w:left w:val="nil"/>
              <w:bottom w:val="nil"/>
              <w:right w:val="nil"/>
            </w:tcBorders>
            <w:shd w:val="clear" w:color="auto" w:fill="FFFFFF"/>
            <w:tcMar>
              <w:left w:w="67" w:type="dxa"/>
              <w:right w:w="67" w:type="dxa"/>
            </w:tcMar>
            <w:vAlign w:val="center"/>
          </w:tcPr>
          <w:p w14:paraId="6641525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96.71% (76.36%,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73019173"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97.77% (82.33%, 100.00%)</w:t>
            </w:r>
          </w:p>
        </w:tc>
      </w:tr>
      <w:tr w:rsidR="00B77EA3" w:rsidRPr="0082484A" w14:paraId="7D3F55AA"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127496BF"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DC7E7B8"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911388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44B1DC0C"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765385C2"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36509B28"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01C65412"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schizophrenia, bipolar affective disorder and other psychoses who have a comprehensive care plan documented in the record (in the preceding 12 months) agreed between individuals, their family and/or carers as appropriate (MH002)</w:t>
            </w:r>
          </w:p>
        </w:tc>
        <w:tc>
          <w:tcPr>
            <w:tcW w:w="2608" w:type="dxa"/>
            <w:tcBorders>
              <w:top w:val="nil"/>
              <w:left w:val="nil"/>
              <w:bottom w:val="nil"/>
              <w:right w:val="nil"/>
            </w:tcBorders>
            <w:shd w:val="clear" w:color="auto" w:fill="FFFFFF"/>
            <w:tcMar>
              <w:left w:w="67" w:type="dxa"/>
              <w:right w:w="67" w:type="dxa"/>
            </w:tcMar>
            <w:vAlign w:val="center"/>
          </w:tcPr>
          <w:p w14:paraId="3093ED03"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5F867F5"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5B8E0A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708EEE15"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670A1478"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4D5D2D5D"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0AA22ED7"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93.89% (5.44%)</w:t>
            </w:r>
          </w:p>
        </w:tc>
        <w:tc>
          <w:tcPr>
            <w:tcW w:w="2608" w:type="dxa"/>
            <w:tcBorders>
              <w:top w:val="nil"/>
              <w:left w:val="nil"/>
              <w:bottom w:val="nil"/>
              <w:right w:val="nil"/>
            </w:tcBorders>
            <w:shd w:val="clear" w:color="auto" w:fill="FFFFFF"/>
            <w:tcMar>
              <w:left w:w="67" w:type="dxa"/>
              <w:right w:w="67" w:type="dxa"/>
            </w:tcMar>
            <w:vAlign w:val="center"/>
          </w:tcPr>
          <w:p w14:paraId="0AEBB0B8"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87.08% (18.09%)</w:t>
            </w:r>
          </w:p>
        </w:tc>
        <w:tc>
          <w:tcPr>
            <w:tcW w:w="2608" w:type="dxa"/>
            <w:tcBorders>
              <w:top w:val="nil"/>
              <w:left w:val="nil"/>
              <w:bottom w:val="nil"/>
              <w:right w:val="nil"/>
            </w:tcBorders>
            <w:shd w:val="clear" w:color="auto" w:fill="FFFFFF"/>
            <w:tcMar>
              <w:left w:w="67" w:type="dxa"/>
              <w:right w:w="67" w:type="dxa"/>
            </w:tcMar>
            <w:vAlign w:val="center"/>
          </w:tcPr>
          <w:p w14:paraId="0EE748A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87.47% (16.69%)</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9DBF9C6"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89.92% (14.81%)</w:t>
            </w:r>
          </w:p>
        </w:tc>
      </w:tr>
      <w:tr w:rsidR="00B77EA3" w:rsidRPr="0082484A" w14:paraId="04B8CA35"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08C01CE2"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4D20C30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93.87% (80.00%, 100.00%)</w:t>
            </w:r>
          </w:p>
        </w:tc>
        <w:tc>
          <w:tcPr>
            <w:tcW w:w="2608" w:type="dxa"/>
            <w:tcBorders>
              <w:top w:val="nil"/>
              <w:left w:val="nil"/>
              <w:bottom w:val="nil"/>
              <w:right w:val="nil"/>
            </w:tcBorders>
            <w:shd w:val="clear" w:color="auto" w:fill="FFFFFF"/>
            <w:tcMar>
              <w:left w:w="67" w:type="dxa"/>
              <w:right w:w="67" w:type="dxa"/>
            </w:tcMar>
            <w:vAlign w:val="center"/>
          </w:tcPr>
          <w:p w14:paraId="7CE77EF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92.86% (20.00%, 100.00%)</w:t>
            </w:r>
          </w:p>
        </w:tc>
        <w:tc>
          <w:tcPr>
            <w:tcW w:w="2608" w:type="dxa"/>
            <w:tcBorders>
              <w:top w:val="nil"/>
              <w:left w:val="nil"/>
              <w:bottom w:val="nil"/>
              <w:right w:val="nil"/>
            </w:tcBorders>
            <w:shd w:val="clear" w:color="auto" w:fill="FFFFFF"/>
            <w:tcMar>
              <w:left w:w="67" w:type="dxa"/>
              <w:right w:w="67" w:type="dxa"/>
            </w:tcMar>
            <w:vAlign w:val="center"/>
          </w:tcPr>
          <w:p w14:paraId="57FFDC18"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92.76% (13.79%,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0DAB6E72"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93.44% (19.44%, 100.00%)</w:t>
            </w:r>
          </w:p>
        </w:tc>
      </w:tr>
      <w:tr w:rsidR="00B77EA3" w:rsidRPr="0082484A" w14:paraId="32A843D6"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40320EF9"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5B753761"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ADA64AC"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754EB8E"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FDD94F5"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7AA2CE6C"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7C3F317F"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schizophrenia, bipolar affective disorder and other psychoses who have a record of blood pressure in the preceding 12 months (MH003)</w:t>
            </w:r>
          </w:p>
        </w:tc>
        <w:tc>
          <w:tcPr>
            <w:tcW w:w="2608" w:type="dxa"/>
            <w:tcBorders>
              <w:top w:val="nil"/>
              <w:left w:val="nil"/>
              <w:bottom w:val="nil"/>
              <w:right w:val="nil"/>
            </w:tcBorders>
            <w:shd w:val="clear" w:color="auto" w:fill="FFFFFF"/>
            <w:tcMar>
              <w:left w:w="67" w:type="dxa"/>
              <w:right w:w="67" w:type="dxa"/>
            </w:tcMar>
            <w:vAlign w:val="center"/>
          </w:tcPr>
          <w:p w14:paraId="1F5ABD4A"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771C85F0"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C4B420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0E30A125"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0B266F97"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2D5F819"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759BC27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92.13% (7.76%)</w:t>
            </w:r>
          </w:p>
        </w:tc>
        <w:tc>
          <w:tcPr>
            <w:tcW w:w="2608" w:type="dxa"/>
            <w:tcBorders>
              <w:top w:val="nil"/>
              <w:left w:val="nil"/>
              <w:bottom w:val="nil"/>
              <w:right w:val="nil"/>
            </w:tcBorders>
            <w:shd w:val="clear" w:color="auto" w:fill="FFFFFF"/>
            <w:tcMar>
              <w:left w:w="67" w:type="dxa"/>
              <w:right w:w="67" w:type="dxa"/>
            </w:tcMar>
            <w:vAlign w:val="center"/>
          </w:tcPr>
          <w:p w14:paraId="737FC12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92.68% (5.92%)</w:t>
            </w:r>
          </w:p>
        </w:tc>
        <w:tc>
          <w:tcPr>
            <w:tcW w:w="2608" w:type="dxa"/>
            <w:tcBorders>
              <w:top w:val="nil"/>
              <w:left w:val="nil"/>
              <w:bottom w:val="nil"/>
              <w:right w:val="nil"/>
            </w:tcBorders>
            <w:shd w:val="clear" w:color="auto" w:fill="FFFFFF"/>
            <w:tcMar>
              <w:left w:w="67" w:type="dxa"/>
              <w:right w:w="67" w:type="dxa"/>
            </w:tcMar>
            <w:vAlign w:val="center"/>
          </w:tcPr>
          <w:p w14:paraId="07217C97"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90.04% (9.58%)</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2AB55FB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89.83% (7.30%)</w:t>
            </w:r>
          </w:p>
        </w:tc>
      </w:tr>
      <w:tr w:rsidR="00B77EA3" w:rsidRPr="0082484A" w14:paraId="4293A7BC"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C93A17C"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26A703A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93.84% (69.57%, 100.00%)</w:t>
            </w:r>
          </w:p>
        </w:tc>
        <w:tc>
          <w:tcPr>
            <w:tcW w:w="2608" w:type="dxa"/>
            <w:tcBorders>
              <w:top w:val="nil"/>
              <w:left w:val="nil"/>
              <w:bottom w:val="nil"/>
              <w:right w:val="nil"/>
            </w:tcBorders>
            <w:shd w:val="clear" w:color="auto" w:fill="FFFFFF"/>
            <w:tcMar>
              <w:left w:w="67" w:type="dxa"/>
              <w:right w:w="67" w:type="dxa"/>
            </w:tcMar>
            <w:vAlign w:val="center"/>
          </w:tcPr>
          <w:p w14:paraId="70436C23"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93.55% (69.81%, 100.00%)</w:t>
            </w:r>
          </w:p>
        </w:tc>
        <w:tc>
          <w:tcPr>
            <w:tcW w:w="2608" w:type="dxa"/>
            <w:tcBorders>
              <w:top w:val="nil"/>
              <w:left w:val="nil"/>
              <w:bottom w:val="nil"/>
              <w:right w:val="nil"/>
            </w:tcBorders>
            <w:shd w:val="clear" w:color="auto" w:fill="FFFFFF"/>
            <w:tcMar>
              <w:left w:w="67" w:type="dxa"/>
              <w:right w:w="67" w:type="dxa"/>
            </w:tcMar>
            <w:vAlign w:val="center"/>
          </w:tcPr>
          <w:p w14:paraId="65987871"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92.21% (65.52%,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25517F76"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91.61% (72.97%, 100.00%)</w:t>
            </w:r>
          </w:p>
        </w:tc>
      </w:tr>
      <w:tr w:rsidR="00B77EA3" w:rsidRPr="0082484A" w14:paraId="0BC57EA1"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3596B748"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720212C7"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54976363"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4ECCB9FC"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F07DD67"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528E1C01"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3297A188"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any or any combination of the following conditions: CHD, PAD, stroke or TIA, hypertension, diabetes, COPD, CKD, asthma, schizophrenia, bipolar affective disorder or other psychoses whose notes record smoking status in the preceding 12 months (SMOK002)</w:t>
            </w:r>
          </w:p>
        </w:tc>
        <w:tc>
          <w:tcPr>
            <w:tcW w:w="2608" w:type="dxa"/>
            <w:tcBorders>
              <w:top w:val="nil"/>
              <w:left w:val="nil"/>
              <w:bottom w:val="nil"/>
              <w:right w:val="nil"/>
            </w:tcBorders>
            <w:shd w:val="clear" w:color="auto" w:fill="FFFFFF"/>
            <w:tcMar>
              <w:left w:w="67" w:type="dxa"/>
              <w:right w:w="67" w:type="dxa"/>
            </w:tcMar>
            <w:vAlign w:val="center"/>
          </w:tcPr>
          <w:p w14:paraId="7E1CBD5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2F9891C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0B1CDA0F"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6CE61A5C"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18C0C67D"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30D53173"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7DD6CF82"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95.54% (3.16%)</w:t>
            </w:r>
          </w:p>
        </w:tc>
        <w:tc>
          <w:tcPr>
            <w:tcW w:w="2608" w:type="dxa"/>
            <w:tcBorders>
              <w:top w:val="nil"/>
              <w:left w:val="nil"/>
              <w:bottom w:val="nil"/>
              <w:right w:val="nil"/>
            </w:tcBorders>
            <w:shd w:val="clear" w:color="auto" w:fill="FFFFFF"/>
            <w:tcMar>
              <w:left w:w="67" w:type="dxa"/>
              <w:right w:w="67" w:type="dxa"/>
            </w:tcMar>
            <w:vAlign w:val="center"/>
          </w:tcPr>
          <w:p w14:paraId="34E39A0D"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96.46% (2.12%)</w:t>
            </w:r>
          </w:p>
        </w:tc>
        <w:tc>
          <w:tcPr>
            <w:tcW w:w="2608" w:type="dxa"/>
            <w:tcBorders>
              <w:top w:val="nil"/>
              <w:left w:val="nil"/>
              <w:bottom w:val="nil"/>
              <w:right w:val="nil"/>
            </w:tcBorders>
            <w:shd w:val="clear" w:color="auto" w:fill="FFFFFF"/>
            <w:tcMar>
              <w:left w:w="67" w:type="dxa"/>
              <w:right w:w="67" w:type="dxa"/>
            </w:tcMar>
            <w:vAlign w:val="center"/>
          </w:tcPr>
          <w:p w14:paraId="1A99A6E3"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95.45% (2.73%)</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3A414DB"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95.74% (2.80%)</w:t>
            </w:r>
          </w:p>
        </w:tc>
      </w:tr>
      <w:tr w:rsidR="00B77EA3" w:rsidRPr="0082484A" w14:paraId="7EE974DF"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368B7457"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1EFAF9A9"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96.40% (81.53%, 100.00%)</w:t>
            </w:r>
          </w:p>
        </w:tc>
        <w:tc>
          <w:tcPr>
            <w:tcW w:w="2608" w:type="dxa"/>
            <w:tcBorders>
              <w:top w:val="nil"/>
              <w:left w:val="nil"/>
              <w:bottom w:val="nil"/>
              <w:right w:val="nil"/>
            </w:tcBorders>
            <w:shd w:val="clear" w:color="auto" w:fill="FFFFFF"/>
            <w:tcMar>
              <w:left w:w="67" w:type="dxa"/>
              <w:right w:w="67" w:type="dxa"/>
            </w:tcMar>
            <w:vAlign w:val="center"/>
          </w:tcPr>
          <w:p w14:paraId="1D4889E2"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97.01% (91.96%, 100.00%)</w:t>
            </w:r>
          </w:p>
        </w:tc>
        <w:tc>
          <w:tcPr>
            <w:tcW w:w="2608" w:type="dxa"/>
            <w:tcBorders>
              <w:top w:val="nil"/>
              <w:left w:val="nil"/>
              <w:bottom w:val="nil"/>
              <w:right w:val="nil"/>
            </w:tcBorders>
            <w:shd w:val="clear" w:color="auto" w:fill="FFFFFF"/>
            <w:tcMar>
              <w:left w:w="67" w:type="dxa"/>
              <w:right w:w="67" w:type="dxa"/>
            </w:tcMar>
            <w:vAlign w:val="center"/>
          </w:tcPr>
          <w:p w14:paraId="02DE7381"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95.91% (88.28%,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2B01CB85"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96.23% (90.68%, 100.00%)</w:t>
            </w:r>
          </w:p>
        </w:tc>
      </w:tr>
      <w:tr w:rsidR="00B77EA3" w:rsidRPr="0082484A" w14:paraId="6FB5A942"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D3591C3"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B25BE5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22038A3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7CDA1075"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4B64659"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17300025"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272B3C85"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aged 15 or over who are recorded as current smokers who have a record of an offer of support and treatment within the preceding 24 months (SMOK004)</w:t>
            </w:r>
          </w:p>
        </w:tc>
        <w:tc>
          <w:tcPr>
            <w:tcW w:w="2608" w:type="dxa"/>
            <w:tcBorders>
              <w:top w:val="nil"/>
              <w:left w:val="nil"/>
              <w:bottom w:val="nil"/>
              <w:right w:val="nil"/>
            </w:tcBorders>
            <w:shd w:val="clear" w:color="auto" w:fill="FFFFFF"/>
            <w:tcMar>
              <w:left w:w="67" w:type="dxa"/>
              <w:right w:w="67" w:type="dxa"/>
            </w:tcMar>
            <w:vAlign w:val="center"/>
          </w:tcPr>
          <w:p w14:paraId="40BD716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EB3D036"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13477B0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847024C"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60B5B464"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27823973"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49E2B87C"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90.71% (9.85%)</w:t>
            </w:r>
          </w:p>
        </w:tc>
        <w:tc>
          <w:tcPr>
            <w:tcW w:w="2608" w:type="dxa"/>
            <w:tcBorders>
              <w:top w:val="nil"/>
              <w:left w:val="nil"/>
              <w:bottom w:val="nil"/>
              <w:right w:val="nil"/>
            </w:tcBorders>
            <w:shd w:val="clear" w:color="auto" w:fill="FFFFFF"/>
            <w:tcMar>
              <w:left w:w="67" w:type="dxa"/>
              <w:right w:w="67" w:type="dxa"/>
            </w:tcMar>
            <w:vAlign w:val="center"/>
          </w:tcPr>
          <w:p w14:paraId="19CC405F"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90.10% (8.33%)</w:t>
            </w:r>
          </w:p>
        </w:tc>
        <w:tc>
          <w:tcPr>
            <w:tcW w:w="2608" w:type="dxa"/>
            <w:tcBorders>
              <w:top w:val="nil"/>
              <w:left w:val="nil"/>
              <w:bottom w:val="nil"/>
              <w:right w:val="nil"/>
            </w:tcBorders>
            <w:shd w:val="clear" w:color="auto" w:fill="FFFFFF"/>
            <w:tcMar>
              <w:left w:w="67" w:type="dxa"/>
              <w:right w:w="67" w:type="dxa"/>
            </w:tcMar>
            <w:vAlign w:val="center"/>
          </w:tcPr>
          <w:p w14:paraId="4BCE2F63"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89.15% (9.28%)</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FFCCF9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89.49% (10.66%)</w:t>
            </w:r>
          </w:p>
        </w:tc>
      </w:tr>
      <w:tr w:rsidR="00B77EA3" w:rsidRPr="0082484A" w14:paraId="7ECF0FEF"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35D651EC"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7A118C4B"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92.22% (54.60%, 100.00%)</w:t>
            </w:r>
          </w:p>
        </w:tc>
        <w:tc>
          <w:tcPr>
            <w:tcW w:w="2608" w:type="dxa"/>
            <w:tcBorders>
              <w:top w:val="nil"/>
              <w:left w:val="nil"/>
              <w:bottom w:val="nil"/>
              <w:right w:val="nil"/>
            </w:tcBorders>
            <w:shd w:val="clear" w:color="auto" w:fill="FFFFFF"/>
            <w:tcMar>
              <w:left w:w="67" w:type="dxa"/>
              <w:right w:w="67" w:type="dxa"/>
            </w:tcMar>
            <w:vAlign w:val="center"/>
          </w:tcPr>
          <w:p w14:paraId="0E4016FB"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91.75% (65.59%, 100.00%)</w:t>
            </w:r>
          </w:p>
        </w:tc>
        <w:tc>
          <w:tcPr>
            <w:tcW w:w="2608" w:type="dxa"/>
            <w:tcBorders>
              <w:top w:val="nil"/>
              <w:left w:val="nil"/>
              <w:bottom w:val="nil"/>
              <w:right w:val="nil"/>
            </w:tcBorders>
            <w:shd w:val="clear" w:color="auto" w:fill="FFFFFF"/>
            <w:tcMar>
              <w:left w:w="67" w:type="dxa"/>
              <w:right w:w="67" w:type="dxa"/>
            </w:tcMar>
            <w:vAlign w:val="center"/>
          </w:tcPr>
          <w:p w14:paraId="4BBE46D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90.99% (66.16%,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5DB1888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92.18% (62.05%, 100.00%)</w:t>
            </w:r>
          </w:p>
        </w:tc>
      </w:tr>
      <w:tr w:rsidR="00B77EA3" w:rsidRPr="0082484A" w14:paraId="0D1C79BD"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68A337D0"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58A1074B"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4A1B531"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3AB0F6B0"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1F48844"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7EAD1684"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187703C1" w14:textId="77777777" w:rsidR="00B77EA3" w:rsidRPr="0082484A" w:rsidRDefault="00B77EA3" w:rsidP="00B77EA3">
            <w:pPr>
              <w:adjustRightInd w:val="0"/>
              <w:spacing w:before="67" w:after="67" w:line="240" w:lineRule="auto"/>
              <w:rPr>
                <w:bCs/>
                <w:color w:val="000000"/>
                <w:sz w:val="22"/>
                <w:szCs w:val="22"/>
              </w:rPr>
            </w:pPr>
            <w:r w:rsidRPr="0082484A">
              <w:rPr>
                <w:sz w:val="22"/>
                <w:szCs w:val="22"/>
              </w:rPr>
              <w:t>The percentage of patients with any or any combination of the following conditions: CHD, PAD, stroke or TIA, hypertension, diabetes, COPD, CKD, asthma, schizophrenia, bipolar affective disorder or other psychoses who are recorded as current smokers who have a record of an offer of support and treatment within the preceding 12 months (SMOK005)</w:t>
            </w:r>
          </w:p>
        </w:tc>
        <w:tc>
          <w:tcPr>
            <w:tcW w:w="2608" w:type="dxa"/>
            <w:tcBorders>
              <w:top w:val="nil"/>
              <w:left w:val="nil"/>
              <w:bottom w:val="nil"/>
              <w:right w:val="nil"/>
            </w:tcBorders>
            <w:shd w:val="clear" w:color="auto" w:fill="FFFFFF"/>
            <w:tcMar>
              <w:left w:w="67" w:type="dxa"/>
              <w:right w:w="67" w:type="dxa"/>
            </w:tcMar>
            <w:vAlign w:val="center"/>
          </w:tcPr>
          <w:p w14:paraId="28D7D08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7A6723C7"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nil"/>
            </w:tcBorders>
            <w:shd w:val="clear" w:color="auto" w:fill="FFFFFF"/>
            <w:tcMar>
              <w:left w:w="67" w:type="dxa"/>
              <w:right w:w="67" w:type="dxa"/>
            </w:tcMar>
            <w:vAlign w:val="center"/>
          </w:tcPr>
          <w:p w14:paraId="61D4829A"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30A32AC8" w14:textId="77777777" w:rsidR="00B77EA3" w:rsidRPr="0082484A" w:rsidRDefault="00B77EA3" w:rsidP="00B77EA3">
            <w:pPr>
              <w:adjustRightInd w:val="0"/>
              <w:spacing w:before="67" w:after="67" w:line="240" w:lineRule="auto"/>
              <w:jc w:val="center"/>
              <w:rPr>
                <w:color w:val="000000"/>
                <w:sz w:val="22"/>
                <w:szCs w:val="22"/>
              </w:rPr>
            </w:pPr>
          </w:p>
        </w:tc>
      </w:tr>
      <w:tr w:rsidR="00B77EA3" w:rsidRPr="0082484A" w14:paraId="072D5431"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5145BA51"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Mean (SD)</w:t>
            </w:r>
          </w:p>
        </w:tc>
        <w:tc>
          <w:tcPr>
            <w:tcW w:w="2608" w:type="dxa"/>
            <w:tcBorders>
              <w:top w:val="nil"/>
              <w:left w:val="nil"/>
              <w:bottom w:val="nil"/>
              <w:right w:val="nil"/>
            </w:tcBorders>
            <w:shd w:val="clear" w:color="auto" w:fill="FFFFFF"/>
            <w:tcMar>
              <w:left w:w="67" w:type="dxa"/>
              <w:right w:w="67" w:type="dxa"/>
            </w:tcMar>
            <w:vAlign w:val="center"/>
          </w:tcPr>
          <w:p w14:paraId="7B0992B5"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97.42% (3.17%)</w:t>
            </w:r>
          </w:p>
        </w:tc>
        <w:tc>
          <w:tcPr>
            <w:tcW w:w="2608" w:type="dxa"/>
            <w:tcBorders>
              <w:top w:val="nil"/>
              <w:left w:val="nil"/>
              <w:bottom w:val="nil"/>
              <w:right w:val="nil"/>
            </w:tcBorders>
            <w:shd w:val="clear" w:color="auto" w:fill="FFFFFF"/>
            <w:tcMar>
              <w:left w:w="67" w:type="dxa"/>
              <w:right w:w="67" w:type="dxa"/>
            </w:tcMar>
            <w:vAlign w:val="center"/>
          </w:tcPr>
          <w:p w14:paraId="394E2F6D"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97.25% (4.06%)</w:t>
            </w:r>
          </w:p>
        </w:tc>
        <w:tc>
          <w:tcPr>
            <w:tcW w:w="2608" w:type="dxa"/>
            <w:tcBorders>
              <w:top w:val="nil"/>
              <w:left w:val="nil"/>
              <w:bottom w:val="nil"/>
              <w:right w:val="nil"/>
            </w:tcBorders>
            <w:shd w:val="clear" w:color="auto" w:fill="FFFFFF"/>
            <w:tcMar>
              <w:left w:w="67" w:type="dxa"/>
              <w:right w:w="67" w:type="dxa"/>
            </w:tcMar>
            <w:vAlign w:val="center"/>
          </w:tcPr>
          <w:p w14:paraId="077E443D"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97.40% (3.28%)</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120C9142"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96.79% (4.65%)</w:t>
            </w:r>
          </w:p>
        </w:tc>
      </w:tr>
      <w:tr w:rsidR="00B77EA3" w:rsidRPr="0082484A" w14:paraId="2172E837" w14:textId="77777777" w:rsidTr="00B77EA3">
        <w:trPr>
          <w:cantSplit/>
          <w:jc w:val="center"/>
        </w:trPr>
        <w:tc>
          <w:tcPr>
            <w:tcW w:w="5669" w:type="dxa"/>
            <w:tcBorders>
              <w:top w:val="nil"/>
              <w:left w:val="single" w:sz="11" w:space="0" w:color="000000"/>
              <w:bottom w:val="nil"/>
              <w:right w:val="nil"/>
            </w:tcBorders>
            <w:shd w:val="clear" w:color="auto" w:fill="FFFFFF"/>
            <w:tcMar>
              <w:left w:w="67" w:type="dxa"/>
              <w:right w:w="67" w:type="dxa"/>
            </w:tcMar>
          </w:tcPr>
          <w:p w14:paraId="71038CA7" w14:textId="77777777" w:rsidR="00B77EA3" w:rsidRPr="0082484A" w:rsidRDefault="00B77EA3" w:rsidP="00B77EA3">
            <w:pPr>
              <w:adjustRightInd w:val="0"/>
              <w:spacing w:before="67" w:after="67" w:line="240" w:lineRule="auto"/>
              <w:rPr>
                <w:color w:val="000000"/>
                <w:sz w:val="22"/>
                <w:szCs w:val="22"/>
              </w:rPr>
            </w:pPr>
            <w:r w:rsidRPr="0082484A">
              <w:rPr>
                <w:color w:val="000000"/>
                <w:sz w:val="22"/>
                <w:szCs w:val="22"/>
              </w:rPr>
              <w:t>Median (Range)</w:t>
            </w:r>
          </w:p>
        </w:tc>
        <w:tc>
          <w:tcPr>
            <w:tcW w:w="2608" w:type="dxa"/>
            <w:tcBorders>
              <w:top w:val="nil"/>
              <w:left w:val="nil"/>
              <w:bottom w:val="nil"/>
              <w:right w:val="nil"/>
            </w:tcBorders>
            <w:shd w:val="clear" w:color="auto" w:fill="FFFFFF"/>
            <w:tcMar>
              <w:left w:w="67" w:type="dxa"/>
              <w:right w:w="67" w:type="dxa"/>
            </w:tcMar>
            <w:vAlign w:val="center"/>
          </w:tcPr>
          <w:p w14:paraId="3037CCFE"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98.05% (85.92%, 100.00%)</w:t>
            </w:r>
          </w:p>
        </w:tc>
        <w:tc>
          <w:tcPr>
            <w:tcW w:w="2608" w:type="dxa"/>
            <w:tcBorders>
              <w:top w:val="nil"/>
              <w:left w:val="nil"/>
              <w:bottom w:val="nil"/>
              <w:right w:val="nil"/>
            </w:tcBorders>
            <w:shd w:val="clear" w:color="auto" w:fill="FFFFFF"/>
            <w:tcMar>
              <w:left w:w="67" w:type="dxa"/>
              <w:right w:w="67" w:type="dxa"/>
            </w:tcMar>
            <w:vAlign w:val="center"/>
          </w:tcPr>
          <w:p w14:paraId="67BFFC85"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98.40% (82.50%, 100.00%)</w:t>
            </w:r>
          </w:p>
        </w:tc>
        <w:tc>
          <w:tcPr>
            <w:tcW w:w="2608" w:type="dxa"/>
            <w:tcBorders>
              <w:top w:val="nil"/>
              <w:left w:val="nil"/>
              <w:bottom w:val="nil"/>
              <w:right w:val="nil"/>
            </w:tcBorders>
            <w:shd w:val="clear" w:color="auto" w:fill="FFFFFF"/>
            <w:tcMar>
              <w:left w:w="67" w:type="dxa"/>
              <w:right w:w="67" w:type="dxa"/>
            </w:tcMar>
            <w:vAlign w:val="center"/>
          </w:tcPr>
          <w:p w14:paraId="4B4768C3"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98.45% (84.62%, 100.00%)</w:t>
            </w:r>
          </w:p>
        </w:tc>
        <w:tc>
          <w:tcPr>
            <w:tcW w:w="2608" w:type="dxa"/>
            <w:tcBorders>
              <w:top w:val="nil"/>
              <w:left w:val="nil"/>
              <w:bottom w:val="nil"/>
              <w:right w:val="single" w:sz="11" w:space="0" w:color="000000"/>
            </w:tcBorders>
            <w:shd w:val="clear" w:color="auto" w:fill="FFFFFF"/>
            <w:tcMar>
              <w:left w:w="67" w:type="dxa"/>
              <w:right w:w="67" w:type="dxa"/>
            </w:tcMar>
            <w:vAlign w:val="center"/>
          </w:tcPr>
          <w:p w14:paraId="0D8AD0A4" w14:textId="77777777" w:rsidR="00B77EA3" w:rsidRPr="0082484A" w:rsidRDefault="00B77EA3" w:rsidP="00B77EA3">
            <w:pPr>
              <w:adjustRightInd w:val="0"/>
              <w:spacing w:before="67" w:after="67" w:line="240" w:lineRule="auto"/>
              <w:jc w:val="center"/>
              <w:rPr>
                <w:color w:val="000000"/>
                <w:sz w:val="22"/>
                <w:szCs w:val="22"/>
              </w:rPr>
            </w:pPr>
            <w:r w:rsidRPr="0082484A">
              <w:rPr>
                <w:color w:val="000000"/>
                <w:sz w:val="22"/>
                <w:szCs w:val="22"/>
              </w:rPr>
              <w:t>98.40% (81.52%, 100.00%)</w:t>
            </w:r>
          </w:p>
        </w:tc>
      </w:tr>
      <w:tr w:rsidR="00B77EA3" w:rsidRPr="0082484A" w14:paraId="3A9B4BFC" w14:textId="77777777" w:rsidTr="00B77EA3">
        <w:trPr>
          <w:cantSplit/>
          <w:jc w:val="center"/>
        </w:trPr>
        <w:tc>
          <w:tcPr>
            <w:tcW w:w="5669" w:type="dxa"/>
            <w:tcBorders>
              <w:top w:val="nil"/>
              <w:left w:val="single" w:sz="11" w:space="0" w:color="000000"/>
              <w:bottom w:val="single" w:sz="11" w:space="0" w:color="000000"/>
              <w:right w:val="nil"/>
            </w:tcBorders>
            <w:shd w:val="clear" w:color="auto" w:fill="FFFFFF"/>
            <w:tcMar>
              <w:left w:w="67" w:type="dxa"/>
              <w:right w:w="67" w:type="dxa"/>
            </w:tcMar>
          </w:tcPr>
          <w:p w14:paraId="50434824" w14:textId="77777777" w:rsidR="00B77EA3" w:rsidRPr="0082484A" w:rsidRDefault="00B77EA3" w:rsidP="00B77EA3">
            <w:pPr>
              <w:adjustRightInd w:val="0"/>
              <w:spacing w:before="67" w:after="67" w:line="240" w:lineRule="auto"/>
              <w:rPr>
                <w:color w:val="000000"/>
                <w:sz w:val="22"/>
                <w:szCs w:val="22"/>
              </w:rPr>
            </w:pPr>
          </w:p>
        </w:tc>
        <w:tc>
          <w:tcPr>
            <w:tcW w:w="2608" w:type="dxa"/>
            <w:tcBorders>
              <w:top w:val="nil"/>
              <w:left w:val="nil"/>
              <w:bottom w:val="single" w:sz="11" w:space="0" w:color="000000"/>
              <w:right w:val="nil"/>
            </w:tcBorders>
            <w:shd w:val="clear" w:color="auto" w:fill="FFFFFF"/>
            <w:tcMar>
              <w:left w:w="67" w:type="dxa"/>
              <w:right w:w="67" w:type="dxa"/>
            </w:tcMar>
            <w:vAlign w:val="center"/>
          </w:tcPr>
          <w:p w14:paraId="403375D4"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single" w:sz="11" w:space="0" w:color="000000"/>
              <w:right w:val="nil"/>
            </w:tcBorders>
            <w:shd w:val="clear" w:color="auto" w:fill="FFFFFF"/>
            <w:tcMar>
              <w:left w:w="67" w:type="dxa"/>
              <w:right w:w="67" w:type="dxa"/>
            </w:tcMar>
            <w:vAlign w:val="center"/>
          </w:tcPr>
          <w:p w14:paraId="113C1D4F"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single" w:sz="11" w:space="0" w:color="000000"/>
              <w:right w:val="nil"/>
            </w:tcBorders>
            <w:shd w:val="clear" w:color="auto" w:fill="FFFFFF"/>
            <w:tcMar>
              <w:left w:w="67" w:type="dxa"/>
              <w:right w:w="67" w:type="dxa"/>
            </w:tcMar>
            <w:vAlign w:val="center"/>
          </w:tcPr>
          <w:p w14:paraId="4A3D2AA1" w14:textId="77777777" w:rsidR="00B77EA3" w:rsidRPr="0082484A" w:rsidRDefault="00B77EA3" w:rsidP="00B77EA3">
            <w:pPr>
              <w:adjustRightInd w:val="0"/>
              <w:spacing w:before="67" w:after="67" w:line="240" w:lineRule="auto"/>
              <w:jc w:val="center"/>
              <w:rPr>
                <w:color w:val="000000"/>
                <w:sz w:val="22"/>
                <w:szCs w:val="22"/>
              </w:rPr>
            </w:pPr>
          </w:p>
        </w:tc>
        <w:tc>
          <w:tcPr>
            <w:tcW w:w="2608"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7992E8B" w14:textId="77777777" w:rsidR="00B77EA3" w:rsidRPr="0082484A" w:rsidRDefault="00B77EA3" w:rsidP="00B77EA3">
            <w:pPr>
              <w:adjustRightInd w:val="0"/>
              <w:spacing w:before="67" w:after="67" w:line="240" w:lineRule="auto"/>
              <w:jc w:val="center"/>
              <w:rPr>
                <w:color w:val="000000"/>
                <w:sz w:val="22"/>
                <w:szCs w:val="22"/>
              </w:rPr>
            </w:pPr>
          </w:p>
        </w:tc>
      </w:tr>
    </w:tbl>
    <w:p w14:paraId="72BED2F1" w14:textId="77777777" w:rsidR="00B77EA3" w:rsidRPr="0082484A" w:rsidRDefault="00B77EA3" w:rsidP="00B77EA3">
      <w:pPr>
        <w:spacing w:before="0" w:line="240" w:lineRule="auto"/>
        <w:contextualSpacing/>
        <w:rPr>
          <w:bCs/>
          <w:sz w:val="22"/>
          <w:szCs w:val="22"/>
        </w:rPr>
      </w:pPr>
      <w:r w:rsidRPr="0082484A">
        <w:rPr>
          <w:bCs/>
          <w:sz w:val="22"/>
          <w:szCs w:val="22"/>
        </w:rPr>
        <w:t>Footnote 1: Modelling assumptions were violated for indicators CHD005, CHD007, MH002, MH003, SMOK004 and SMOK005, further statistical comparisons were not made for these indicators</w:t>
      </w:r>
    </w:p>
    <w:p w14:paraId="1DAF63EF" w14:textId="77777777" w:rsidR="00B77EA3" w:rsidRPr="0082484A" w:rsidRDefault="00B77EA3" w:rsidP="00B77EA3">
      <w:pPr>
        <w:spacing w:before="0" w:line="240" w:lineRule="auto"/>
        <w:contextualSpacing/>
        <w:rPr>
          <w:bCs/>
          <w:sz w:val="22"/>
          <w:szCs w:val="22"/>
        </w:rPr>
      </w:pPr>
      <w:r w:rsidRPr="0082484A">
        <w:rPr>
          <w:bCs/>
          <w:sz w:val="22"/>
          <w:szCs w:val="22"/>
        </w:rPr>
        <w:t>Footnote 2: One practice in the risky prescribing implementation package arm and two practices in the blood pressure control implementation package arm had missing data for all QOF indicator</w:t>
      </w:r>
    </w:p>
    <w:p w14:paraId="6C998F61" w14:textId="77777777" w:rsidR="00B77EA3" w:rsidRPr="0082484A" w:rsidRDefault="00B77EA3" w:rsidP="00B77EA3">
      <w:pPr>
        <w:spacing w:before="0" w:line="240" w:lineRule="auto"/>
        <w:rPr>
          <w:sz w:val="22"/>
          <w:szCs w:val="22"/>
        </w:rPr>
      </w:pPr>
    </w:p>
    <w:p w14:paraId="5A1E67FC" w14:textId="77777777" w:rsidR="00B77EA3" w:rsidRPr="0082484A" w:rsidRDefault="00B77EA3" w:rsidP="00B77EA3">
      <w:pPr>
        <w:spacing w:before="0" w:line="240" w:lineRule="auto"/>
        <w:rPr>
          <w:sz w:val="22"/>
          <w:szCs w:val="22"/>
        </w:rPr>
      </w:pPr>
    </w:p>
    <w:p w14:paraId="5B88102D" w14:textId="77777777" w:rsidR="00B77EA3" w:rsidRPr="0082484A" w:rsidRDefault="00B77EA3" w:rsidP="00B77EA3">
      <w:pPr>
        <w:spacing w:before="0" w:line="240" w:lineRule="auto"/>
        <w:contextualSpacing/>
        <w:rPr>
          <w:bCs/>
          <w:sz w:val="22"/>
          <w:szCs w:val="22"/>
        </w:rPr>
      </w:pPr>
      <w:bookmarkStart w:id="226" w:name="IDX3"/>
      <w:bookmarkEnd w:id="226"/>
    </w:p>
    <w:p w14:paraId="0DE18231" w14:textId="77777777" w:rsidR="00B77EA3" w:rsidRPr="0082484A" w:rsidRDefault="00B77EA3" w:rsidP="00B77EA3">
      <w:pPr>
        <w:spacing w:before="0" w:line="240" w:lineRule="auto"/>
        <w:contextualSpacing/>
        <w:rPr>
          <w:bCs/>
          <w:sz w:val="22"/>
          <w:szCs w:val="22"/>
        </w:rPr>
        <w:sectPr w:rsidR="00B77EA3" w:rsidRPr="0082484A" w:rsidSect="009A3C2D">
          <w:pgSz w:w="16838" w:h="11906" w:orient="landscape"/>
          <w:pgMar w:top="1440" w:right="1440" w:bottom="1440" w:left="1440" w:header="708" w:footer="708" w:gutter="0"/>
          <w:cols w:space="708"/>
          <w:docGrid w:linePitch="360"/>
        </w:sectPr>
      </w:pPr>
    </w:p>
    <w:p w14:paraId="1F4C3E3C" w14:textId="51BF2882" w:rsidR="00B77EA3" w:rsidRPr="0082484A" w:rsidRDefault="00B77EA3" w:rsidP="00B77EA3">
      <w:pPr>
        <w:spacing w:before="0" w:line="240" w:lineRule="auto"/>
        <w:rPr>
          <w:bCs/>
          <w:sz w:val="22"/>
          <w:szCs w:val="22"/>
        </w:rPr>
      </w:pPr>
      <w:bookmarkStart w:id="227" w:name="_Ref502918084"/>
      <w:bookmarkStart w:id="228" w:name="_Toc8728136"/>
      <w:bookmarkStart w:id="229" w:name="_Toc1952679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62</w:t>
      </w:r>
      <w:r w:rsidRPr="0082484A">
        <w:rPr>
          <w:bCs/>
          <w:noProof/>
          <w:sz w:val="22"/>
          <w:szCs w:val="22"/>
        </w:rPr>
        <w:fldChar w:fldCharType="end"/>
      </w:r>
      <w:bookmarkEnd w:id="227"/>
      <w:r w:rsidRPr="0082484A">
        <w:rPr>
          <w:bCs/>
          <w:sz w:val="22"/>
          <w:szCs w:val="22"/>
        </w:rPr>
        <w:t>: Secondary outcome for Trial 1. Achievement of QOF indicator, ‘The percentage of patients with diabetes, on the register, in whom the last blood pressure reading (measured in the preceding 12 months) is 150/90 mmHg or less’ (DM002; WP4a)</w:t>
      </w:r>
      <w:bookmarkEnd w:id="228"/>
      <w:bookmarkEnd w:id="229"/>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16FB6B62"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AFC529F" w14:textId="77777777" w:rsidR="00B77EA3" w:rsidRPr="0082484A" w:rsidRDefault="00B77EA3" w:rsidP="00B77EA3">
            <w:pPr>
              <w:spacing w:beforeLines="10" w:before="24" w:afterLines="10" w:after="24" w:line="240" w:lineRule="auto"/>
              <w:rPr>
                <w:bCs/>
                <w:sz w:val="22"/>
                <w:szCs w:val="22"/>
              </w:rPr>
            </w:pPr>
            <w:bookmarkStart w:id="230" w:name="IDX47"/>
            <w:bookmarkEnd w:id="230"/>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CFA7AE6"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499AE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2C959F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18DAA8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D3EDA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751467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408DD1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3163BA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348F3A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6534FCA"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0528D34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A3DE4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0.001109</w:t>
            </w:r>
          </w:p>
        </w:tc>
        <w:tc>
          <w:tcPr>
            <w:tcW w:w="1134" w:type="dxa"/>
            <w:tcBorders>
              <w:top w:val="nil"/>
              <w:left w:val="nil"/>
              <w:bottom w:val="nil"/>
              <w:right w:val="nil"/>
            </w:tcBorders>
            <w:shd w:val="clear" w:color="auto" w:fill="FFFFFF"/>
            <w:tcMar>
              <w:left w:w="67" w:type="dxa"/>
              <w:right w:w="67" w:type="dxa"/>
            </w:tcMar>
            <w:vAlign w:val="center"/>
          </w:tcPr>
          <w:p w14:paraId="03767B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0.0109</w:t>
            </w:r>
          </w:p>
        </w:tc>
        <w:tc>
          <w:tcPr>
            <w:tcW w:w="1134" w:type="dxa"/>
            <w:tcBorders>
              <w:top w:val="nil"/>
              <w:left w:val="nil"/>
              <w:bottom w:val="nil"/>
              <w:right w:val="nil"/>
            </w:tcBorders>
            <w:shd w:val="clear" w:color="auto" w:fill="FFFFFF"/>
            <w:tcMar>
              <w:left w:w="67" w:type="dxa"/>
              <w:right w:w="67" w:type="dxa"/>
            </w:tcMar>
            <w:vAlign w:val="center"/>
          </w:tcPr>
          <w:p w14:paraId="735D41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-0.0239</w:t>
            </w:r>
          </w:p>
        </w:tc>
        <w:tc>
          <w:tcPr>
            <w:tcW w:w="1134" w:type="dxa"/>
            <w:tcBorders>
              <w:top w:val="nil"/>
              <w:left w:val="nil"/>
              <w:bottom w:val="nil"/>
              <w:right w:val="nil"/>
            </w:tcBorders>
            <w:shd w:val="clear" w:color="auto" w:fill="FFFFFF"/>
            <w:tcMar>
              <w:left w:w="67" w:type="dxa"/>
              <w:right w:w="67" w:type="dxa"/>
            </w:tcMar>
            <w:vAlign w:val="center"/>
          </w:tcPr>
          <w:p w14:paraId="5BA8A5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0.0261</w:t>
            </w:r>
          </w:p>
        </w:tc>
        <w:tc>
          <w:tcPr>
            <w:tcW w:w="1134" w:type="dxa"/>
            <w:tcBorders>
              <w:top w:val="nil"/>
              <w:left w:val="nil"/>
              <w:bottom w:val="nil"/>
              <w:right w:val="nil"/>
            </w:tcBorders>
            <w:shd w:val="clear" w:color="auto" w:fill="FFFFFF"/>
            <w:tcMar>
              <w:left w:w="67" w:type="dxa"/>
              <w:right w:w="67" w:type="dxa"/>
            </w:tcMar>
            <w:vAlign w:val="center"/>
          </w:tcPr>
          <w:p w14:paraId="6FDE18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366041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CAE1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0.9193</w:t>
            </w:r>
          </w:p>
        </w:tc>
      </w:tr>
      <w:tr w:rsidR="00B77EA3" w:rsidRPr="0082484A" w14:paraId="2AFDD7D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B7D888" w14:textId="77777777" w:rsidR="00B77EA3" w:rsidRPr="0082484A" w:rsidRDefault="00B77EA3" w:rsidP="00B77EA3">
            <w:pPr>
              <w:spacing w:beforeLines="10" w:before="24" w:afterLines="10" w:after="24" w:line="240" w:lineRule="auto"/>
              <w:rPr>
                <w:sz w:val="22"/>
                <w:szCs w:val="22"/>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7FAC04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AF73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0.000052</w:t>
            </w:r>
          </w:p>
        </w:tc>
        <w:tc>
          <w:tcPr>
            <w:tcW w:w="1134" w:type="dxa"/>
            <w:tcBorders>
              <w:top w:val="nil"/>
              <w:left w:val="nil"/>
              <w:bottom w:val="nil"/>
              <w:right w:val="nil"/>
            </w:tcBorders>
            <w:shd w:val="clear" w:color="auto" w:fill="FFFFFF"/>
            <w:tcMar>
              <w:left w:w="67" w:type="dxa"/>
              <w:right w:w="67" w:type="dxa"/>
            </w:tcMar>
            <w:vAlign w:val="center"/>
          </w:tcPr>
          <w:p w14:paraId="4ADDC5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38E777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22D160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5569A4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w:t>
            </w:r>
          </w:p>
        </w:tc>
        <w:tc>
          <w:tcPr>
            <w:tcW w:w="567" w:type="dxa"/>
            <w:tcBorders>
              <w:top w:val="nil"/>
              <w:left w:val="nil"/>
              <w:bottom w:val="nil"/>
              <w:right w:val="nil"/>
            </w:tcBorders>
            <w:shd w:val="clear" w:color="auto" w:fill="FFFFFF"/>
            <w:tcMar>
              <w:left w:w="67" w:type="dxa"/>
              <w:right w:w="67" w:type="dxa"/>
            </w:tcMar>
            <w:vAlign w:val="center"/>
          </w:tcPr>
          <w:p w14:paraId="50C754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F8DB3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0.7651</w:t>
            </w:r>
          </w:p>
        </w:tc>
      </w:tr>
      <w:tr w:rsidR="00B77EA3" w:rsidRPr="0082484A" w14:paraId="7220C20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74F3D2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EA1BB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1373D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-0.005415</w:t>
            </w:r>
          </w:p>
        </w:tc>
        <w:tc>
          <w:tcPr>
            <w:tcW w:w="1134" w:type="dxa"/>
            <w:tcBorders>
              <w:top w:val="nil"/>
              <w:left w:val="nil"/>
              <w:bottom w:val="nil"/>
              <w:right w:val="nil"/>
            </w:tcBorders>
            <w:shd w:val="clear" w:color="auto" w:fill="FFFFFF"/>
            <w:tcMar>
              <w:left w:w="67" w:type="dxa"/>
              <w:right w:w="67" w:type="dxa"/>
            </w:tcMar>
            <w:vAlign w:val="center"/>
          </w:tcPr>
          <w:p w14:paraId="1F455C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0.0323</w:t>
            </w:r>
          </w:p>
        </w:tc>
        <w:tc>
          <w:tcPr>
            <w:tcW w:w="1134" w:type="dxa"/>
            <w:tcBorders>
              <w:top w:val="nil"/>
              <w:left w:val="nil"/>
              <w:bottom w:val="nil"/>
              <w:right w:val="nil"/>
            </w:tcBorders>
            <w:shd w:val="clear" w:color="auto" w:fill="FFFFFF"/>
            <w:tcMar>
              <w:left w:w="67" w:type="dxa"/>
              <w:right w:w="67" w:type="dxa"/>
            </w:tcMar>
            <w:vAlign w:val="center"/>
          </w:tcPr>
          <w:p w14:paraId="430CC1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-0.0796</w:t>
            </w:r>
          </w:p>
        </w:tc>
        <w:tc>
          <w:tcPr>
            <w:tcW w:w="1134" w:type="dxa"/>
            <w:tcBorders>
              <w:top w:val="nil"/>
              <w:left w:val="nil"/>
              <w:bottom w:val="nil"/>
              <w:right w:val="nil"/>
            </w:tcBorders>
            <w:shd w:val="clear" w:color="auto" w:fill="FFFFFF"/>
            <w:tcMar>
              <w:left w:w="67" w:type="dxa"/>
              <w:right w:w="67" w:type="dxa"/>
            </w:tcMar>
            <w:vAlign w:val="center"/>
          </w:tcPr>
          <w:p w14:paraId="5B74C8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0.0688</w:t>
            </w:r>
          </w:p>
        </w:tc>
        <w:tc>
          <w:tcPr>
            <w:tcW w:w="1134" w:type="dxa"/>
            <w:tcBorders>
              <w:top w:val="nil"/>
              <w:left w:val="nil"/>
              <w:bottom w:val="nil"/>
              <w:right w:val="nil"/>
            </w:tcBorders>
            <w:shd w:val="clear" w:color="auto" w:fill="FFFFFF"/>
            <w:tcMar>
              <w:left w:w="67" w:type="dxa"/>
              <w:right w:w="67" w:type="dxa"/>
            </w:tcMar>
            <w:vAlign w:val="center"/>
          </w:tcPr>
          <w:p w14:paraId="2A2EFD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1.23</w:t>
            </w:r>
          </w:p>
        </w:tc>
        <w:tc>
          <w:tcPr>
            <w:tcW w:w="567" w:type="dxa"/>
            <w:tcBorders>
              <w:top w:val="nil"/>
              <w:left w:val="nil"/>
              <w:bottom w:val="nil"/>
              <w:right w:val="nil"/>
            </w:tcBorders>
            <w:shd w:val="clear" w:color="auto" w:fill="FFFFFF"/>
            <w:tcMar>
              <w:left w:w="67" w:type="dxa"/>
              <w:right w:w="67" w:type="dxa"/>
            </w:tcMar>
            <w:vAlign w:val="center"/>
          </w:tcPr>
          <w:p w14:paraId="67AD90E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89C60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0.2909</w:t>
            </w:r>
          </w:p>
        </w:tc>
      </w:tr>
      <w:tr w:rsidR="00B77EA3" w:rsidRPr="0082484A" w14:paraId="0F3F52D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BF8F6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ED6A1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0CB2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0.039720</w:t>
            </w:r>
          </w:p>
        </w:tc>
        <w:tc>
          <w:tcPr>
            <w:tcW w:w="1134" w:type="dxa"/>
            <w:tcBorders>
              <w:top w:val="nil"/>
              <w:left w:val="nil"/>
              <w:bottom w:val="nil"/>
              <w:right w:val="nil"/>
            </w:tcBorders>
            <w:shd w:val="clear" w:color="auto" w:fill="FFFFFF"/>
            <w:tcMar>
              <w:left w:w="67" w:type="dxa"/>
              <w:right w:w="67" w:type="dxa"/>
            </w:tcMar>
            <w:vAlign w:val="center"/>
          </w:tcPr>
          <w:p w14:paraId="3D2B9B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0.0260</w:t>
            </w:r>
          </w:p>
        </w:tc>
        <w:tc>
          <w:tcPr>
            <w:tcW w:w="1134" w:type="dxa"/>
            <w:tcBorders>
              <w:top w:val="nil"/>
              <w:left w:val="nil"/>
              <w:bottom w:val="nil"/>
              <w:right w:val="nil"/>
            </w:tcBorders>
            <w:shd w:val="clear" w:color="auto" w:fill="FFFFFF"/>
            <w:tcMar>
              <w:left w:w="67" w:type="dxa"/>
              <w:right w:w="67" w:type="dxa"/>
            </w:tcMar>
            <w:vAlign w:val="center"/>
          </w:tcPr>
          <w:p w14:paraId="4CFF1F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-0.0199</w:t>
            </w:r>
          </w:p>
        </w:tc>
        <w:tc>
          <w:tcPr>
            <w:tcW w:w="1134" w:type="dxa"/>
            <w:tcBorders>
              <w:top w:val="nil"/>
              <w:left w:val="nil"/>
              <w:bottom w:val="nil"/>
              <w:right w:val="nil"/>
            </w:tcBorders>
            <w:shd w:val="clear" w:color="auto" w:fill="FFFFFF"/>
            <w:tcMar>
              <w:left w:w="67" w:type="dxa"/>
              <w:right w:w="67" w:type="dxa"/>
            </w:tcMar>
            <w:vAlign w:val="center"/>
          </w:tcPr>
          <w:p w14:paraId="7255FC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0.0994</w:t>
            </w:r>
          </w:p>
        </w:tc>
        <w:tc>
          <w:tcPr>
            <w:tcW w:w="1134" w:type="dxa"/>
            <w:tcBorders>
              <w:top w:val="nil"/>
              <w:left w:val="nil"/>
              <w:bottom w:val="nil"/>
              <w:right w:val="nil"/>
            </w:tcBorders>
            <w:shd w:val="clear" w:color="auto" w:fill="FFFFFF"/>
            <w:tcMar>
              <w:left w:w="67" w:type="dxa"/>
              <w:right w:w="67" w:type="dxa"/>
            </w:tcMar>
            <w:vAlign w:val="center"/>
          </w:tcPr>
          <w:p w14:paraId="67BED3F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D7CC9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D1308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5A94DB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597A2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2B06D5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5601C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0.009339</w:t>
            </w:r>
          </w:p>
        </w:tc>
        <w:tc>
          <w:tcPr>
            <w:tcW w:w="1134" w:type="dxa"/>
            <w:tcBorders>
              <w:top w:val="nil"/>
              <w:left w:val="nil"/>
              <w:bottom w:val="nil"/>
              <w:right w:val="nil"/>
            </w:tcBorders>
            <w:shd w:val="clear" w:color="auto" w:fill="FFFFFF"/>
            <w:tcMar>
              <w:left w:w="67" w:type="dxa"/>
              <w:right w:w="67" w:type="dxa"/>
            </w:tcMar>
            <w:vAlign w:val="center"/>
          </w:tcPr>
          <w:p w14:paraId="1334BEB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0.0202</w:t>
            </w:r>
          </w:p>
        </w:tc>
        <w:tc>
          <w:tcPr>
            <w:tcW w:w="1134" w:type="dxa"/>
            <w:tcBorders>
              <w:top w:val="nil"/>
              <w:left w:val="nil"/>
              <w:bottom w:val="nil"/>
              <w:right w:val="nil"/>
            </w:tcBorders>
            <w:shd w:val="clear" w:color="auto" w:fill="FFFFFF"/>
            <w:tcMar>
              <w:left w:w="67" w:type="dxa"/>
              <w:right w:w="67" w:type="dxa"/>
            </w:tcMar>
            <w:vAlign w:val="center"/>
          </w:tcPr>
          <w:p w14:paraId="698573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-0.0371</w:t>
            </w:r>
          </w:p>
        </w:tc>
        <w:tc>
          <w:tcPr>
            <w:tcW w:w="1134" w:type="dxa"/>
            <w:tcBorders>
              <w:top w:val="nil"/>
              <w:left w:val="nil"/>
              <w:bottom w:val="nil"/>
              <w:right w:val="nil"/>
            </w:tcBorders>
            <w:shd w:val="clear" w:color="auto" w:fill="FFFFFF"/>
            <w:tcMar>
              <w:left w:w="67" w:type="dxa"/>
              <w:right w:w="67" w:type="dxa"/>
            </w:tcMar>
            <w:vAlign w:val="center"/>
          </w:tcPr>
          <w:p w14:paraId="3FB5B3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0.0558</w:t>
            </w:r>
          </w:p>
        </w:tc>
        <w:tc>
          <w:tcPr>
            <w:tcW w:w="1134" w:type="dxa"/>
            <w:tcBorders>
              <w:top w:val="nil"/>
              <w:left w:val="nil"/>
              <w:bottom w:val="nil"/>
              <w:right w:val="nil"/>
            </w:tcBorders>
            <w:shd w:val="clear" w:color="auto" w:fill="FFFFFF"/>
            <w:tcMar>
              <w:left w:w="67" w:type="dxa"/>
              <w:right w:w="67" w:type="dxa"/>
            </w:tcMar>
            <w:vAlign w:val="center"/>
          </w:tcPr>
          <w:p w14:paraId="38B195B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FCA93D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9971FB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882B89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B16ED8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9A20BB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8A71D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-0.031388</w:t>
            </w:r>
          </w:p>
        </w:tc>
        <w:tc>
          <w:tcPr>
            <w:tcW w:w="1134" w:type="dxa"/>
            <w:tcBorders>
              <w:top w:val="nil"/>
              <w:left w:val="nil"/>
              <w:bottom w:val="nil"/>
              <w:right w:val="nil"/>
            </w:tcBorders>
            <w:shd w:val="clear" w:color="auto" w:fill="FFFFFF"/>
            <w:tcMar>
              <w:left w:w="67" w:type="dxa"/>
              <w:right w:w="67" w:type="dxa"/>
            </w:tcMar>
            <w:vAlign w:val="center"/>
          </w:tcPr>
          <w:p w14:paraId="4E296A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0.0272</w:t>
            </w:r>
          </w:p>
        </w:tc>
        <w:tc>
          <w:tcPr>
            <w:tcW w:w="1134" w:type="dxa"/>
            <w:tcBorders>
              <w:top w:val="nil"/>
              <w:left w:val="nil"/>
              <w:bottom w:val="nil"/>
              <w:right w:val="nil"/>
            </w:tcBorders>
            <w:shd w:val="clear" w:color="auto" w:fill="FFFFFF"/>
            <w:tcMar>
              <w:left w:w="67" w:type="dxa"/>
              <w:right w:w="67" w:type="dxa"/>
            </w:tcMar>
            <w:vAlign w:val="center"/>
          </w:tcPr>
          <w:p w14:paraId="25F24F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-0.0939</w:t>
            </w:r>
          </w:p>
        </w:tc>
        <w:tc>
          <w:tcPr>
            <w:tcW w:w="1134" w:type="dxa"/>
            <w:tcBorders>
              <w:top w:val="nil"/>
              <w:left w:val="nil"/>
              <w:bottom w:val="nil"/>
              <w:right w:val="nil"/>
            </w:tcBorders>
            <w:shd w:val="clear" w:color="auto" w:fill="FFFFFF"/>
            <w:tcMar>
              <w:left w:w="67" w:type="dxa"/>
              <w:right w:w="67" w:type="dxa"/>
            </w:tcMar>
            <w:vAlign w:val="center"/>
          </w:tcPr>
          <w:p w14:paraId="5BE866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0.0311</w:t>
            </w:r>
          </w:p>
        </w:tc>
        <w:tc>
          <w:tcPr>
            <w:tcW w:w="1134" w:type="dxa"/>
            <w:tcBorders>
              <w:top w:val="nil"/>
              <w:left w:val="nil"/>
              <w:bottom w:val="nil"/>
              <w:right w:val="nil"/>
            </w:tcBorders>
            <w:shd w:val="clear" w:color="auto" w:fill="FFFFFF"/>
            <w:tcMar>
              <w:left w:w="67" w:type="dxa"/>
              <w:right w:w="67" w:type="dxa"/>
            </w:tcMar>
            <w:vAlign w:val="center"/>
          </w:tcPr>
          <w:p w14:paraId="7DA12E9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B850D1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A548BC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3F5971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EF6EC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7911C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CAA9D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-0.007506</w:t>
            </w:r>
          </w:p>
        </w:tc>
        <w:tc>
          <w:tcPr>
            <w:tcW w:w="1134" w:type="dxa"/>
            <w:tcBorders>
              <w:top w:val="nil"/>
              <w:left w:val="nil"/>
              <w:bottom w:val="nil"/>
              <w:right w:val="nil"/>
            </w:tcBorders>
            <w:shd w:val="clear" w:color="auto" w:fill="FFFFFF"/>
            <w:tcMar>
              <w:left w:w="67" w:type="dxa"/>
              <w:right w:w="67" w:type="dxa"/>
            </w:tcMar>
            <w:vAlign w:val="center"/>
          </w:tcPr>
          <w:p w14:paraId="685EE0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0.0254</w:t>
            </w:r>
          </w:p>
        </w:tc>
        <w:tc>
          <w:tcPr>
            <w:tcW w:w="1134" w:type="dxa"/>
            <w:tcBorders>
              <w:top w:val="nil"/>
              <w:left w:val="nil"/>
              <w:bottom w:val="nil"/>
              <w:right w:val="nil"/>
            </w:tcBorders>
            <w:shd w:val="clear" w:color="auto" w:fill="FFFFFF"/>
            <w:tcMar>
              <w:left w:w="67" w:type="dxa"/>
              <w:right w:w="67" w:type="dxa"/>
            </w:tcMar>
            <w:vAlign w:val="center"/>
          </w:tcPr>
          <w:p w14:paraId="1ACE3F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-0.0658</w:t>
            </w:r>
          </w:p>
        </w:tc>
        <w:tc>
          <w:tcPr>
            <w:tcW w:w="1134" w:type="dxa"/>
            <w:tcBorders>
              <w:top w:val="nil"/>
              <w:left w:val="nil"/>
              <w:bottom w:val="nil"/>
              <w:right w:val="nil"/>
            </w:tcBorders>
            <w:shd w:val="clear" w:color="auto" w:fill="FFFFFF"/>
            <w:tcMar>
              <w:left w:w="67" w:type="dxa"/>
              <w:right w:w="67" w:type="dxa"/>
            </w:tcMar>
            <w:vAlign w:val="center"/>
          </w:tcPr>
          <w:p w14:paraId="756DF2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0.0508</w:t>
            </w:r>
          </w:p>
        </w:tc>
        <w:tc>
          <w:tcPr>
            <w:tcW w:w="1134" w:type="dxa"/>
            <w:tcBorders>
              <w:top w:val="nil"/>
              <w:left w:val="nil"/>
              <w:bottom w:val="nil"/>
              <w:right w:val="nil"/>
            </w:tcBorders>
            <w:shd w:val="clear" w:color="auto" w:fill="FFFFFF"/>
            <w:tcMar>
              <w:left w:w="67" w:type="dxa"/>
              <w:right w:w="67" w:type="dxa"/>
            </w:tcMar>
            <w:vAlign w:val="center"/>
          </w:tcPr>
          <w:p w14:paraId="15EF398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7FB46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F38DFF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688EFA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FB257A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7DA472A"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BE8DC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0.004627</w:t>
            </w:r>
          </w:p>
        </w:tc>
        <w:tc>
          <w:tcPr>
            <w:tcW w:w="1134" w:type="dxa"/>
            <w:tcBorders>
              <w:top w:val="nil"/>
              <w:left w:val="nil"/>
              <w:bottom w:val="nil"/>
              <w:right w:val="nil"/>
            </w:tcBorders>
            <w:shd w:val="clear" w:color="auto" w:fill="FFFFFF"/>
            <w:tcMar>
              <w:left w:w="67" w:type="dxa"/>
              <w:right w:w="67" w:type="dxa"/>
            </w:tcMar>
            <w:vAlign w:val="center"/>
          </w:tcPr>
          <w:p w14:paraId="1F5BC2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0.0279</w:t>
            </w:r>
          </w:p>
        </w:tc>
        <w:tc>
          <w:tcPr>
            <w:tcW w:w="1134" w:type="dxa"/>
            <w:tcBorders>
              <w:top w:val="nil"/>
              <w:left w:val="nil"/>
              <w:bottom w:val="nil"/>
              <w:right w:val="nil"/>
            </w:tcBorders>
            <w:shd w:val="clear" w:color="auto" w:fill="FFFFFF"/>
            <w:tcMar>
              <w:left w:w="67" w:type="dxa"/>
              <w:right w:w="67" w:type="dxa"/>
            </w:tcMar>
            <w:vAlign w:val="center"/>
          </w:tcPr>
          <w:p w14:paraId="1E4BBC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-0.0593</w:t>
            </w:r>
          </w:p>
        </w:tc>
        <w:tc>
          <w:tcPr>
            <w:tcW w:w="1134" w:type="dxa"/>
            <w:tcBorders>
              <w:top w:val="nil"/>
              <w:left w:val="nil"/>
              <w:bottom w:val="nil"/>
              <w:right w:val="nil"/>
            </w:tcBorders>
            <w:shd w:val="clear" w:color="auto" w:fill="FFFFFF"/>
            <w:tcMar>
              <w:left w:w="67" w:type="dxa"/>
              <w:right w:w="67" w:type="dxa"/>
            </w:tcMar>
            <w:vAlign w:val="center"/>
          </w:tcPr>
          <w:p w14:paraId="5A820E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0.0686</w:t>
            </w:r>
          </w:p>
        </w:tc>
        <w:tc>
          <w:tcPr>
            <w:tcW w:w="1134" w:type="dxa"/>
            <w:tcBorders>
              <w:top w:val="nil"/>
              <w:left w:val="nil"/>
              <w:bottom w:val="nil"/>
              <w:right w:val="nil"/>
            </w:tcBorders>
            <w:shd w:val="clear" w:color="auto" w:fill="FFFFFF"/>
            <w:tcMar>
              <w:left w:w="67" w:type="dxa"/>
              <w:right w:w="67" w:type="dxa"/>
            </w:tcMar>
            <w:vAlign w:val="center"/>
          </w:tcPr>
          <w:p w14:paraId="4A7D201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D43DBC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52621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65A19B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E5FC76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B7137B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17379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-0.011024</w:t>
            </w:r>
          </w:p>
        </w:tc>
        <w:tc>
          <w:tcPr>
            <w:tcW w:w="1134" w:type="dxa"/>
            <w:tcBorders>
              <w:top w:val="nil"/>
              <w:left w:val="nil"/>
              <w:bottom w:val="nil"/>
              <w:right w:val="nil"/>
            </w:tcBorders>
            <w:shd w:val="clear" w:color="auto" w:fill="FFFFFF"/>
            <w:tcMar>
              <w:left w:w="67" w:type="dxa"/>
              <w:right w:w="67" w:type="dxa"/>
            </w:tcMar>
            <w:vAlign w:val="center"/>
          </w:tcPr>
          <w:p w14:paraId="1603D7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0.0239</w:t>
            </w:r>
          </w:p>
        </w:tc>
        <w:tc>
          <w:tcPr>
            <w:tcW w:w="1134" w:type="dxa"/>
            <w:tcBorders>
              <w:top w:val="nil"/>
              <w:left w:val="nil"/>
              <w:bottom w:val="nil"/>
              <w:right w:val="nil"/>
            </w:tcBorders>
            <w:shd w:val="clear" w:color="auto" w:fill="FFFFFF"/>
            <w:tcMar>
              <w:left w:w="67" w:type="dxa"/>
              <w:right w:w="67" w:type="dxa"/>
            </w:tcMar>
            <w:vAlign w:val="center"/>
          </w:tcPr>
          <w:p w14:paraId="2C77C6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-0.0659</w:t>
            </w:r>
          </w:p>
        </w:tc>
        <w:tc>
          <w:tcPr>
            <w:tcW w:w="1134" w:type="dxa"/>
            <w:tcBorders>
              <w:top w:val="nil"/>
              <w:left w:val="nil"/>
              <w:bottom w:val="nil"/>
              <w:right w:val="nil"/>
            </w:tcBorders>
            <w:shd w:val="clear" w:color="auto" w:fill="FFFFFF"/>
            <w:tcMar>
              <w:left w:w="67" w:type="dxa"/>
              <w:right w:w="67" w:type="dxa"/>
            </w:tcMar>
            <w:vAlign w:val="center"/>
          </w:tcPr>
          <w:p w14:paraId="0A05E9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0.0438</w:t>
            </w:r>
          </w:p>
        </w:tc>
        <w:tc>
          <w:tcPr>
            <w:tcW w:w="1134" w:type="dxa"/>
            <w:tcBorders>
              <w:top w:val="nil"/>
              <w:left w:val="nil"/>
              <w:bottom w:val="nil"/>
              <w:right w:val="nil"/>
            </w:tcBorders>
            <w:shd w:val="clear" w:color="auto" w:fill="FFFFFF"/>
            <w:tcMar>
              <w:left w:w="67" w:type="dxa"/>
              <w:right w:w="67" w:type="dxa"/>
            </w:tcMar>
            <w:vAlign w:val="center"/>
          </w:tcPr>
          <w:p w14:paraId="1FE9E8A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8F23E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627CC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9D723F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9859B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4B6A72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E3796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0.009086</w:t>
            </w:r>
          </w:p>
        </w:tc>
        <w:tc>
          <w:tcPr>
            <w:tcW w:w="1134" w:type="dxa"/>
            <w:tcBorders>
              <w:top w:val="nil"/>
              <w:left w:val="nil"/>
              <w:bottom w:val="nil"/>
              <w:right w:val="nil"/>
            </w:tcBorders>
            <w:shd w:val="clear" w:color="auto" w:fill="FFFFFF"/>
            <w:tcMar>
              <w:left w:w="67" w:type="dxa"/>
              <w:right w:w="67" w:type="dxa"/>
            </w:tcMar>
            <w:vAlign w:val="center"/>
          </w:tcPr>
          <w:p w14:paraId="458644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0.0247</w:t>
            </w:r>
          </w:p>
        </w:tc>
        <w:tc>
          <w:tcPr>
            <w:tcW w:w="1134" w:type="dxa"/>
            <w:tcBorders>
              <w:top w:val="nil"/>
              <w:left w:val="nil"/>
              <w:bottom w:val="nil"/>
              <w:right w:val="nil"/>
            </w:tcBorders>
            <w:shd w:val="clear" w:color="auto" w:fill="FFFFFF"/>
            <w:tcMar>
              <w:left w:w="67" w:type="dxa"/>
              <w:right w:w="67" w:type="dxa"/>
            </w:tcMar>
            <w:vAlign w:val="center"/>
          </w:tcPr>
          <w:p w14:paraId="4B0C3E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-0.0477</w:t>
            </w:r>
          </w:p>
        </w:tc>
        <w:tc>
          <w:tcPr>
            <w:tcW w:w="1134" w:type="dxa"/>
            <w:tcBorders>
              <w:top w:val="nil"/>
              <w:left w:val="nil"/>
              <w:bottom w:val="nil"/>
              <w:right w:val="nil"/>
            </w:tcBorders>
            <w:shd w:val="clear" w:color="auto" w:fill="FFFFFF"/>
            <w:tcMar>
              <w:left w:w="67" w:type="dxa"/>
              <w:right w:w="67" w:type="dxa"/>
            </w:tcMar>
            <w:vAlign w:val="center"/>
          </w:tcPr>
          <w:p w14:paraId="2FB857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0.0659</w:t>
            </w:r>
          </w:p>
        </w:tc>
        <w:tc>
          <w:tcPr>
            <w:tcW w:w="1134" w:type="dxa"/>
            <w:tcBorders>
              <w:top w:val="nil"/>
              <w:left w:val="nil"/>
              <w:bottom w:val="nil"/>
              <w:right w:val="nil"/>
            </w:tcBorders>
            <w:shd w:val="clear" w:color="auto" w:fill="FFFFFF"/>
            <w:tcMar>
              <w:left w:w="67" w:type="dxa"/>
              <w:right w:w="67" w:type="dxa"/>
            </w:tcMar>
            <w:vAlign w:val="center"/>
          </w:tcPr>
          <w:p w14:paraId="4DF41A8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8A9AE9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9AB32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F8898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8BF4A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D3490E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4A845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0.035433</w:t>
            </w:r>
          </w:p>
        </w:tc>
        <w:tc>
          <w:tcPr>
            <w:tcW w:w="1134" w:type="dxa"/>
            <w:tcBorders>
              <w:top w:val="nil"/>
              <w:left w:val="nil"/>
              <w:bottom w:val="nil"/>
              <w:right w:val="nil"/>
            </w:tcBorders>
            <w:shd w:val="clear" w:color="auto" w:fill="FFFFFF"/>
            <w:tcMar>
              <w:left w:w="67" w:type="dxa"/>
              <w:right w:w="67" w:type="dxa"/>
            </w:tcMar>
            <w:vAlign w:val="center"/>
          </w:tcPr>
          <w:p w14:paraId="5678D6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0.0252</w:t>
            </w:r>
          </w:p>
        </w:tc>
        <w:tc>
          <w:tcPr>
            <w:tcW w:w="1134" w:type="dxa"/>
            <w:tcBorders>
              <w:top w:val="nil"/>
              <w:left w:val="nil"/>
              <w:bottom w:val="nil"/>
              <w:right w:val="nil"/>
            </w:tcBorders>
            <w:shd w:val="clear" w:color="auto" w:fill="FFFFFF"/>
            <w:tcMar>
              <w:left w:w="67" w:type="dxa"/>
              <w:right w:w="67" w:type="dxa"/>
            </w:tcMar>
            <w:vAlign w:val="center"/>
          </w:tcPr>
          <w:p w14:paraId="74C5DE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-0.0224</w:t>
            </w:r>
          </w:p>
        </w:tc>
        <w:tc>
          <w:tcPr>
            <w:tcW w:w="1134" w:type="dxa"/>
            <w:tcBorders>
              <w:top w:val="nil"/>
              <w:left w:val="nil"/>
              <w:bottom w:val="nil"/>
              <w:right w:val="nil"/>
            </w:tcBorders>
            <w:shd w:val="clear" w:color="auto" w:fill="FFFFFF"/>
            <w:tcMar>
              <w:left w:w="67" w:type="dxa"/>
              <w:right w:w="67" w:type="dxa"/>
            </w:tcMar>
            <w:vAlign w:val="center"/>
          </w:tcPr>
          <w:p w14:paraId="6606C6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0.0933</w:t>
            </w:r>
          </w:p>
        </w:tc>
        <w:tc>
          <w:tcPr>
            <w:tcW w:w="1134" w:type="dxa"/>
            <w:tcBorders>
              <w:top w:val="nil"/>
              <w:left w:val="nil"/>
              <w:bottom w:val="nil"/>
              <w:right w:val="nil"/>
            </w:tcBorders>
            <w:shd w:val="clear" w:color="auto" w:fill="FFFFFF"/>
            <w:tcMar>
              <w:left w:w="67" w:type="dxa"/>
              <w:right w:w="67" w:type="dxa"/>
            </w:tcMar>
            <w:vAlign w:val="center"/>
          </w:tcPr>
          <w:p w14:paraId="2CEF708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8BC62C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E272D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45CE38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CC06A8A"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6CC4050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701AFA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-0.000080</w:t>
            </w:r>
          </w:p>
        </w:tc>
        <w:tc>
          <w:tcPr>
            <w:tcW w:w="1134" w:type="dxa"/>
            <w:tcBorders>
              <w:top w:val="nil"/>
              <w:left w:val="nil"/>
              <w:bottom w:val="nil"/>
              <w:right w:val="nil"/>
            </w:tcBorders>
            <w:shd w:val="clear" w:color="auto" w:fill="FFFFFF"/>
            <w:tcMar>
              <w:left w:w="67" w:type="dxa"/>
              <w:right w:w="67" w:type="dxa"/>
            </w:tcMar>
            <w:vAlign w:val="center"/>
          </w:tcPr>
          <w:p w14:paraId="56BCE9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285A48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-0.0031</w:t>
            </w:r>
          </w:p>
        </w:tc>
        <w:tc>
          <w:tcPr>
            <w:tcW w:w="1134" w:type="dxa"/>
            <w:tcBorders>
              <w:top w:val="nil"/>
              <w:left w:val="nil"/>
              <w:bottom w:val="nil"/>
              <w:right w:val="nil"/>
            </w:tcBorders>
            <w:shd w:val="clear" w:color="auto" w:fill="FFFFFF"/>
            <w:tcMar>
              <w:left w:w="67" w:type="dxa"/>
              <w:right w:w="67" w:type="dxa"/>
            </w:tcMar>
            <w:vAlign w:val="center"/>
          </w:tcPr>
          <w:p w14:paraId="2A8C1B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0.0030</w:t>
            </w:r>
          </w:p>
        </w:tc>
        <w:tc>
          <w:tcPr>
            <w:tcW w:w="1134" w:type="dxa"/>
            <w:tcBorders>
              <w:top w:val="nil"/>
              <w:left w:val="nil"/>
              <w:bottom w:val="nil"/>
              <w:right w:val="nil"/>
            </w:tcBorders>
            <w:shd w:val="clear" w:color="auto" w:fill="FFFFFF"/>
            <w:tcMar>
              <w:left w:w="67" w:type="dxa"/>
              <w:right w:w="67" w:type="dxa"/>
            </w:tcMar>
            <w:vAlign w:val="center"/>
          </w:tcPr>
          <w:p w14:paraId="5C0CCC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7215C7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8E40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0.9521</w:t>
            </w:r>
          </w:p>
        </w:tc>
      </w:tr>
      <w:tr w:rsidR="00B77EA3" w:rsidRPr="0082484A" w14:paraId="6F6ADB2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A91139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3AAA9E5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E8958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0.001289</w:t>
            </w:r>
          </w:p>
        </w:tc>
        <w:tc>
          <w:tcPr>
            <w:tcW w:w="1134" w:type="dxa"/>
            <w:tcBorders>
              <w:top w:val="nil"/>
              <w:left w:val="nil"/>
              <w:bottom w:val="nil"/>
              <w:right w:val="nil"/>
            </w:tcBorders>
            <w:shd w:val="clear" w:color="auto" w:fill="FFFFFF"/>
            <w:tcMar>
              <w:left w:w="67" w:type="dxa"/>
              <w:right w:w="67" w:type="dxa"/>
            </w:tcMar>
            <w:vAlign w:val="center"/>
          </w:tcPr>
          <w:p w14:paraId="3620B1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1F492C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554EF4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w:t>
            </w:r>
          </w:p>
        </w:tc>
        <w:tc>
          <w:tcPr>
            <w:tcW w:w="1134" w:type="dxa"/>
            <w:tcBorders>
              <w:top w:val="nil"/>
              <w:left w:val="nil"/>
              <w:bottom w:val="nil"/>
              <w:right w:val="nil"/>
            </w:tcBorders>
            <w:shd w:val="clear" w:color="auto" w:fill="FFFFFF"/>
            <w:tcMar>
              <w:left w:w="67" w:type="dxa"/>
              <w:right w:w="67" w:type="dxa"/>
            </w:tcMar>
            <w:vAlign w:val="center"/>
          </w:tcPr>
          <w:p w14:paraId="510299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2.28</w:t>
            </w:r>
          </w:p>
        </w:tc>
        <w:tc>
          <w:tcPr>
            <w:tcW w:w="567" w:type="dxa"/>
            <w:tcBorders>
              <w:top w:val="nil"/>
              <w:left w:val="nil"/>
              <w:bottom w:val="nil"/>
              <w:right w:val="nil"/>
            </w:tcBorders>
            <w:shd w:val="clear" w:color="auto" w:fill="FFFFFF"/>
            <w:tcMar>
              <w:left w:w="67" w:type="dxa"/>
              <w:right w:w="67" w:type="dxa"/>
            </w:tcMar>
            <w:vAlign w:val="center"/>
          </w:tcPr>
          <w:p w14:paraId="6BC43F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BFB4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0.1361</w:t>
            </w:r>
          </w:p>
        </w:tc>
      </w:tr>
      <w:tr w:rsidR="00B77EA3" w:rsidRPr="0082484A" w14:paraId="7A68C391"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7165E96A"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DB872B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81647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0.000323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9B187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AA1A3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5FC7F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2A33A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3.02</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0AFF180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74A59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0.0871</w:t>
            </w:r>
          </w:p>
        </w:tc>
      </w:tr>
    </w:tbl>
    <w:p w14:paraId="2023963A"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1046EEFD" w14:textId="28AAFBF1" w:rsidR="00B77EA3" w:rsidRPr="0082484A" w:rsidRDefault="00B77EA3" w:rsidP="00B77EA3">
      <w:pPr>
        <w:spacing w:before="0" w:line="240" w:lineRule="auto"/>
        <w:rPr>
          <w:bCs/>
          <w:sz w:val="22"/>
          <w:szCs w:val="22"/>
        </w:rPr>
      </w:pPr>
      <w:bookmarkStart w:id="231" w:name="_Ref502918085"/>
      <w:bookmarkStart w:id="232" w:name="_Toc8728137"/>
      <w:bookmarkStart w:id="233" w:name="_Toc19526792"/>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63</w:t>
      </w:r>
      <w:r w:rsidRPr="0082484A">
        <w:rPr>
          <w:bCs/>
          <w:noProof/>
          <w:sz w:val="22"/>
          <w:szCs w:val="22"/>
        </w:rPr>
        <w:fldChar w:fldCharType="end"/>
      </w:r>
      <w:bookmarkEnd w:id="231"/>
      <w:r w:rsidRPr="0082484A">
        <w:rPr>
          <w:bCs/>
          <w:sz w:val="22"/>
          <w:szCs w:val="22"/>
        </w:rPr>
        <w:t>: Secondary outcome for Trial 1. Achievement of QOF indicator, ‘The percentage of patients with diabetes, on the register, in whom the last blood pressure reading (measured in the preceding 12 months) is 140/80 mmHg or less’ (DM003; WP4a)</w:t>
      </w:r>
      <w:bookmarkEnd w:id="232"/>
      <w:bookmarkEnd w:id="233"/>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15C6A5A6"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C4B1111" w14:textId="77777777" w:rsidR="00B77EA3" w:rsidRPr="0082484A" w:rsidRDefault="00B77EA3" w:rsidP="00B77EA3">
            <w:pPr>
              <w:spacing w:beforeLines="10" w:before="24" w:afterLines="10" w:after="24" w:line="240" w:lineRule="auto"/>
              <w:rPr>
                <w:bCs/>
                <w:sz w:val="22"/>
                <w:szCs w:val="22"/>
              </w:rPr>
            </w:pPr>
            <w:bookmarkStart w:id="234" w:name="IDX55"/>
            <w:bookmarkEnd w:id="234"/>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6DA72A6"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56D09F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3253E3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6D1E32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04618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C1D61F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43FAF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0FF1B4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D96623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CD9AE3"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ABBB82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3E957B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0.000630</w:t>
            </w:r>
          </w:p>
        </w:tc>
        <w:tc>
          <w:tcPr>
            <w:tcW w:w="1134" w:type="dxa"/>
            <w:tcBorders>
              <w:top w:val="nil"/>
              <w:left w:val="nil"/>
              <w:bottom w:val="nil"/>
              <w:right w:val="nil"/>
            </w:tcBorders>
            <w:shd w:val="clear" w:color="auto" w:fill="FFFFFF"/>
            <w:tcMar>
              <w:left w:w="67" w:type="dxa"/>
              <w:right w:w="67" w:type="dxa"/>
            </w:tcMar>
            <w:vAlign w:val="center"/>
          </w:tcPr>
          <w:p w14:paraId="07B58A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0.0231</w:t>
            </w:r>
          </w:p>
        </w:tc>
        <w:tc>
          <w:tcPr>
            <w:tcW w:w="1134" w:type="dxa"/>
            <w:tcBorders>
              <w:top w:val="nil"/>
              <w:left w:val="nil"/>
              <w:bottom w:val="nil"/>
              <w:right w:val="nil"/>
            </w:tcBorders>
            <w:shd w:val="clear" w:color="auto" w:fill="FFFFFF"/>
            <w:tcMar>
              <w:left w:w="67" w:type="dxa"/>
              <w:right w:w="67" w:type="dxa"/>
            </w:tcMar>
            <w:vAlign w:val="center"/>
          </w:tcPr>
          <w:p w14:paraId="5A9A28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-0.0525</w:t>
            </w:r>
          </w:p>
        </w:tc>
        <w:tc>
          <w:tcPr>
            <w:tcW w:w="1134" w:type="dxa"/>
            <w:tcBorders>
              <w:top w:val="nil"/>
              <w:left w:val="nil"/>
              <w:bottom w:val="nil"/>
              <w:right w:val="nil"/>
            </w:tcBorders>
            <w:shd w:val="clear" w:color="auto" w:fill="FFFFFF"/>
            <w:tcMar>
              <w:left w:w="67" w:type="dxa"/>
              <w:right w:w="67" w:type="dxa"/>
            </w:tcMar>
            <w:vAlign w:val="center"/>
          </w:tcPr>
          <w:p w14:paraId="66FF24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0.0537</w:t>
            </w:r>
          </w:p>
        </w:tc>
        <w:tc>
          <w:tcPr>
            <w:tcW w:w="1134" w:type="dxa"/>
            <w:tcBorders>
              <w:top w:val="nil"/>
              <w:left w:val="nil"/>
              <w:bottom w:val="nil"/>
              <w:right w:val="nil"/>
            </w:tcBorders>
            <w:shd w:val="clear" w:color="auto" w:fill="FFFFFF"/>
            <w:tcMar>
              <w:left w:w="67" w:type="dxa"/>
              <w:right w:w="67" w:type="dxa"/>
            </w:tcMar>
            <w:vAlign w:val="center"/>
          </w:tcPr>
          <w:p w14:paraId="6534DC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37F6C5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06D1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0.9784</w:t>
            </w:r>
          </w:p>
        </w:tc>
      </w:tr>
      <w:tr w:rsidR="00B77EA3" w:rsidRPr="0082484A" w14:paraId="2555965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4282EB"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BA527E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F945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0.000186</w:t>
            </w:r>
          </w:p>
        </w:tc>
        <w:tc>
          <w:tcPr>
            <w:tcW w:w="1134" w:type="dxa"/>
            <w:tcBorders>
              <w:top w:val="nil"/>
              <w:left w:val="nil"/>
              <w:bottom w:val="nil"/>
              <w:right w:val="nil"/>
            </w:tcBorders>
            <w:shd w:val="clear" w:color="auto" w:fill="FFFFFF"/>
            <w:tcMar>
              <w:left w:w="67" w:type="dxa"/>
              <w:right w:w="67" w:type="dxa"/>
            </w:tcMar>
            <w:vAlign w:val="center"/>
          </w:tcPr>
          <w:p w14:paraId="5AE0A5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774454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135D30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792D25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w:t>
            </w:r>
          </w:p>
        </w:tc>
        <w:tc>
          <w:tcPr>
            <w:tcW w:w="567" w:type="dxa"/>
            <w:tcBorders>
              <w:top w:val="nil"/>
              <w:left w:val="nil"/>
              <w:bottom w:val="nil"/>
              <w:right w:val="nil"/>
            </w:tcBorders>
            <w:shd w:val="clear" w:color="auto" w:fill="FFFFFF"/>
            <w:tcMar>
              <w:left w:w="67" w:type="dxa"/>
              <w:right w:w="67" w:type="dxa"/>
            </w:tcMar>
            <w:vAlign w:val="center"/>
          </w:tcPr>
          <w:p w14:paraId="53F3B7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DDDC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0.6134</w:t>
            </w:r>
          </w:p>
        </w:tc>
      </w:tr>
      <w:tr w:rsidR="00B77EA3" w:rsidRPr="0082484A" w14:paraId="14A0790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F75BDE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03447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F67A6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-0.044025</w:t>
            </w:r>
          </w:p>
        </w:tc>
        <w:tc>
          <w:tcPr>
            <w:tcW w:w="1134" w:type="dxa"/>
            <w:tcBorders>
              <w:top w:val="nil"/>
              <w:left w:val="nil"/>
              <w:bottom w:val="nil"/>
              <w:right w:val="nil"/>
            </w:tcBorders>
            <w:shd w:val="clear" w:color="auto" w:fill="FFFFFF"/>
            <w:tcMar>
              <w:left w:w="67" w:type="dxa"/>
              <w:right w:w="67" w:type="dxa"/>
            </w:tcMar>
            <w:vAlign w:val="center"/>
          </w:tcPr>
          <w:p w14:paraId="7669CD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0.0686</w:t>
            </w:r>
          </w:p>
        </w:tc>
        <w:tc>
          <w:tcPr>
            <w:tcW w:w="1134" w:type="dxa"/>
            <w:tcBorders>
              <w:top w:val="nil"/>
              <w:left w:val="nil"/>
              <w:bottom w:val="nil"/>
              <w:right w:val="nil"/>
            </w:tcBorders>
            <w:shd w:val="clear" w:color="auto" w:fill="FFFFFF"/>
            <w:tcMar>
              <w:left w:w="67" w:type="dxa"/>
              <w:right w:w="67" w:type="dxa"/>
            </w:tcMar>
            <w:vAlign w:val="center"/>
          </w:tcPr>
          <w:p w14:paraId="53EBE04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-0.2015</w:t>
            </w:r>
          </w:p>
        </w:tc>
        <w:tc>
          <w:tcPr>
            <w:tcW w:w="1134" w:type="dxa"/>
            <w:tcBorders>
              <w:top w:val="nil"/>
              <w:left w:val="nil"/>
              <w:bottom w:val="nil"/>
              <w:right w:val="nil"/>
            </w:tcBorders>
            <w:shd w:val="clear" w:color="auto" w:fill="FFFFFF"/>
            <w:tcMar>
              <w:left w:w="67" w:type="dxa"/>
              <w:right w:w="67" w:type="dxa"/>
            </w:tcMar>
            <w:vAlign w:val="center"/>
          </w:tcPr>
          <w:p w14:paraId="1B0725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0.1135</w:t>
            </w:r>
          </w:p>
        </w:tc>
        <w:tc>
          <w:tcPr>
            <w:tcW w:w="1134" w:type="dxa"/>
            <w:tcBorders>
              <w:top w:val="nil"/>
              <w:left w:val="nil"/>
              <w:bottom w:val="nil"/>
              <w:right w:val="nil"/>
            </w:tcBorders>
            <w:shd w:val="clear" w:color="auto" w:fill="FFFFFF"/>
            <w:tcMar>
              <w:left w:w="67" w:type="dxa"/>
              <w:right w:w="67" w:type="dxa"/>
            </w:tcMar>
            <w:vAlign w:val="center"/>
          </w:tcPr>
          <w:p w14:paraId="7C461E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0.96</w:t>
            </w:r>
          </w:p>
        </w:tc>
        <w:tc>
          <w:tcPr>
            <w:tcW w:w="567" w:type="dxa"/>
            <w:tcBorders>
              <w:top w:val="nil"/>
              <w:left w:val="nil"/>
              <w:bottom w:val="nil"/>
              <w:right w:val="nil"/>
            </w:tcBorders>
            <w:shd w:val="clear" w:color="auto" w:fill="FFFFFF"/>
            <w:tcMar>
              <w:left w:w="67" w:type="dxa"/>
              <w:right w:w="67" w:type="dxa"/>
            </w:tcMar>
            <w:vAlign w:val="center"/>
          </w:tcPr>
          <w:p w14:paraId="2911EF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10EE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0.4793</w:t>
            </w:r>
          </w:p>
        </w:tc>
      </w:tr>
      <w:tr w:rsidR="00B77EA3" w:rsidRPr="0082484A" w14:paraId="7D4ACDE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B50AF4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61228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676E9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0.049570</w:t>
            </w:r>
          </w:p>
        </w:tc>
        <w:tc>
          <w:tcPr>
            <w:tcW w:w="1134" w:type="dxa"/>
            <w:tcBorders>
              <w:top w:val="nil"/>
              <w:left w:val="nil"/>
              <w:bottom w:val="nil"/>
              <w:right w:val="nil"/>
            </w:tcBorders>
            <w:shd w:val="clear" w:color="auto" w:fill="FFFFFF"/>
            <w:tcMar>
              <w:left w:w="67" w:type="dxa"/>
              <w:right w:w="67" w:type="dxa"/>
            </w:tcMar>
            <w:vAlign w:val="center"/>
          </w:tcPr>
          <w:p w14:paraId="2AF2D1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0.0551</w:t>
            </w:r>
          </w:p>
        </w:tc>
        <w:tc>
          <w:tcPr>
            <w:tcW w:w="1134" w:type="dxa"/>
            <w:tcBorders>
              <w:top w:val="nil"/>
              <w:left w:val="nil"/>
              <w:bottom w:val="nil"/>
              <w:right w:val="nil"/>
            </w:tcBorders>
            <w:shd w:val="clear" w:color="auto" w:fill="FFFFFF"/>
            <w:tcMar>
              <w:left w:w="67" w:type="dxa"/>
              <w:right w:w="67" w:type="dxa"/>
            </w:tcMar>
            <w:vAlign w:val="center"/>
          </w:tcPr>
          <w:p w14:paraId="4062D3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-0.0770</w:t>
            </w:r>
          </w:p>
        </w:tc>
        <w:tc>
          <w:tcPr>
            <w:tcW w:w="1134" w:type="dxa"/>
            <w:tcBorders>
              <w:top w:val="nil"/>
              <w:left w:val="nil"/>
              <w:bottom w:val="nil"/>
              <w:right w:val="nil"/>
            </w:tcBorders>
            <w:shd w:val="clear" w:color="auto" w:fill="FFFFFF"/>
            <w:tcMar>
              <w:left w:w="67" w:type="dxa"/>
              <w:right w:w="67" w:type="dxa"/>
            </w:tcMar>
            <w:vAlign w:val="center"/>
          </w:tcPr>
          <w:p w14:paraId="2A45C2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0.1761</w:t>
            </w:r>
          </w:p>
        </w:tc>
        <w:tc>
          <w:tcPr>
            <w:tcW w:w="1134" w:type="dxa"/>
            <w:tcBorders>
              <w:top w:val="nil"/>
              <w:left w:val="nil"/>
              <w:bottom w:val="nil"/>
              <w:right w:val="nil"/>
            </w:tcBorders>
            <w:shd w:val="clear" w:color="auto" w:fill="FFFFFF"/>
            <w:tcMar>
              <w:left w:w="67" w:type="dxa"/>
              <w:right w:w="67" w:type="dxa"/>
            </w:tcMar>
            <w:vAlign w:val="center"/>
          </w:tcPr>
          <w:p w14:paraId="5145785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2732C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D479A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BF71F8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9CA34D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5AFE9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E5CD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0.022605</w:t>
            </w:r>
          </w:p>
        </w:tc>
        <w:tc>
          <w:tcPr>
            <w:tcW w:w="1134" w:type="dxa"/>
            <w:tcBorders>
              <w:top w:val="nil"/>
              <w:left w:val="nil"/>
              <w:bottom w:val="nil"/>
              <w:right w:val="nil"/>
            </w:tcBorders>
            <w:shd w:val="clear" w:color="auto" w:fill="FFFFFF"/>
            <w:tcMar>
              <w:left w:w="67" w:type="dxa"/>
              <w:right w:w="67" w:type="dxa"/>
            </w:tcMar>
            <w:vAlign w:val="center"/>
          </w:tcPr>
          <w:p w14:paraId="791547B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0.0429</w:t>
            </w:r>
          </w:p>
        </w:tc>
        <w:tc>
          <w:tcPr>
            <w:tcW w:w="1134" w:type="dxa"/>
            <w:tcBorders>
              <w:top w:val="nil"/>
              <w:left w:val="nil"/>
              <w:bottom w:val="nil"/>
              <w:right w:val="nil"/>
            </w:tcBorders>
            <w:shd w:val="clear" w:color="auto" w:fill="FFFFFF"/>
            <w:tcMar>
              <w:left w:w="67" w:type="dxa"/>
              <w:right w:w="67" w:type="dxa"/>
            </w:tcMar>
            <w:vAlign w:val="center"/>
          </w:tcPr>
          <w:p w14:paraId="406CA5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-0.0759</w:t>
            </w:r>
          </w:p>
        </w:tc>
        <w:tc>
          <w:tcPr>
            <w:tcW w:w="1134" w:type="dxa"/>
            <w:tcBorders>
              <w:top w:val="nil"/>
              <w:left w:val="nil"/>
              <w:bottom w:val="nil"/>
              <w:right w:val="nil"/>
            </w:tcBorders>
            <w:shd w:val="clear" w:color="auto" w:fill="FFFFFF"/>
            <w:tcMar>
              <w:left w:w="67" w:type="dxa"/>
              <w:right w:w="67" w:type="dxa"/>
            </w:tcMar>
            <w:vAlign w:val="center"/>
          </w:tcPr>
          <w:p w14:paraId="2315E2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0.1211</w:t>
            </w:r>
          </w:p>
        </w:tc>
        <w:tc>
          <w:tcPr>
            <w:tcW w:w="1134" w:type="dxa"/>
            <w:tcBorders>
              <w:top w:val="nil"/>
              <w:left w:val="nil"/>
              <w:bottom w:val="nil"/>
              <w:right w:val="nil"/>
            </w:tcBorders>
            <w:shd w:val="clear" w:color="auto" w:fill="FFFFFF"/>
            <w:tcMar>
              <w:left w:w="67" w:type="dxa"/>
              <w:right w:w="67" w:type="dxa"/>
            </w:tcMar>
            <w:vAlign w:val="center"/>
          </w:tcPr>
          <w:p w14:paraId="19A1779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75CE6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7CD4A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D72BCE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2823AF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91DE2CA"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A9221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-0.052645</w:t>
            </w:r>
          </w:p>
        </w:tc>
        <w:tc>
          <w:tcPr>
            <w:tcW w:w="1134" w:type="dxa"/>
            <w:tcBorders>
              <w:top w:val="nil"/>
              <w:left w:val="nil"/>
              <w:bottom w:val="nil"/>
              <w:right w:val="nil"/>
            </w:tcBorders>
            <w:shd w:val="clear" w:color="auto" w:fill="FFFFFF"/>
            <w:tcMar>
              <w:left w:w="67" w:type="dxa"/>
              <w:right w:w="67" w:type="dxa"/>
            </w:tcMar>
            <w:vAlign w:val="center"/>
          </w:tcPr>
          <w:p w14:paraId="532C19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0.0578</w:t>
            </w:r>
          </w:p>
        </w:tc>
        <w:tc>
          <w:tcPr>
            <w:tcW w:w="1134" w:type="dxa"/>
            <w:tcBorders>
              <w:top w:val="nil"/>
              <w:left w:val="nil"/>
              <w:bottom w:val="nil"/>
              <w:right w:val="nil"/>
            </w:tcBorders>
            <w:shd w:val="clear" w:color="auto" w:fill="FFFFFF"/>
            <w:tcMar>
              <w:left w:w="67" w:type="dxa"/>
              <w:right w:w="67" w:type="dxa"/>
            </w:tcMar>
            <w:vAlign w:val="center"/>
          </w:tcPr>
          <w:p w14:paraId="5DDEEB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-0.1852</w:t>
            </w:r>
          </w:p>
        </w:tc>
        <w:tc>
          <w:tcPr>
            <w:tcW w:w="1134" w:type="dxa"/>
            <w:tcBorders>
              <w:top w:val="nil"/>
              <w:left w:val="nil"/>
              <w:bottom w:val="nil"/>
              <w:right w:val="nil"/>
            </w:tcBorders>
            <w:shd w:val="clear" w:color="auto" w:fill="FFFFFF"/>
            <w:tcMar>
              <w:left w:w="67" w:type="dxa"/>
              <w:right w:w="67" w:type="dxa"/>
            </w:tcMar>
            <w:vAlign w:val="center"/>
          </w:tcPr>
          <w:p w14:paraId="4C0552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0.0800</w:t>
            </w:r>
          </w:p>
        </w:tc>
        <w:tc>
          <w:tcPr>
            <w:tcW w:w="1134" w:type="dxa"/>
            <w:tcBorders>
              <w:top w:val="nil"/>
              <w:left w:val="nil"/>
              <w:bottom w:val="nil"/>
              <w:right w:val="nil"/>
            </w:tcBorders>
            <w:shd w:val="clear" w:color="auto" w:fill="FFFFFF"/>
            <w:tcMar>
              <w:left w:w="67" w:type="dxa"/>
              <w:right w:w="67" w:type="dxa"/>
            </w:tcMar>
            <w:vAlign w:val="center"/>
          </w:tcPr>
          <w:p w14:paraId="033BBB5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58FD31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A1562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AFE837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5C5E69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42C5F0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45D1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-0.045333</w:t>
            </w:r>
          </w:p>
        </w:tc>
        <w:tc>
          <w:tcPr>
            <w:tcW w:w="1134" w:type="dxa"/>
            <w:tcBorders>
              <w:top w:val="nil"/>
              <w:left w:val="nil"/>
              <w:bottom w:val="nil"/>
              <w:right w:val="nil"/>
            </w:tcBorders>
            <w:shd w:val="clear" w:color="auto" w:fill="FFFFFF"/>
            <w:tcMar>
              <w:left w:w="67" w:type="dxa"/>
              <w:right w:w="67" w:type="dxa"/>
            </w:tcMar>
            <w:vAlign w:val="center"/>
          </w:tcPr>
          <w:p w14:paraId="327D4C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0.0539</w:t>
            </w:r>
          </w:p>
        </w:tc>
        <w:tc>
          <w:tcPr>
            <w:tcW w:w="1134" w:type="dxa"/>
            <w:tcBorders>
              <w:top w:val="nil"/>
              <w:left w:val="nil"/>
              <w:bottom w:val="nil"/>
              <w:right w:val="nil"/>
            </w:tcBorders>
            <w:shd w:val="clear" w:color="auto" w:fill="FFFFFF"/>
            <w:tcMar>
              <w:left w:w="67" w:type="dxa"/>
              <w:right w:w="67" w:type="dxa"/>
            </w:tcMar>
            <w:vAlign w:val="center"/>
          </w:tcPr>
          <w:p w14:paraId="0BF360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-0.1691</w:t>
            </w:r>
          </w:p>
        </w:tc>
        <w:tc>
          <w:tcPr>
            <w:tcW w:w="1134" w:type="dxa"/>
            <w:tcBorders>
              <w:top w:val="nil"/>
              <w:left w:val="nil"/>
              <w:bottom w:val="nil"/>
              <w:right w:val="nil"/>
            </w:tcBorders>
            <w:shd w:val="clear" w:color="auto" w:fill="FFFFFF"/>
            <w:tcMar>
              <w:left w:w="67" w:type="dxa"/>
              <w:right w:w="67" w:type="dxa"/>
            </w:tcMar>
            <w:vAlign w:val="center"/>
          </w:tcPr>
          <w:p w14:paraId="12D02F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0.0784</w:t>
            </w:r>
          </w:p>
        </w:tc>
        <w:tc>
          <w:tcPr>
            <w:tcW w:w="1134" w:type="dxa"/>
            <w:tcBorders>
              <w:top w:val="nil"/>
              <w:left w:val="nil"/>
              <w:bottom w:val="nil"/>
              <w:right w:val="nil"/>
            </w:tcBorders>
            <w:shd w:val="clear" w:color="auto" w:fill="FFFFFF"/>
            <w:tcMar>
              <w:left w:w="67" w:type="dxa"/>
              <w:right w:w="67" w:type="dxa"/>
            </w:tcMar>
            <w:vAlign w:val="center"/>
          </w:tcPr>
          <w:p w14:paraId="57ABCE0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50B338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C5F96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76A121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06674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DB458E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AC418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0.005583</w:t>
            </w:r>
          </w:p>
        </w:tc>
        <w:tc>
          <w:tcPr>
            <w:tcW w:w="1134" w:type="dxa"/>
            <w:tcBorders>
              <w:top w:val="nil"/>
              <w:left w:val="nil"/>
              <w:bottom w:val="nil"/>
              <w:right w:val="nil"/>
            </w:tcBorders>
            <w:shd w:val="clear" w:color="auto" w:fill="FFFFFF"/>
            <w:tcMar>
              <w:left w:w="67" w:type="dxa"/>
              <w:right w:w="67" w:type="dxa"/>
            </w:tcMar>
            <w:vAlign w:val="center"/>
          </w:tcPr>
          <w:p w14:paraId="2FEF73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0.0591</w:t>
            </w:r>
          </w:p>
        </w:tc>
        <w:tc>
          <w:tcPr>
            <w:tcW w:w="1134" w:type="dxa"/>
            <w:tcBorders>
              <w:top w:val="nil"/>
              <w:left w:val="nil"/>
              <w:bottom w:val="nil"/>
              <w:right w:val="nil"/>
            </w:tcBorders>
            <w:shd w:val="clear" w:color="auto" w:fill="FFFFFF"/>
            <w:tcMar>
              <w:left w:w="67" w:type="dxa"/>
              <w:right w:w="67" w:type="dxa"/>
            </w:tcMar>
            <w:vAlign w:val="center"/>
          </w:tcPr>
          <w:p w14:paraId="103971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-0.1302</w:t>
            </w:r>
          </w:p>
        </w:tc>
        <w:tc>
          <w:tcPr>
            <w:tcW w:w="1134" w:type="dxa"/>
            <w:tcBorders>
              <w:top w:val="nil"/>
              <w:left w:val="nil"/>
              <w:bottom w:val="nil"/>
              <w:right w:val="nil"/>
            </w:tcBorders>
            <w:shd w:val="clear" w:color="auto" w:fill="FFFFFF"/>
            <w:tcMar>
              <w:left w:w="67" w:type="dxa"/>
              <w:right w:w="67" w:type="dxa"/>
            </w:tcMar>
            <w:vAlign w:val="center"/>
          </w:tcPr>
          <w:p w14:paraId="06D1D3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0.1413</w:t>
            </w:r>
          </w:p>
        </w:tc>
        <w:tc>
          <w:tcPr>
            <w:tcW w:w="1134" w:type="dxa"/>
            <w:tcBorders>
              <w:top w:val="nil"/>
              <w:left w:val="nil"/>
              <w:bottom w:val="nil"/>
              <w:right w:val="nil"/>
            </w:tcBorders>
            <w:shd w:val="clear" w:color="auto" w:fill="FFFFFF"/>
            <w:tcMar>
              <w:left w:w="67" w:type="dxa"/>
              <w:right w:w="67" w:type="dxa"/>
            </w:tcMar>
            <w:vAlign w:val="center"/>
          </w:tcPr>
          <w:p w14:paraId="3AA1046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33B7D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1FAE2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422EC6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B4423F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023A18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1F79A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-0.023108</w:t>
            </w:r>
          </w:p>
        </w:tc>
        <w:tc>
          <w:tcPr>
            <w:tcW w:w="1134" w:type="dxa"/>
            <w:tcBorders>
              <w:top w:val="nil"/>
              <w:left w:val="nil"/>
              <w:bottom w:val="nil"/>
              <w:right w:val="nil"/>
            </w:tcBorders>
            <w:shd w:val="clear" w:color="auto" w:fill="FFFFFF"/>
            <w:tcMar>
              <w:left w:w="67" w:type="dxa"/>
              <w:right w:w="67" w:type="dxa"/>
            </w:tcMar>
            <w:vAlign w:val="center"/>
          </w:tcPr>
          <w:p w14:paraId="32E528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0.0507</w:t>
            </w:r>
          </w:p>
        </w:tc>
        <w:tc>
          <w:tcPr>
            <w:tcW w:w="1134" w:type="dxa"/>
            <w:tcBorders>
              <w:top w:val="nil"/>
              <w:left w:val="nil"/>
              <w:bottom w:val="nil"/>
              <w:right w:val="nil"/>
            </w:tcBorders>
            <w:shd w:val="clear" w:color="auto" w:fill="FFFFFF"/>
            <w:tcMar>
              <w:left w:w="67" w:type="dxa"/>
              <w:right w:w="67" w:type="dxa"/>
            </w:tcMar>
            <w:vAlign w:val="center"/>
          </w:tcPr>
          <w:p w14:paraId="1C49A0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-0.1395</w:t>
            </w:r>
          </w:p>
        </w:tc>
        <w:tc>
          <w:tcPr>
            <w:tcW w:w="1134" w:type="dxa"/>
            <w:tcBorders>
              <w:top w:val="nil"/>
              <w:left w:val="nil"/>
              <w:bottom w:val="nil"/>
              <w:right w:val="nil"/>
            </w:tcBorders>
            <w:shd w:val="clear" w:color="auto" w:fill="FFFFFF"/>
            <w:tcMar>
              <w:left w:w="67" w:type="dxa"/>
              <w:right w:w="67" w:type="dxa"/>
            </w:tcMar>
            <w:vAlign w:val="center"/>
          </w:tcPr>
          <w:p w14:paraId="4F9C0AA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0.0933</w:t>
            </w:r>
          </w:p>
        </w:tc>
        <w:tc>
          <w:tcPr>
            <w:tcW w:w="1134" w:type="dxa"/>
            <w:tcBorders>
              <w:top w:val="nil"/>
              <w:left w:val="nil"/>
              <w:bottom w:val="nil"/>
              <w:right w:val="nil"/>
            </w:tcBorders>
            <w:shd w:val="clear" w:color="auto" w:fill="FFFFFF"/>
            <w:tcMar>
              <w:left w:w="67" w:type="dxa"/>
              <w:right w:w="67" w:type="dxa"/>
            </w:tcMar>
            <w:vAlign w:val="center"/>
          </w:tcPr>
          <w:p w14:paraId="3051841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44E42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7F2AEA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9DB86B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AD3D39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B68BC6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C102A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0.027589</w:t>
            </w:r>
          </w:p>
        </w:tc>
        <w:tc>
          <w:tcPr>
            <w:tcW w:w="1134" w:type="dxa"/>
            <w:tcBorders>
              <w:top w:val="nil"/>
              <w:left w:val="nil"/>
              <w:bottom w:val="nil"/>
              <w:right w:val="nil"/>
            </w:tcBorders>
            <w:shd w:val="clear" w:color="auto" w:fill="FFFFFF"/>
            <w:tcMar>
              <w:left w:w="67" w:type="dxa"/>
              <w:right w:w="67" w:type="dxa"/>
            </w:tcMar>
            <w:vAlign w:val="center"/>
          </w:tcPr>
          <w:p w14:paraId="332F2F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0.0525</w:t>
            </w:r>
          </w:p>
        </w:tc>
        <w:tc>
          <w:tcPr>
            <w:tcW w:w="1134" w:type="dxa"/>
            <w:tcBorders>
              <w:top w:val="nil"/>
              <w:left w:val="nil"/>
              <w:bottom w:val="nil"/>
              <w:right w:val="nil"/>
            </w:tcBorders>
            <w:shd w:val="clear" w:color="auto" w:fill="FFFFFF"/>
            <w:tcMar>
              <w:left w:w="67" w:type="dxa"/>
              <w:right w:w="67" w:type="dxa"/>
            </w:tcMar>
            <w:vAlign w:val="center"/>
          </w:tcPr>
          <w:p w14:paraId="343C61F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-0.0929</w:t>
            </w:r>
          </w:p>
        </w:tc>
        <w:tc>
          <w:tcPr>
            <w:tcW w:w="1134" w:type="dxa"/>
            <w:tcBorders>
              <w:top w:val="nil"/>
              <w:left w:val="nil"/>
              <w:bottom w:val="nil"/>
              <w:right w:val="nil"/>
            </w:tcBorders>
            <w:shd w:val="clear" w:color="auto" w:fill="FFFFFF"/>
            <w:tcMar>
              <w:left w:w="67" w:type="dxa"/>
              <w:right w:w="67" w:type="dxa"/>
            </w:tcMar>
            <w:vAlign w:val="center"/>
          </w:tcPr>
          <w:p w14:paraId="0B8604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0.1480</w:t>
            </w:r>
          </w:p>
        </w:tc>
        <w:tc>
          <w:tcPr>
            <w:tcW w:w="1134" w:type="dxa"/>
            <w:tcBorders>
              <w:top w:val="nil"/>
              <w:left w:val="nil"/>
              <w:bottom w:val="nil"/>
              <w:right w:val="nil"/>
            </w:tcBorders>
            <w:shd w:val="clear" w:color="auto" w:fill="FFFFFF"/>
            <w:tcMar>
              <w:left w:w="67" w:type="dxa"/>
              <w:right w:w="67" w:type="dxa"/>
            </w:tcMar>
            <w:vAlign w:val="center"/>
          </w:tcPr>
          <w:p w14:paraId="2F59854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85B21C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B2C9EF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0657C6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5CB95E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E42E27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6F79C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0.049946</w:t>
            </w:r>
          </w:p>
        </w:tc>
        <w:tc>
          <w:tcPr>
            <w:tcW w:w="1134" w:type="dxa"/>
            <w:tcBorders>
              <w:top w:val="nil"/>
              <w:left w:val="nil"/>
              <w:bottom w:val="nil"/>
              <w:right w:val="nil"/>
            </w:tcBorders>
            <w:shd w:val="clear" w:color="auto" w:fill="FFFFFF"/>
            <w:tcMar>
              <w:left w:w="67" w:type="dxa"/>
              <w:right w:w="67" w:type="dxa"/>
            </w:tcMar>
            <w:vAlign w:val="center"/>
          </w:tcPr>
          <w:p w14:paraId="644D9B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0.0535</w:t>
            </w:r>
          </w:p>
        </w:tc>
        <w:tc>
          <w:tcPr>
            <w:tcW w:w="1134" w:type="dxa"/>
            <w:tcBorders>
              <w:top w:val="nil"/>
              <w:left w:val="nil"/>
              <w:bottom w:val="nil"/>
              <w:right w:val="nil"/>
            </w:tcBorders>
            <w:shd w:val="clear" w:color="auto" w:fill="FFFFFF"/>
            <w:tcMar>
              <w:left w:w="67" w:type="dxa"/>
              <w:right w:w="67" w:type="dxa"/>
            </w:tcMar>
            <w:vAlign w:val="center"/>
          </w:tcPr>
          <w:p w14:paraId="105278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-0.0728</w:t>
            </w:r>
          </w:p>
        </w:tc>
        <w:tc>
          <w:tcPr>
            <w:tcW w:w="1134" w:type="dxa"/>
            <w:tcBorders>
              <w:top w:val="nil"/>
              <w:left w:val="nil"/>
              <w:bottom w:val="nil"/>
              <w:right w:val="nil"/>
            </w:tcBorders>
            <w:shd w:val="clear" w:color="auto" w:fill="FFFFFF"/>
            <w:tcMar>
              <w:left w:w="67" w:type="dxa"/>
              <w:right w:w="67" w:type="dxa"/>
            </w:tcMar>
            <w:vAlign w:val="center"/>
          </w:tcPr>
          <w:p w14:paraId="46F136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0.1727</w:t>
            </w:r>
          </w:p>
        </w:tc>
        <w:tc>
          <w:tcPr>
            <w:tcW w:w="1134" w:type="dxa"/>
            <w:tcBorders>
              <w:top w:val="nil"/>
              <w:left w:val="nil"/>
              <w:bottom w:val="nil"/>
              <w:right w:val="nil"/>
            </w:tcBorders>
            <w:shd w:val="clear" w:color="auto" w:fill="FFFFFF"/>
            <w:tcMar>
              <w:left w:w="67" w:type="dxa"/>
              <w:right w:w="67" w:type="dxa"/>
            </w:tcMar>
            <w:vAlign w:val="center"/>
          </w:tcPr>
          <w:p w14:paraId="2EBFDBE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1646E1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DFFFC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732ABE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62F50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F5E02E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4A316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0.003622</w:t>
            </w:r>
          </w:p>
        </w:tc>
        <w:tc>
          <w:tcPr>
            <w:tcW w:w="1134" w:type="dxa"/>
            <w:tcBorders>
              <w:top w:val="nil"/>
              <w:left w:val="nil"/>
              <w:bottom w:val="nil"/>
              <w:right w:val="nil"/>
            </w:tcBorders>
            <w:shd w:val="clear" w:color="auto" w:fill="FFFFFF"/>
            <w:tcMar>
              <w:left w:w="67" w:type="dxa"/>
              <w:right w:w="67" w:type="dxa"/>
            </w:tcMar>
            <w:vAlign w:val="center"/>
          </w:tcPr>
          <w:p w14:paraId="3FA666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0.0028</w:t>
            </w:r>
          </w:p>
        </w:tc>
        <w:tc>
          <w:tcPr>
            <w:tcW w:w="1134" w:type="dxa"/>
            <w:tcBorders>
              <w:top w:val="nil"/>
              <w:left w:val="nil"/>
              <w:bottom w:val="nil"/>
              <w:right w:val="nil"/>
            </w:tcBorders>
            <w:shd w:val="clear" w:color="auto" w:fill="FFFFFF"/>
            <w:tcMar>
              <w:left w:w="67" w:type="dxa"/>
              <w:right w:w="67" w:type="dxa"/>
            </w:tcMar>
            <w:vAlign w:val="center"/>
          </w:tcPr>
          <w:p w14:paraId="6DAB16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-0.0028</w:t>
            </w:r>
          </w:p>
        </w:tc>
        <w:tc>
          <w:tcPr>
            <w:tcW w:w="1134" w:type="dxa"/>
            <w:tcBorders>
              <w:top w:val="nil"/>
              <w:left w:val="nil"/>
              <w:bottom w:val="nil"/>
              <w:right w:val="nil"/>
            </w:tcBorders>
            <w:shd w:val="clear" w:color="auto" w:fill="FFFFFF"/>
            <w:tcMar>
              <w:left w:w="67" w:type="dxa"/>
              <w:right w:w="67" w:type="dxa"/>
            </w:tcMar>
            <w:vAlign w:val="center"/>
          </w:tcPr>
          <w:p w14:paraId="57828F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0.0101</w:t>
            </w:r>
          </w:p>
        </w:tc>
        <w:tc>
          <w:tcPr>
            <w:tcW w:w="1134" w:type="dxa"/>
            <w:tcBorders>
              <w:top w:val="nil"/>
              <w:left w:val="nil"/>
              <w:bottom w:val="nil"/>
              <w:right w:val="nil"/>
            </w:tcBorders>
            <w:shd w:val="clear" w:color="auto" w:fill="FFFFFF"/>
            <w:tcMar>
              <w:left w:w="67" w:type="dxa"/>
              <w:right w:w="67" w:type="dxa"/>
            </w:tcMar>
            <w:vAlign w:val="center"/>
          </w:tcPr>
          <w:p w14:paraId="46CD45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1.66</w:t>
            </w:r>
          </w:p>
        </w:tc>
        <w:tc>
          <w:tcPr>
            <w:tcW w:w="567" w:type="dxa"/>
            <w:tcBorders>
              <w:top w:val="nil"/>
              <w:left w:val="nil"/>
              <w:bottom w:val="nil"/>
              <w:right w:val="nil"/>
            </w:tcBorders>
            <w:shd w:val="clear" w:color="auto" w:fill="FFFFFF"/>
            <w:tcMar>
              <w:left w:w="67" w:type="dxa"/>
              <w:right w:w="67" w:type="dxa"/>
            </w:tcMar>
            <w:vAlign w:val="center"/>
          </w:tcPr>
          <w:p w14:paraId="4BE269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FAAFA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0.2020</w:t>
            </w:r>
          </w:p>
        </w:tc>
      </w:tr>
      <w:tr w:rsidR="00B77EA3" w:rsidRPr="0082484A" w14:paraId="7575DEA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DF8D8BD"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7E9FAA3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E510A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0.002017</w:t>
            </w:r>
          </w:p>
        </w:tc>
        <w:tc>
          <w:tcPr>
            <w:tcW w:w="1134" w:type="dxa"/>
            <w:tcBorders>
              <w:top w:val="nil"/>
              <w:left w:val="nil"/>
              <w:bottom w:val="nil"/>
              <w:right w:val="nil"/>
            </w:tcBorders>
            <w:shd w:val="clear" w:color="auto" w:fill="FFFFFF"/>
            <w:tcMar>
              <w:left w:w="67" w:type="dxa"/>
              <w:right w:w="67" w:type="dxa"/>
            </w:tcMar>
            <w:vAlign w:val="center"/>
          </w:tcPr>
          <w:p w14:paraId="160985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06408B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752BC5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0.0062</w:t>
            </w:r>
          </w:p>
        </w:tc>
        <w:tc>
          <w:tcPr>
            <w:tcW w:w="1134" w:type="dxa"/>
            <w:tcBorders>
              <w:top w:val="nil"/>
              <w:left w:val="nil"/>
              <w:bottom w:val="nil"/>
              <w:right w:val="nil"/>
            </w:tcBorders>
            <w:shd w:val="clear" w:color="auto" w:fill="FFFFFF"/>
            <w:tcMar>
              <w:left w:w="67" w:type="dxa"/>
              <w:right w:w="67" w:type="dxa"/>
            </w:tcMar>
            <w:vAlign w:val="center"/>
          </w:tcPr>
          <w:p w14:paraId="2B3E43F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1.24</w:t>
            </w:r>
          </w:p>
        </w:tc>
        <w:tc>
          <w:tcPr>
            <w:tcW w:w="567" w:type="dxa"/>
            <w:tcBorders>
              <w:top w:val="nil"/>
              <w:left w:val="nil"/>
              <w:bottom w:val="nil"/>
              <w:right w:val="nil"/>
            </w:tcBorders>
            <w:shd w:val="clear" w:color="auto" w:fill="FFFFFF"/>
            <w:tcMar>
              <w:left w:w="67" w:type="dxa"/>
              <w:right w:w="67" w:type="dxa"/>
            </w:tcMar>
            <w:vAlign w:val="center"/>
          </w:tcPr>
          <w:p w14:paraId="0EC23E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CEE85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0.2699</w:t>
            </w:r>
          </w:p>
        </w:tc>
      </w:tr>
      <w:tr w:rsidR="00B77EA3" w:rsidRPr="0082484A" w14:paraId="15677A59"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5EAEE07"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0BA621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95163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0.000862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260DF8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96B68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8A518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B350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4.79</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A28B9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776915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0.0324</w:t>
            </w:r>
          </w:p>
        </w:tc>
      </w:tr>
    </w:tbl>
    <w:p w14:paraId="3DCD5F1B"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0AC6602F" w14:textId="3CB21768" w:rsidR="00B77EA3" w:rsidRPr="0082484A" w:rsidRDefault="00B77EA3" w:rsidP="00B77EA3">
      <w:pPr>
        <w:spacing w:before="0" w:line="240" w:lineRule="auto"/>
        <w:rPr>
          <w:bCs/>
          <w:sz w:val="22"/>
          <w:szCs w:val="22"/>
        </w:rPr>
      </w:pPr>
      <w:bookmarkStart w:id="235" w:name="_Ref502918088"/>
      <w:bookmarkStart w:id="236" w:name="_Toc8728138"/>
      <w:bookmarkStart w:id="237" w:name="_Toc19526793"/>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64</w:t>
      </w:r>
      <w:r w:rsidRPr="0082484A">
        <w:rPr>
          <w:bCs/>
          <w:noProof/>
          <w:sz w:val="22"/>
          <w:szCs w:val="22"/>
        </w:rPr>
        <w:fldChar w:fldCharType="end"/>
      </w:r>
      <w:bookmarkEnd w:id="235"/>
      <w:r w:rsidRPr="0082484A">
        <w:rPr>
          <w:bCs/>
          <w:sz w:val="22"/>
          <w:szCs w:val="22"/>
        </w:rPr>
        <w:t>: Secondary outcome for Trial 1. Achievement of QOF indicator, ‘The percentage of patients with diabetes, on the register, whose last total cholesterol (measured within the preceding 12 months) is 5 mmol/l or less’ (DM004) (WP4a)</w:t>
      </w:r>
      <w:bookmarkEnd w:id="236"/>
      <w:bookmarkEnd w:id="237"/>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17543F63"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764A896" w14:textId="77777777" w:rsidR="00B77EA3" w:rsidRPr="0082484A" w:rsidRDefault="00B77EA3" w:rsidP="00B77EA3">
            <w:pPr>
              <w:spacing w:beforeLines="10" w:before="24" w:afterLines="10" w:after="24" w:line="240" w:lineRule="auto"/>
              <w:rPr>
                <w:bCs/>
                <w:sz w:val="22"/>
                <w:szCs w:val="22"/>
              </w:rPr>
            </w:pPr>
            <w:bookmarkStart w:id="238" w:name="IDX63"/>
            <w:bookmarkEnd w:id="238"/>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BA48790"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1F18FEF"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B2B779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D98162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E95B8E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E2F8E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E740D0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524FEE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DE4966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6106D6B"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0F425B0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FAB7F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-0.001213</w:t>
            </w:r>
          </w:p>
        </w:tc>
        <w:tc>
          <w:tcPr>
            <w:tcW w:w="1134" w:type="dxa"/>
            <w:tcBorders>
              <w:top w:val="nil"/>
              <w:left w:val="nil"/>
              <w:bottom w:val="nil"/>
              <w:right w:val="nil"/>
            </w:tcBorders>
            <w:shd w:val="clear" w:color="auto" w:fill="FFFFFF"/>
            <w:tcMar>
              <w:left w:w="67" w:type="dxa"/>
              <w:right w:w="67" w:type="dxa"/>
            </w:tcMar>
            <w:vAlign w:val="center"/>
          </w:tcPr>
          <w:p w14:paraId="713AB4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0.0168</w:t>
            </w:r>
          </w:p>
        </w:tc>
        <w:tc>
          <w:tcPr>
            <w:tcW w:w="1134" w:type="dxa"/>
            <w:tcBorders>
              <w:top w:val="nil"/>
              <w:left w:val="nil"/>
              <w:bottom w:val="nil"/>
              <w:right w:val="nil"/>
            </w:tcBorders>
            <w:shd w:val="clear" w:color="auto" w:fill="FFFFFF"/>
            <w:tcMar>
              <w:left w:w="67" w:type="dxa"/>
              <w:right w:w="67" w:type="dxa"/>
            </w:tcMar>
            <w:vAlign w:val="center"/>
          </w:tcPr>
          <w:p w14:paraId="74293D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-0.0397</w:t>
            </w:r>
          </w:p>
        </w:tc>
        <w:tc>
          <w:tcPr>
            <w:tcW w:w="1134" w:type="dxa"/>
            <w:tcBorders>
              <w:top w:val="nil"/>
              <w:left w:val="nil"/>
              <w:bottom w:val="nil"/>
              <w:right w:val="nil"/>
            </w:tcBorders>
            <w:shd w:val="clear" w:color="auto" w:fill="FFFFFF"/>
            <w:tcMar>
              <w:left w:w="67" w:type="dxa"/>
              <w:right w:w="67" w:type="dxa"/>
            </w:tcMar>
            <w:vAlign w:val="center"/>
          </w:tcPr>
          <w:p w14:paraId="6D359B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0.0373</w:t>
            </w:r>
          </w:p>
        </w:tc>
        <w:tc>
          <w:tcPr>
            <w:tcW w:w="1134" w:type="dxa"/>
            <w:tcBorders>
              <w:top w:val="nil"/>
              <w:left w:val="nil"/>
              <w:bottom w:val="nil"/>
              <w:right w:val="nil"/>
            </w:tcBorders>
            <w:shd w:val="clear" w:color="auto" w:fill="FFFFFF"/>
            <w:tcMar>
              <w:left w:w="67" w:type="dxa"/>
              <w:right w:w="67" w:type="dxa"/>
            </w:tcMar>
            <w:vAlign w:val="center"/>
          </w:tcPr>
          <w:p w14:paraId="3C957B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4DA153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1156C3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0.9426</w:t>
            </w:r>
          </w:p>
        </w:tc>
      </w:tr>
      <w:tr w:rsidR="00B77EA3" w:rsidRPr="0082484A" w14:paraId="1978860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56AB7E5"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1A1DBB5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1A7ADE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0.000113</w:t>
            </w:r>
          </w:p>
        </w:tc>
        <w:tc>
          <w:tcPr>
            <w:tcW w:w="1134" w:type="dxa"/>
            <w:tcBorders>
              <w:top w:val="nil"/>
              <w:left w:val="nil"/>
              <w:bottom w:val="nil"/>
              <w:right w:val="nil"/>
            </w:tcBorders>
            <w:shd w:val="clear" w:color="auto" w:fill="FFFFFF"/>
            <w:tcMar>
              <w:left w:w="67" w:type="dxa"/>
              <w:right w:w="67" w:type="dxa"/>
            </w:tcMar>
            <w:vAlign w:val="center"/>
          </w:tcPr>
          <w:p w14:paraId="18C829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51FF1D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43115B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0BF8D75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w:t>
            </w:r>
          </w:p>
        </w:tc>
        <w:tc>
          <w:tcPr>
            <w:tcW w:w="567" w:type="dxa"/>
            <w:tcBorders>
              <w:top w:val="nil"/>
              <w:left w:val="nil"/>
              <w:bottom w:val="nil"/>
              <w:right w:val="nil"/>
            </w:tcBorders>
            <w:shd w:val="clear" w:color="auto" w:fill="FFFFFF"/>
            <w:tcMar>
              <w:left w:w="67" w:type="dxa"/>
              <w:right w:w="67" w:type="dxa"/>
            </w:tcMar>
            <w:vAlign w:val="center"/>
          </w:tcPr>
          <w:p w14:paraId="64693C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432BC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0.6724</w:t>
            </w:r>
          </w:p>
        </w:tc>
      </w:tr>
      <w:tr w:rsidR="00B77EA3" w:rsidRPr="0082484A" w14:paraId="0B6FC7D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FB995D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DB69C9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1A249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0.010602</w:t>
            </w:r>
          </w:p>
        </w:tc>
        <w:tc>
          <w:tcPr>
            <w:tcW w:w="1134" w:type="dxa"/>
            <w:tcBorders>
              <w:top w:val="nil"/>
              <w:left w:val="nil"/>
              <w:bottom w:val="nil"/>
              <w:right w:val="nil"/>
            </w:tcBorders>
            <w:shd w:val="clear" w:color="auto" w:fill="FFFFFF"/>
            <w:tcMar>
              <w:left w:w="67" w:type="dxa"/>
              <w:right w:w="67" w:type="dxa"/>
            </w:tcMar>
            <w:vAlign w:val="center"/>
          </w:tcPr>
          <w:p w14:paraId="79E070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0.0498</w:t>
            </w:r>
          </w:p>
        </w:tc>
        <w:tc>
          <w:tcPr>
            <w:tcW w:w="1134" w:type="dxa"/>
            <w:tcBorders>
              <w:top w:val="nil"/>
              <w:left w:val="nil"/>
              <w:bottom w:val="nil"/>
              <w:right w:val="nil"/>
            </w:tcBorders>
            <w:shd w:val="clear" w:color="auto" w:fill="FFFFFF"/>
            <w:tcMar>
              <w:left w:w="67" w:type="dxa"/>
              <w:right w:w="67" w:type="dxa"/>
            </w:tcMar>
            <w:vAlign w:val="center"/>
          </w:tcPr>
          <w:p w14:paraId="325108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-0.1037</w:t>
            </w:r>
          </w:p>
        </w:tc>
        <w:tc>
          <w:tcPr>
            <w:tcW w:w="1134" w:type="dxa"/>
            <w:tcBorders>
              <w:top w:val="nil"/>
              <w:left w:val="nil"/>
              <w:bottom w:val="nil"/>
              <w:right w:val="nil"/>
            </w:tcBorders>
            <w:shd w:val="clear" w:color="auto" w:fill="FFFFFF"/>
            <w:tcMar>
              <w:left w:w="67" w:type="dxa"/>
              <w:right w:w="67" w:type="dxa"/>
            </w:tcMar>
            <w:vAlign w:val="center"/>
          </w:tcPr>
          <w:p w14:paraId="69B85A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0.1249</w:t>
            </w:r>
          </w:p>
        </w:tc>
        <w:tc>
          <w:tcPr>
            <w:tcW w:w="1134" w:type="dxa"/>
            <w:tcBorders>
              <w:top w:val="nil"/>
              <w:left w:val="nil"/>
              <w:bottom w:val="nil"/>
              <w:right w:val="nil"/>
            </w:tcBorders>
            <w:shd w:val="clear" w:color="auto" w:fill="FFFFFF"/>
            <w:tcMar>
              <w:left w:w="67" w:type="dxa"/>
              <w:right w:w="67" w:type="dxa"/>
            </w:tcMar>
            <w:vAlign w:val="center"/>
          </w:tcPr>
          <w:p w14:paraId="6074A2E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1.11</w:t>
            </w:r>
          </w:p>
        </w:tc>
        <w:tc>
          <w:tcPr>
            <w:tcW w:w="567" w:type="dxa"/>
            <w:tcBorders>
              <w:top w:val="nil"/>
              <w:left w:val="nil"/>
              <w:bottom w:val="nil"/>
              <w:right w:val="nil"/>
            </w:tcBorders>
            <w:shd w:val="clear" w:color="auto" w:fill="FFFFFF"/>
            <w:tcMar>
              <w:left w:w="67" w:type="dxa"/>
              <w:right w:w="67" w:type="dxa"/>
            </w:tcMar>
            <w:vAlign w:val="center"/>
          </w:tcPr>
          <w:p w14:paraId="7599B5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DE9E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0.3667</w:t>
            </w:r>
          </w:p>
        </w:tc>
      </w:tr>
      <w:tr w:rsidR="00B77EA3" w:rsidRPr="0082484A" w14:paraId="07C7DD1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521E3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B5E8DD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73FA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0.020530</w:t>
            </w:r>
          </w:p>
        </w:tc>
        <w:tc>
          <w:tcPr>
            <w:tcW w:w="1134" w:type="dxa"/>
            <w:tcBorders>
              <w:top w:val="nil"/>
              <w:left w:val="nil"/>
              <w:bottom w:val="nil"/>
              <w:right w:val="nil"/>
            </w:tcBorders>
            <w:shd w:val="clear" w:color="auto" w:fill="FFFFFF"/>
            <w:tcMar>
              <w:left w:w="67" w:type="dxa"/>
              <w:right w:w="67" w:type="dxa"/>
            </w:tcMar>
            <w:vAlign w:val="center"/>
          </w:tcPr>
          <w:p w14:paraId="1D59E2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0.0400</w:t>
            </w:r>
          </w:p>
        </w:tc>
        <w:tc>
          <w:tcPr>
            <w:tcW w:w="1134" w:type="dxa"/>
            <w:tcBorders>
              <w:top w:val="nil"/>
              <w:left w:val="nil"/>
              <w:bottom w:val="nil"/>
              <w:right w:val="nil"/>
            </w:tcBorders>
            <w:shd w:val="clear" w:color="auto" w:fill="FFFFFF"/>
            <w:tcMar>
              <w:left w:w="67" w:type="dxa"/>
              <w:right w:w="67" w:type="dxa"/>
            </w:tcMar>
            <w:vAlign w:val="center"/>
          </w:tcPr>
          <w:p w14:paraId="1C5766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-0.0713</w:t>
            </w:r>
          </w:p>
        </w:tc>
        <w:tc>
          <w:tcPr>
            <w:tcW w:w="1134" w:type="dxa"/>
            <w:tcBorders>
              <w:top w:val="nil"/>
              <w:left w:val="nil"/>
              <w:bottom w:val="nil"/>
              <w:right w:val="nil"/>
            </w:tcBorders>
            <w:shd w:val="clear" w:color="auto" w:fill="FFFFFF"/>
            <w:tcMar>
              <w:left w:w="67" w:type="dxa"/>
              <w:right w:w="67" w:type="dxa"/>
            </w:tcMar>
            <w:vAlign w:val="center"/>
          </w:tcPr>
          <w:p w14:paraId="6000F8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0.1123</w:t>
            </w:r>
          </w:p>
        </w:tc>
        <w:tc>
          <w:tcPr>
            <w:tcW w:w="1134" w:type="dxa"/>
            <w:tcBorders>
              <w:top w:val="nil"/>
              <w:left w:val="nil"/>
              <w:bottom w:val="nil"/>
              <w:right w:val="nil"/>
            </w:tcBorders>
            <w:shd w:val="clear" w:color="auto" w:fill="FFFFFF"/>
            <w:tcMar>
              <w:left w:w="67" w:type="dxa"/>
              <w:right w:w="67" w:type="dxa"/>
            </w:tcMar>
            <w:vAlign w:val="center"/>
          </w:tcPr>
          <w:p w14:paraId="20447A9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E201A9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AA13D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E6F08B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978DDB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CDDCD8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4239C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0.049608</w:t>
            </w:r>
          </w:p>
        </w:tc>
        <w:tc>
          <w:tcPr>
            <w:tcW w:w="1134" w:type="dxa"/>
            <w:tcBorders>
              <w:top w:val="nil"/>
              <w:left w:val="nil"/>
              <w:bottom w:val="nil"/>
              <w:right w:val="nil"/>
            </w:tcBorders>
            <w:shd w:val="clear" w:color="auto" w:fill="FFFFFF"/>
            <w:tcMar>
              <w:left w:w="67" w:type="dxa"/>
              <w:right w:w="67" w:type="dxa"/>
            </w:tcMar>
            <w:vAlign w:val="center"/>
          </w:tcPr>
          <w:p w14:paraId="1546F5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0.0311</w:t>
            </w:r>
          </w:p>
        </w:tc>
        <w:tc>
          <w:tcPr>
            <w:tcW w:w="1134" w:type="dxa"/>
            <w:tcBorders>
              <w:top w:val="nil"/>
              <w:left w:val="nil"/>
              <w:bottom w:val="nil"/>
              <w:right w:val="nil"/>
            </w:tcBorders>
            <w:shd w:val="clear" w:color="auto" w:fill="FFFFFF"/>
            <w:tcMar>
              <w:left w:w="67" w:type="dxa"/>
              <w:right w:w="67" w:type="dxa"/>
            </w:tcMar>
            <w:vAlign w:val="center"/>
          </w:tcPr>
          <w:p w14:paraId="5E31EB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-0.0219</w:t>
            </w:r>
          </w:p>
        </w:tc>
        <w:tc>
          <w:tcPr>
            <w:tcW w:w="1134" w:type="dxa"/>
            <w:tcBorders>
              <w:top w:val="nil"/>
              <w:left w:val="nil"/>
              <w:bottom w:val="nil"/>
              <w:right w:val="nil"/>
            </w:tcBorders>
            <w:shd w:val="clear" w:color="auto" w:fill="FFFFFF"/>
            <w:tcMar>
              <w:left w:w="67" w:type="dxa"/>
              <w:right w:w="67" w:type="dxa"/>
            </w:tcMar>
            <w:vAlign w:val="center"/>
          </w:tcPr>
          <w:p w14:paraId="3C349E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0.1211</w:t>
            </w:r>
          </w:p>
        </w:tc>
        <w:tc>
          <w:tcPr>
            <w:tcW w:w="1134" w:type="dxa"/>
            <w:tcBorders>
              <w:top w:val="nil"/>
              <w:left w:val="nil"/>
              <w:bottom w:val="nil"/>
              <w:right w:val="nil"/>
            </w:tcBorders>
            <w:shd w:val="clear" w:color="auto" w:fill="FFFFFF"/>
            <w:tcMar>
              <w:left w:w="67" w:type="dxa"/>
              <w:right w:w="67" w:type="dxa"/>
            </w:tcMar>
            <w:vAlign w:val="center"/>
          </w:tcPr>
          <w:p w14:paraId="49A969C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34AE80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B4495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D97EFF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4AE518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7AD4C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940BD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-0.006959</w:t>
            </w:r>
          </w:p>
        </w:tc>
        <w:tc>
          <w:tcPr>
            <w:tcW w:w="1134" w:type="dxa"/>
            <w:tcBorders>
              <w:top w:val="nil"/>
              <w:left w:val="nil"/>
              <w:bottom w:val="nil"/>
              <w:right w:val="nil"/>
            </w:tcBorders>
            <w:shd w:val="clear" w:color="auto" w:fill="FFFFFF"/>
            <w:tcMar>
              <w:left w:w="67" w:type="dxa"/>
              <w:right w:w="67" w:type="dxa"/>
            </w:tcMar>
            <w:vAlign w:val="center"/>
          </w:tcPr>
          <w:p w14:paraId="03BBDC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0.0419</w:t>
            </w:r>
          </w:p>
        </w:tc>
        <w:tc>
          <w:tcPr>
            <w:tcW w:w="1134" w:type="dxa"/>
            <w:tcBorders>
              <w:top w:val="nil"/>
              <w:left w:val="nil"/>
              <w:bottom w:val="nil"/>
              <w:right w:val="nil"/>
            </w:tcBorders>
            <w:shd w:val="clear" w:color="auto" w:fill="FFFFFF"/>
            <w:tcMar>
              <w:left w:w="67" w:type="dxa"/>
              <w:right w:w="67" w:type="dxa"/>
            </w:tcMar>
            <w:vAlign w:val="center"/>
          </w:tcPr>
          <w:p w14:paraId="5902D5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-0.1031</w:t>
            </w:r>
          </w:p>
        </w:tc>
        <w:tc>
          <w:tcPr>
            <w:tcW w:w="1134" w:type="dxa"/>
            <w:tcBorders>
              <w:top w:val="nil"/>
              <w:left w:val="nil"/>
              <w:bottom w:val="nil"/>
              <w:right w:val="nil"/>
            </w:tcBorders>
            <w:shd w:val="clear" w:color="auto" w:fill="FFFFFF"/>
            <w:tcMar>
              <w:left w:w="67" w:type="dxa"/>
              <w:right w:w="67" w:type="dxa"/>
            </w:tcMar>
            <w:vAlign w:val="center"/>
          </w:tcPr>
          <w:p w14:paraId="5CBCBC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0.0892</w:t>
            </w:r>
          </w:p>
        </w:tc>
        <w:tc>
          <w:tcPr>
            <w:tcW w:w="1134" w:type="dxa"/>
            <w:tcBorders>
              <w:top w:val="nil"/>
              <w:left w:val="nil"/>
              <w:bottom w:val="nil"/>
              <w:right w:val="nil"/>
            </w:tcBorders>
            <w:shd w:val="clear" w:color="auto" w:fill="FFFFFF"/>
            <w:tcMar>
              <w:left w:w="67" w:type="dxa"/>
              <w:right w:w="67" w:type="dxa"/>
            </w:tcMar>
            <w:vAlign w:val="center"/>
          </w:tcPr>
          <w:p w14:paraId="4F9139C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161822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4CAA7E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839F83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8DD55D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E329F5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7170F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0.011337</w:t>
            </w:r>
          </w:p>
        </w:tc>
        <w:tc>
          <w:tcPr>
            <w:tcW w:w="1134" w:type="dxa"/>
            <w:tcBorders>
              <w:top w:val="nil"/>
              <w:left w:val="nil"/>
              <w:bottom w:val="nil"/>
              <w:right w:val="nil"/>
            </w:tcBorders>
            <w:shd w:val="clear" w:color="auto" w:fill="FFFFFF"/>
            <w:tcMar>
              <w:left w:w="67" w:type="dxa"/>
              <w:right w:w="67" w:type="dxa"/>
            </w:tcMar>
            <w:vAlign w:val="center"/>
          </w:tcPr>
          <w:p w14:paraId="0ACA58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0.0391</w:t>
            </w:r>
          </w:p>
        </w:tc>
        <w:tc>
          <w:tcPr>
            <w:tcW w:w="1134" w:type="dxa"/>
            <w:tcBorders>
              <w:top w:val="nil"/>
              <w:left w:val="nil"/>
              <w:bottom w:val="nil"/>
              <w:right w:val="nil"/>
            </w:tcBorders>
            <w:shd w:val="clear" w:color="auto" w:fill="FFFFFF"/>
            <w:tcMar>
              <w:left w:w="67" w:type="dxa"/>
              <w:right w:w="67" w:type="dxa"/>
            </w:tcMar>
            <w:vAlign w:val="center"/>
          </w:tcPr>
          <w:p w14:paraId="0FC168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-0.0784</w:t>
            </w:r>
          </w:p>
        </w:tc>
        <w:tc>
          <w:tcPr>
            <w:tcW w:w="1134" w:type="dxa"/>
            <w:tcBorders>
              <w:top w:val="nil"/>
              <w:left w:val="nil"/>
              <w:bottom w:val="nil"/>
              <w:right w:val="nil"/>
            </w:tcBorders>
            <w:shd w:val="clear" w:color="auto" w:fill="FFFFFF"/>
            <w:tcMar>
              <w:left w:w="67" w:type="dxa"/>
              <w:right w:w="67" w:type="dxa"/>
            </w:tcMar>
            <w:vAlign w:val="center"/>
          </w:tcPr>
          <w:p w14:paraId="09C124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0.1011</w:t>
            </w:r>
          </w:p>
        </w:tc>
        <w:tc>
          <w:tcPr>
            <w:tcW w:w="1134" w:type="dxa"/>
            <w:tcBorders>
              <w:top w:val="nil"/>
              <w:left w:val="nil"/>
              <w:bottom w:val="nil"/>
              <w:right w:val="nil"/>
            </w:tcBorders>
            <w:shd w:val="clear" w:color="auto" w:fill="FFFFFF"/>
            <w:tcMar>
              <w:left w:w="67" w:type="dxa"/>
              <w:right w:w="67" w:type="dxa"/>
            </w:tcMar>
            <w:vAlign w:val="center"/>
          </w:tcPr>
          <w:p w14:paraId="51A0EB7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575B58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FC0F31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76FF91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F5424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5FCA33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80F48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0.071185</w:t>
            </w:r>
          </w:p>
        </w:tc>
        <w:tc>
          <w:tcPr>
            <w:tcW w:w="1134" w:type="dxa"/>
            <w:tcBorders>
              <w:top w:val="nil"/>
              <w:left w:val="nil"/>
              <w:bottom w:val="nil"/>
              <w:right w:val="nil"/>
            </w:tcBorders>
            <w:shd w:val="clear" w:color="auto" w:fill="FFFFFF"/>
            <w:tcMar>
              <w:left w:w="67" w:type="dxa"/>
              <w:right w:w="67" w:type="dxa"/>
            </w:tcMar>
            <w:vAlign w:val="center"/>
          </w:tcPr>
          <w:p w14:paraId="1D53E8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0.0429</w:t>
            </w:r>
          </w:p>
        </w:tc>
        <w:tc>
          <w:tcPr>
            <w:tcW w:w="1134" w:type="dxa"/>
            <w:tcBorders>
              <w:top w:val="nil"/>
              <w:left w:val="nil"/>
              <w:bottom w:val="nil"/>
              <w:right w:val="nil"/>
            </w:tcBorders>
            <w:shd w:val="clear" w:color="auto" w:fill="FFFFFF"/>
            <w:tcMar>
              <w:left w:w="67" w:type="dxa"/>
              <w:right w:w="67" w:type="dxa"/>
            </w:tcMar>
            <w:vAlign w:val="center"/>
          </w:tcPr>
          <w:p w14:paraId="3708F0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-0.0273</w:t>
            </w:r>
          </w:p>
        </w:tc>
        <w:tc>
          <w:tcPr>
            <w:tcW w:w="1134" w:type="dxa"/>
            <w:tcBorders>
              <w:top w:val="nil"/>
              <w:left w:val="nil"/>
              <w:bottom w:val="nil"/>
              <w:right w:val="nil"/>
            </w:tcBorders>
            <w:shd w:val="clear" w:color="auto" w:fill="FFFFFF"/>
            <w:tcMar>
              <w:left w:w="67" w:type="dxa"/>
              <w:right w:w="67" w:type="dxa"/>
            </w:tcMar>
            <w:vAlign w:val="center"/>
          </w:tcPr>
          <w:p w14:paraId="6CEEC5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0.1696</w:t>
            </w:r>
          </w:p>
        </w:tc>
        <w:tc>
          <w:tcPr>
            <w:tcW w:w="1134" w:type="dxa"/>
            <w:tcBorders>
              <w:top w:val="nil"/>
              <w:left w:val="nil"/>
              <w:bottom w:val="nil"/>
              <w:right w:val="nil"/>
            </w:tcBorders>
            <w:shd w:val="clear" w:color="auto" w:fill="FFFFFF"/>
            <w:tcMar>
              <w:left w:w="67" w:type="dxa"/>
              <w:right w:w="67" w:type="dxa"/>
            </w:tcMar>
            <w:vAlign w:val="center"/>
          </w:tcPr>
          <w:p w14:paraId="1F0DF7C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5E7775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D9391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4BCB1A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DB43AC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40BAF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C507BA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0.018214</w:t>
            </w:r>
          </w:p>
        </w:tc>
        <w:tc>
          <w:tcPr>
            <w:tcW w:w="1134" w:type="dxa"/>
            <w:tcBorders>
              <w:top w:val="nil"/>
              <w:left w:val="nil"/>
              <w:bottom w:val="nil"/>
              <w:right w:val="nil"/>
            </w:tcBorders>
            <w:shd w:val="clear" w:color="auto" w:fill="FFFFFF"/>
            <w:tcMar>
              <w:left w:w="67" w:type="dxa"/>
              <w:right w:w="67" w:type="dxa"/>
            </w:tcMar>
            <w:vAlign w:val="center"/>
          </w:tcPr>
          <w:p w14:paraId="46A58A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0.0368</w:t>
            </w:r>
          </w:p>
        </w:tc>
        <w:tc>
          <w:tcPr>
            <w:tcW w:w="1134" w:type="dxa"/>
            <w:tcBorders>
              <w:top w:val="nil"/>
              <w:left w:val="nil"/>
              <w:bottom w:val="nil"/>
              <w:right w:val="nil"/>
            </w:tcBorders>
            <w:shd w:val="clear" w:color="auto" w:fill="FFFFFF"/>
            <w:tcMar>
              <w:left w:w="67" w:type="dxa"/>
              <w:right w:w="67" w:type="dxa"/>
            </w:tcMar>
            <w:vAlign w:val="center"/>
          </w:tcPr>
          <w:p w14:paraId="57C58E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-0.0662</w:t>
            </w:r>
          </w:p>
        </w:tc>
        <w:tc>
          <w:tcPr>
            <w:tcW w:w="1134" w:type="dxa"/>
            <w:tcBorders>
              <w:top w:val="nil"/>
              <w:left w:val="nil"/>
              <w:bottom w:val="nil"/>
              <w:right w:val="nil"/>
            </w:tcBorders>
            <w:shd w:val="clear" w:color="auto" w:fill="FFFFFF"/>
            <w:tcMar>
              <w:left w:w="67" w:type="dxa"/>
              <w:right w:w="67" w:type="dxa"/>
            </w:tcMar>
            <w:vAlign w:val="center"/>
          </w:tcPr>
          <w:p w14:paraId="50F4B5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0.1026</w:t>
            </w:r>
          </w:p>
        </w:tc>
        <w:tc>
          <w:tcPr>
            <w:tcW w:w="1134" w:type="dxa"/>
            <w:tcBorders>
              <w:top w:val="nil"/>
              <w:left w:val="nil"/>
              <w:bottom w:val="nil"/>
              <w:right w:val="nil"/>
            </w:tcBorders>
            <w:shd w:val="clear" w:color="auto" w:fill="FFFFFF"/>
            <w:tcMar>
              <w:left w:w="67" w:type="dxa"/>
              <w:right w:w="67" w:type="dxa"/>
            </w:tcMar>
            <w:vAlign w:val="center"/>
          </w:tcPr>
          <w:p w14:paraId="56E1C0D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DAEC2B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7056B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B8EC52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5F9475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7319F8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5C0F0B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0.006330</w:t>
            </w:r>
          </w:p>
        </w:tc>
        <w:tc>
          <w:tcPr>
            <w:tcW w:w="1134" w:type="dxa"/>
            <w:tcBorders>
              <w:top w:val="nil"/>
              <w:left w:val="nil"/>
              <w:bottom w:val="nil"/>
              <w:right w:val="nil"/>
            </w:tcBorders>
            <w:shd w:val="clear" w:color="auto" w:fill="FFFFFF"/>
            <w:tcMar>
              <w:left w:w="67" w:type="dxa"/>
              <w:right w:w="67" w:type="dxa"/>
            </w:tcMar>
            <w:vAlign w:val="center"/>
          </w:tcPr>
          <w:p w14:paraId="75DFF9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0.0381</w:t>
            </w:r>
          </w:p>
        </w:tc>
        <w:tc>
          <w:tcPr>
            <w:tcW w:w="1134" w:type="dxa"/>
            <w:tcBorders>
              <w:top w:val="nil"/>
              <w:left w:val="nil"/>
              <w:bottom w:val="nil"/>
              <w:right w:val="nil"/>
            </w:tcBorders>
            <w:shd w:val="clear" w:color="auto" w:fill="FFFFFF"/>
            <w:tcMar>
              <w:left w:w="67" w:type="dxa"/>
              <w:right w:w="67" w:type="dxa"/>
            </w:tcMar>
            <w:vAlign w:val="center"/>
          </w:tcPr>
          <w:p w14:paraId="2C7CD6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-0.0810</w:t>
            </w:r>
          </w:p>
        </w:tc>
        <w:tc>
          <w:tcPr>
            <w:tcW w:w="1134" w:type="dxa"/>
            <w:tcBorders>
              <w:top w:val="nil"/>
              <w:left w:val="nil"/>
              <w:bottom w:val="nil"/>
              <w:right w:val="nil"/>
            </w:tcBorders>
            <w:shd w:val="clear" w:color="auto" w:fill="FFFFFF"/>
            <w:tcMar>
              <w:left w:w="67" w:type="dxa"/>
              <w:right w:w="67" w:type="dxa"/>
            </w:tcMar>
            <w:vAlign w:val="center"/>
          </w:tcPr>
          <w:p w14:paraId="4C4281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0.0937</w:t>
            </w:r>
          </w:p>
        </w:tc>
        <w:tc>
          <w:tcPr>
            <w:tcW w:w="1134" w:type="dxa"/>
            <w:tcBorders>
              <w:top w:val="nil"/>
              <w:left w:val="nil"/>
              <w:bottom w:val="nil"/>
              <w:right w:val="nil"/>
            </w:tcBorders>
            <w:shd w:val="clear" w:color="auto" w:fill="FFFFFF"/>
            <w:tcMar>
              <w:left w:w="67" w:type="dxa"/>
              <w:right w:w="67" w:type="dxa"/>
            </w:tcMar>
            <w:vAlign w:val="center"/>
          </w:tcPr>
          <w:p w14:paraId="2E6E1ED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1A282D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8320D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45951B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F2EFB4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69D76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F78C4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0.076993</w:t>
            </w:r>
          </w:p>
        </w:tc>
        <w:tc>
          <w:tcPr>
            <w:tcW w:w="1134" w:type="dxa"/>
            <w:tcBorders>
              <w:top w:val="nil"/>
              <w:left w:val="nil"/>
              <w:bottom w:val="nil"/>
              <w:right w:val="nil"/>
            </w:tcBorders>
            <w:shd w:val="clear" w:color="auto" w:fill="FFFFFF"/>
            <w:tcMar>
              <w:left w:w="67" w:type="dxa"/>
              <w:right w:w="67" w:type="dxa"/>
            </w:tcMar>
            <w:vAlign w:val="center"/>
          </w:tcPr>
          <w:p w14:paraId="471A7D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0.0388</w:t>
            </w:r>
          </w:p>
        </w:tc>
        <w:tc>
          <w:tcPr>
            <w:tcW w:w="1134" w:type="dxa"/>
            <w:tcBorders>
              <w:top w:val="nil"/>
              <w:left w:val="nil"/>
              <w:bottom w:val="nil"/>
              <w:right w:val="nil"/>
            </w:tcBorders>
            <w:shd w:val="clear" w:color="auto" w:fill="FFFFFF"/>
            <w:tcMar>
              <w:left w:w="67" w:type="dxa"/>
              <w:right w:w="67" w:type="dxa"/>
            </w:tcMar>
            <w:vAlign w:val="center"/>
          </w:tcPr>
          <w:p w14:paraId="5E4389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-0.0121</w:t>
            </w:r>
          </w:p>
        </w:tc>
        <w:tc>
          <w:tcPr>
            <w:tcW w:w="1134" w:type="dxa"/>
            <w:tcBorders>
              <w:top w:val="nil"/>
              <w:left w:val="nil"/>
              <w:bottom w:val="nil"/>
              <w:right w:val="nil"/>
            </w:tcBorders>
            <w:shd w:val="clear" w:color="auto" w:fill="FFFFFF"/>
            <w:tcMar>
              <w:left w:w="67" w:type="dxa"/>
              <w:right w:w="67" w:type="dxa"/>
            </w:tcMar>
            <w:vAlign w:val="center"/>
          </w:tcPr>
          <w:p w14:paraId="600620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0.1660</w:t>
            </w:r>
          </w:p>
        </w:tc>
        <w:tc>
          <w:tcPr>
            <w:tcW w:w="1134" w:type="dxa"/>
            <w:tcBorders>
              <w:top w:val="nil"/>
              <w:left w:val="nil"/>
              <w:bottom w:val="nil"/>
              <w:right w:val="nil"/>
            </w:tcBorders>
            <w:shd w:val="clear" w:color="auto" w:fill="FFFFFF"/>
            <w:tcMar>
              <w:left w:w="67" w:type="dxa"/>
              <w:right w:w="67" w:type="dxa"/>
            </w:tcMar>
            <w:vAlign w:val="center"/>
          </w:tcPr>
          <w:p w14:paraId="6624EF4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1FB4C7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0B1E98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CB438C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19F9EC2"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39A5FCE"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45A27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-0.002202</w:t>
            </w:r>
          </w:p>
        </w:tc>
        <w:tc>
          <w:tcPr>
            <w:tcW w:w="1134" w:type="dxa"/>
            <w:tcBorders>
              <w:top w:val="nil"/>
              <w:left w:val="nil"/>
              <w:bottom w:val="nil"/>
              <w:right w:val="nil"/>
            </w:tcBorders>
            <w:shd w:val="clear" w:color="auto" w:fill="FFFFFF"/>
            <w:tcMar>
              <w:left w:w="67" w:type="dxa"/>
              <w:right w:w="67" w:type="dxa"/>
            </w:tcMar>
            <w:vAlign w:val="center"/>
          </w:tcPr>
          <w:p w14:paraId="41B66F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w:t>
            </w:r>
          </w:p>
        </w:tc>
        <w:tc>
          <w:tcPr>
            <w:tcW w:w="1134" w:type="dxa"/>
            <w:tcBorders>
              <w:top w:val="nil"/>
              <w:left w:val="nil"/>
              <w:bottom w:val="nil"/>
              <w:right w:val="nil"/>
            </w:tcBorders>
            <w:shd w:val="clear" w:color="auto" w:fill="FFFFFF"/>
            <w:tcMar>
              <w:left w:w="67" w:type="dxa"/>
              <w:right w:w="67" w:type="dxa"/>
            </w:tcMar>
            <w:vAlign w:val="center"/>
          </w:tcPr>
          <w:p w14:paraId="0EEB83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-0.0069</w:t>
            </w:r>
          </w:p>
        </w:tc>
        <w:tc>
          <w:tcPr>
            <w:tcW w:w="1134" w:type="dxa"/>
            <w:tcBorders>
              <w:top w:val="nil"/>
              <w:left w:val="nil"/>
              <w:bottom w:val="nil"/>
              <w:right w:val="nil"/>
            </w:tcBorders>
            <w:shd w:val="clear" w:color="auto" w:fill="FFFFFF"/>
            <w:tcMar>
              <w:left w:w="67" w:type="dxa"/>
              <w:right w:w="67" w:type="dxa"/>
            </w:tcMar>
            <w:vAlign w:val="center"/>
          </w:tcPr>
          <w:p w14:paraId="7C2A68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0.0025</w:t>
            </w:r>
          </w:p>
        </w:tc>
        <w:tc>
          <w:tcPr>
            <w:tcW w:w="1134" w:type="dxa"/>
            <w:tcBorders>
              <w:top w:val="nil"/>
              <w:left w:val="nil"/>
              <w:bottom w:val="nil"/>
              <w:right w:val="nil"/>
            </w:tcBorders>
            <w:shd w:val="clear" w:color="auto" w:fill="FFFFFF"/>
            <w:tcMar>
              <w:left w:w="67" w:type="dxa"/>
              <w:right w:w="67" w:type="dxa"/>
            </w:tcMar>
            <w:vAlign w:val="center"/>
          </w:tcPr>
          <w:p w14:paraId="01E91B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1.17</w:t>
            </w:r>
          </w:p>
        </w:tc>
        <w:tc>
          <w:tcPr>
            <w:tcW w:w="567" w:type="dxa"/>
            <w:tcBorders>
              <w:top w:val="nil"/>
              <w:left w:val="nil"/>
              <w:bottom w:val="nil"/>
              <w:right w:val="nil"/>
            </w:tcBorders>
            <w:shd w:val="clear" w:color="auto" w:fill="FFFFFF"/>
            <w:tcMar>
              <w:left w:w="67" w:type="dxa"/>
              <w:right w:w="67" w:type="dxa"/>
            </w:tcMar>
            <w:vAlign w:val="center"/>
          </w:tcPr>
          <w:p w14:paraId="66BF4E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293A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0.2841</w:t>
            </w:r>
          </w:p>
        </w:tc>
      </w:tr>
      <w:tr w:rsidR="00B77EA3" w:rsidRPr="0082484A" w14:paraId="637F833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F2EC75"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5A6606E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723301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0.002001</w:t>
            </w:r>
          </w:p>
        </w:tc>
        <w:tc>
          <w:tcPr>
            <w:tcW w:w="1134" w:type="dxa"/>
            <w:tcBorders>
              <w:top w:val="nil"/>
              <w:left w:val="nil"/>
              <w:bottom w:val="nil"/>
              <w:right w:val="nil"/>
            </w:tcBorders>
            <w:shd w:val="clear" w:color="auto" w:fill="FFFFFF"/>
            <w:tcMar>
              <w:left w:w="67" w:type="dxa"/>
              <w:right w:w="67" w:type="dxa"/>
            </w:tcMar>
            <w:vAlign w:val="center"/>
          </w:tcPr>
          <w:p w14:paraId="3BF9E0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7C1A83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20412A0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0.0050</w:t>
            </w:r>
          </w:p>
        </w:tc>
        <w:tc>
          <w:tcPr>
            <w:tcW w:w="1134" w:type="dxa"/>
            <w:tcBorders>
              <w:top w:val="nil"/>
              <w:left w:val="nil"/>
              <w:bottom w:val="nil"/>
              <w:right w:val="nil"/>
            </w:tcBorders>
            <w:shd w:val="clear" w:color="auto" w:fill="FFFFFF"/>
            <w:tcMar>
              <w:left w:w="67" w:type="dxa"/>
              <w:right w:w="67" w:type="dxa"/>
            </w:tcMar>
            <w:vAlign w:val="center"/>
          </w:tcPr>
          <w:p w14:paraId="7EF6DE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2.32</w:t>
            </w:r>
          </w:p>
        </w:tc>
        <w:tc>
          <w:tcPr>
            <w:tcW w:w="567" w:type="dxa"/>
            <w:tcBorders>
              <w:top w:val="nil"/>
              <w:left w:val="nil"/>
              <w:bottom w:val="nil"/>
              <w:right w:val="nil"/>
            </w:tcBorders>
            <w:shd w:val="clear" w:color="auto" w:fill="FFFFFF"/>
            <w:tcMar>
              <w:left w:w="67" w:type="dxa"/>
              <w:right w:w="67" w:type="dxa"/>
            </w:tcMar>
            <w:vAlign w:val="center"/>
          </w:tcPr>
          <w:p w14:paraId="5FD24E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1039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0.1329</w:t>
            </w:r>
          </w:p>
        </w:tc>
      </w:tr>
      <w:tr w:rsidR="00B77EA3" w:rsidRPr="0082484A" w14:paraId="5C819690"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2DD8E75D"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7530983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44CC0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F8DBA0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B25E5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7EBB6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8C5AF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32EBDC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1D763F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0.9918</w:t>
            </w:r>
          </w:p>
        </w:tc>
      </w:tr>
    </w:tbl>
    <w:p w14:paraId="727A015A" w14:textId="77777777" w:rsidR="00B77EA3" w:rsidRPr="0082484A" w:rsidRDefault="00B77EA3" w:rsidP="00B77EA3">
      <w:pPr>
        <w:spacing w:before="0" w:line="240" w:lineRule="auto"/>
        <w:contextualSpacing/>
        <w:rPr>
          <w:sz w:val="22"/>
          <w:szCs w:val="22"/>
        </w:rPr>
      </w:pPr>
    </w:p>
    <w:p w14:paraId="4D92E13D"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16D7D1A1" w14:textId="5332DCAC" w:rsidR="00B77EA3" w:rsidRPr="0082484A" w:rsidRDefault="00B77EA3" w:rsidP="00B77EA3">
      <w:pPr>
        <w:spacing w:before="0" w:line="240" w:lineRule="auto"/>
        <w:rPr>
          <w:bCs/>
          <w:sz w:val="22"/>
          <w:szCs w:val="22"/>
        </w:rPr>
      </w:pPr>
      <w:bookmarkStart w:id="239" w:name="_Ref502918090"/>
      <w:bookmarkStart w:id="240" w:name="_Toc8728139"/>
      <w:bookmarkStart w:id="241" w:name="_Toc19526794"/>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65</w:t>
      </w:r>
      <w:r w:rsidRPr="0082484A">
        <w:rPr>
          <w:bCs/>
          <w:noProof/>
          <w:sz w:val="22"/>
          <w:szCs w:val="22"/>
        </w:rPr>
        <w:fldChar w:fldCharType="end"/>
      </w:r>
      <w:bookmarkEnd w:id="239"/>
      <w:r w:rsidRPr="0082484A">
        <w:rPr>
          <w:bCs/>
          <w:sz w:val="22"/>
          <w:szCs w:val="22"/>
        </w:rPr>
        <w:t>: Secondary outcome for Trial 1. Achievement of QOF indicator, ‘The percentage of patients with diabetes, on the register, in whom the last IFCC-HbA1c (measured within the preceding 12 months) is 59 mmol/mol or less’ (DM007) (WP4a)</w:t>
      </w:r>
      <w:bookmarkEnd w:id="240"/>
      <w:bookmarkEnd w:id="241"/>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1342AA9E"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091D99D" w14:textId="77777777" w:rsidR="00B77EA3" w:rsidRPr="0082484A" w:rsidRDefault="00B77EA3" w:rsidP="00B77EA3">
            <w:pPr>
              <w:spacing w:beforeLines="10" w:before="24" w:afterLines="10" w:after="24" w:line="240" w:lineRule="auto"/>
              <w:rPr>
                <w:bCs/>
                <w:sz w:val="22"/>
                <w:szCs w:val="22"/>
              </w:rPr>
            </w:pPr>
            <w:bookmarkStart w:id="242" w:name="IDX79"/>
            <w:bookmarkEnd w:id="242"/>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6564ADB"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827FE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471EB0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1516BA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B9B4A1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F765A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A7CB94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7DDC9B6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4058D23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F982DF6"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0C2829E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BDC86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0.012716</w:t>
            </w:r>
          </w:p>
        </w:tc>
        <w:tc>
          <w:tcPr>
            <w:tcW w:w="1134" w:type="dxa"/>
            <w:tcBorders>
              <w:top w:val="nil"/>
              <w:left w:val="nil"/>
              <w:bottom w:val="nil"/>
              <w:right w:val="nil"/>
            </w:tcBorders>
            <w:shd w:val="clear" w:color="auto" w:fill="FFFFFF"/>
            <w:tcMar>
              <w:left w:w="67" w:type="dxa"/>
              <w:right w:w="67" w:type="dxa"/>
            </w:tcMar>
            <w:vAlign w:val="center"/>
          </w:tcPr>
          <w:p w14:paraId="562907B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0.0207</w:t>
            </w:r>
          </w:p>
        </w:tc>
        <w:tc>
          <w:tcPr>
            <w:tcW w:w="1134" w:type="dxa"/>
            <w:tcBorders>
              <w:top w:val="nil"/>
              <w:left w:val="nil"/>
              <w:bottom w:val="nil"/>
              <w:right w:val="nil"/>
            </w:tcBorders>
            <w:shd w:val="clear" w:color="auto" w:fill="FFFFFF"/>
            <w:tcMar>
              <w:left w:w="67" w:type="dxa"/>
              <w:right w:w="67" w:type="dxa"/>
            </w:tcMar>
            <w:vAlign w:val="center"/>
          </w:tcPr>
          <w:p w14:paraId="7F1A3E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-0.0348</w:t>
            </w:r>
          </w:p>
        </w:tc>
        <w:tc>
          <w:tcPr>
            <w:tcW w:w="1134" w:type="dxa"/>
            <w:tcBorders>
              <w:top w:val="nil"/>
              <w:left w:val="nil"/>
              <w:bottom w:val="nil"/>
              <w:right w:val="nil"/>
            </w:tcBorders>
            <w:shd w:val="clear" w:color="auto" w:fill="FFFFFF"/>
            <w:tcMar>
              <w:left w:w="67" w:type="dxa"/>
              <w:right w:w="67" w:type="dxa"/>
            </w:tcMar>
            <w:vAlign w:val="center"/>
          </w:tcPr>
          <w:p w14:paraId="2CCDCC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0.0602</w:t>
            </w:r>
          </w:p>
        </w:tc>
        <w:tc>
          <w:tcPr>
            <w:tcW w:w="1134" w:type="dxa"/>
            <w:tcBorders>
              <w:top w:val="nil"/>
              <w:left w:val="nil"/>
              <w:bottom w:val="nil"/>
              <w:right w:val="nil"/>
            </w:tcBorders>
            <w:shd w:val="clear" w:color="auto" w:fill="FFFFFF"/>
            <w:tcMar>
              <w:left w:w="67" w:type="dxa"/>
              <w:right w:w="67" w:type="dxa"/>
            </w:tcMar>
            <w:vAlign w:val="center"/>
          </w:tcPr>
          <w:p w14:paraId="6E3209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w:t>
            </w:r>
          </w:p>
        </w:tc>
        <w:tc>
          <w:tcPr>
            <w:tcW w:w="567" w:type="dxa"/>
            <w:tcBorders>
              <w:top w:val="nil"/>
              <w:left w:val="nil"/>
              <w:bottom w:val="nil"/>
              <w:right w:val="nil"/>
            </w:tcBorders>
            <w:shd w:val="clear" w:color="auto" w:fill="FFFFFF"/>
            <w:tcMar>
              <w:left w:w="67" w:type="dxa"/>
              <w:right w:w="67" w:type="dxa"/>
            </w:tcMar>
            <w:vAlign w:val="center"/>
          </w:tcPr>
          <w:p w14:paraId="10A908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FB290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0.5413</w:t>
            </w:r>
          </w:p>
        </w:tc>
      </w:tr>
      <w:tr w:rsidR="00B77EA3" w:rsidRPr="0082484A" w14:paraId="6BA1C07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A857C0C"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5DF499B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0BB92A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-0.000034</w:t>
            </w:r>
          </w:p>
        </w:tc>
        <w:tc>
          <w:tcPr>
            <w:tcW w:w="1134" w:type="dxa"/>
            <w:tcBorders>
              <w:top w:val="nil"/>
              <w:left w:val="nil"/>
              <w:bottom w:val="nil"/>
              <w:right w:val="nil"/>
            </w:tcBorders>
            <w:shd w:val="clear" w:color="auto" w:fill="FFFFFF"/>
            <w:tcMar>
              <w:left w:w="67" w:type="dxa"/>
              <w:right w:w="67" w:type="dxa"/>
            </w:tcMar>
            <w:vAlign w:val="center"/>
          </w:tcPr>
          <w:p w14:paraId="599FDB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64BB1C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793935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22CCEB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2A7F6C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57D86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0.9175</w:t>
            </w:r>
          </w:p>
        </w:tc>
      </w:tr>
      <w:tr w:rsidR="00B77EA3" w:rsidRPr="0082484A" w14:paraId="5BA50A8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762C06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7BD10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3101B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-0.025327</w:t>
            </w:r>
          </w:p>
        </w:tc>
        <w:tc>
          <w:tcPr>
            <w:tcW w:w="1134" w:type="dxa"/>
            <w:tcBorders>
              <w:top w:val="nil"/>
              <w:left w:val="nil"/>
              <w:bottom w:val="nil"/>
              <w:right w:val="nil"/>
            </w:tcBorders>
            <w:shd w:val="clear" w:color="auto" w:fill="FFFFFF"/>
            <w:tcMar>
              <w:left w:w="67" w:type="dxa"/>
              <w:right w:w="67" w:type="dxa"/>
            </w:tcMar>
            <w:vAlign w:val="center"/>
          </w:tcPr>
          <w:p w14:paraId="5C0151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0.0614</w:t>
            </w:r>
          </w:p>
        </w:tc>
        <w:tc>
          <w:tcPr>
            <w:tcW w:w="1134" w:type="dxa"/>
            <w:tcBorders>
              <w:top w:val="nil"/>
              <w:left w:val="nil"/>
              <w:bottom w:val="nil"/>
              <w:right w:val="nil"/>
            </w:tcBorders>
            <w:shd w:val="clear" w:color="auto" w:fill="FFFFFF"/>
            <w:tcMar>
              <w:left w:w="67" w:type="dxa"/>
              <w:right w:w="67" w:type="dxa"/>
            </w:tcMar>
            <w:vAlign w:val="center"/>
          </w:tcPr>
          <w:p w14:paraId="39A801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-0.1663</w:t>
            </w:r>
          </w:p>
        </w:tc>
        <w:tc>
          <w:tcPr>
            <w:tcW w:w="1134" w:type="dxa"/>
            <w:tcBorders>
              <w:top w:val="nil"/>
              <w:left w:val="nil"/>
              <w:bottom w:val="nil"/>
              <w:right w:val="nil"/>
            </w:tcBorders>
            <w:shd w:val="clear" w:color="auto" w:fill="FFFFFF"/>
            <w:tcMar>
              <w:left w:w="67" w:type="dxa"/>
              <w:right w:w="67" w:type="dxa"/>
            </w:tcMar>
            <w:vAlign w:val="center"/>
          </w:tcPr>
          <w:p w14:paraId="7D5A74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0.1157</w:t>
            </w:r>
          </w:p>
        </w:tc>
        <w:tc>
          <w:tcPr>
            <w:tcW w:w="1134" w:type="dxa"/>
            <w:tcBorders>
              <w:top w:val="nil"/>
              <w:left w:val="nil"/>
              <w:bottom w:val="nil"/>
              <w:right w:val="nil"/>
            </w:tcBorders>
            <w:shd w:val="clear" w:color="auto" w:fill="FFFFFF"/>
            <w:tcMar>
              <w:left w:w="67" w:type="dxa"/>
              <w:right w:w="67" w:type="dxa"/>
            </w:tcMar>
            <w:vAlign w:val="center"/>
          </w:tcPr>
          <w:p w14:paraId="1240FB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0.59</w:t>
            </w:r>
          </w:p>
        </w:tc>
        <w:tc>
          <w:tcPr>
            <w:tcW w:w="567" w:type="dxa"/>
            <w:tcBorders>
              <w:top w:val="nil"/>
              <w:left w:val="nil"/>
              <w:bottom w:val="nil"/>
              <w:right w:val="nil"/>
            </w:tcBorders>
            <w:shd w:val="clear" w:color="auto" w:fill="FFFFFF"/>
            <w:tcMar>
              <w:left w:w="67" w:type="dxa"/>
              <w:right w:w="67" w:type="dxa"/>
            </w:tcMar>
            <w:vAlign w:val="center"/>
          </w:tcPr>
          <w:p w14:paraId="61F49B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00BB1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0.7981</w:t>
            </w:r>
          </w:p>
        </w:tc>
      </w:tr>
      <w:tr w:rsidR="00B77EA3" w:rsidRPr="0082484A" w14:paraId="436DBBE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592FD5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30E07F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535C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-0.045005</w:t>
            </w:r>
          </w:p>
        </w:tc>
        <w:tc>
          <w:tcPr>
            <w:tcW w:w="1134" w:type="dxa"/>
            <w:tcBorders>
              <w:top w:val="nil"/>
              <w:left w:val="nil"/>
              <w:bottom w:val="nil"/>
              <w:right w:val="nil"/>
            </w:tcBorders>
            <w:shd w:val="clear" w:color="auto" w:fill="FFFFFF"/>
            <w:tcMar>
              <w:left w:w="67" w:type="dxa"/>
              <w:right w:w="67" w:type="dxa"/>
            </w:tcMar>
            <w:vAlign w:val="center"/>
          </w:tcPr>
          <w:p w14:paraId="050CA9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0.0494</w:t>
            </w:r>
          </w:p>
        </w:tc>
        <w:tc>
          <w:tcPr>
            <w:tcW w:w="1134" w:type="dxa"/>
            <w:tcBorders>
              <w:top w:val="nil"/>
              <w:left w:val="nil"/>
              <w:bottom w:val="nil"/>
              <w:right w:val="nil"/>
            </w:tcBorders>
            <w:shd w:val="clear" w:color="auto" w:fill="FFFFFF"/>
            <w:tcMar>
              <w:left w:w="67" w:type="dxa"/>
              <w:right w:w="67" w:type="dxa"/>
            </w:tcMar>
            <w:vAlign w:val="center"/>
          </w:tcPr>
          <w:p w14:paraId="51D20A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-0.1583</w:t>
            </w:r>
          </w:p>
        </w:tc>
        <w:tc>
          <w:tcPr>
            <w:tcW w:w="1134" w:type="dxa"/>
            <w:tcBorders>
              <w:top w:val="nil"/>
              <w:left w:val="nil"/>
              <w:bottom w:val="nil"/>
              <w:right w:val="nil"/>
            </w:tcBorders>
            <w:shd w:val="clear" w:color="auto" w:fill="FFFFFF"/>
            <w:tcMar>
              <w:left w:w="67" w:type="dxa"/>
              <w:right w:w="67" w:type="dxa"/>
            </w:tcMar>
            <w:vAlign w:val="center"/>
          </w:tcPr>
          <w:p w14:paraId="01F610C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0.0683</w:t>
            </w:r>
          </w:p>
        </w:tc>
        <w:tc>
          <w:tcPr>
            <w:tcW w:w="1134" w:type="dxa"/>
            <w:tcBorders>
              <w:top w:val="nil"/>
              <w:left w:val="nil"/>
              <w:bottom w:val="nil"/>
              <w:right w:val="nil"/>
            </w:tcBorders>
            <w:shd w:val="clear" w:color="auto" w:fill="FFFFFF"/>
            <w:tcMar>
              <w:left w:w="67" w:type="dxa"/>
              <w:right w:w="67" w:type="dxa"/>
            </w:tcMar>
            <w:vAlign w:val="center"/>
          </w:tcPr>
          <w:p w14:paraId="57ED764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BDE9A0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C78CB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5F7AD3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3CE063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D298B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739B2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-0.027141</w:t>
            </w:r>
          </w:p>
        </w:tc>
        <w:tc>
          <w:tcPr>
            <w:tcW w:w="1134" w:type="dxa"/>
            <w:tcBorders>
              <w:top w:val="nil"/>
              <w:left w:val="nil"/>
              <w:bottom w:val="nil"/>
              <w:right w:val="nil"/>
            </w:tcBorders>
            <w:shd w:val="clear" w:color="auto" w:fill="FFFFFF"/>
            <w:tcMar>
              <w:left w:w="67" w:type="dxa"/>
              <w:right w:w="67" w:type="dxa"/>
            </w:tcMar>
            <w:vAlign w:val="center"/>
          </w:tcPr>
          <w:p w14:paraId="3B6F48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0.0384</w:t>
            </w:r>
          </w:p>
        </w:tc>
        <w:tc>
          <w:tcPr>
            <w:tcW w:w="1134" w:type="dxa"/>
            <w:tcBorders>
              <w:top w:val="nil"/>
              <w:left w:val="nil"/>
              <w:bottom w:val="nil"/>
              <w:right w:val="nil"/>
            </w:tcBorders>
            <w:shd w:val="clear" w:color="auto" w:fill="FFFFFF"/>
            <w:tcMar>
              <w:left w:w="67" w:type="dxa"/>
              <w:right w:w="67" w:type="dxa"/>
            </w:tcMar>
            <w:vAlign w:val="center"/>
          </w:tcPr>
          <w:p w14:paraId="37358D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-0.1154</w:t>
            </w:r>
          </w:p>
        </w:tc>
        <w:tc>
          <w:tcPr>
            <w:tcW w:w="1134" w:type="dxa"/>
            <w:tcBorders>
              <w:top w:val="nil"/>
              <w:left w:val="nil"/>
              <w:bottom w:val="nil"/>
              <w:right w:val="nil"/>
            </w:tcBorders>
            <w:shd w:val="clear" w:color="auto" w:fill="FFFFFF"/>
            <w:tcMar>
              <w:left w:w="67" w:type="dxa"/>
              <w:right w:w="67" w:type="dxa"/>
            </w:tcMar>
            <w:vAlign w:val="center"/>
          </w:tcPr>
          <w:p w14:paraId="1C8959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0.0611</w:t>
            </w:r>
          </w:p>
        </w:tc>
        <w:tc>
          <w:tcPr>
            <w:tcW w:w="1134" w:type="dxa"/>
            <w:tcBorders>
              <w:top w:val="nil"/>
              <w:left w:val="nil"/>
              <w:bottom w:val="nil"/>
              <w:right w:val="nil"/>
            </w:tcBorders>
            <w:shd w:val="clear" w:color="auto" w:fill="FFFFFF"/>
            <w:tcMar>
              <w:left w:w="67" w:type="dxa"/>
              <w:right w:w="67" w:type="dxa"/>
            </w:tcMar>
            <w:vAlign w:val="center"/>
          </w:tcPr>
          <w:p w14:paraId="5C283A7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E574BB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6012BB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DA3842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9BD736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401B88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111A3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-0.074287</w:t>
            </w:r>
          </w:p>
        </w:tc>
        <w:tc>
          <w:tcPr>
            <w:tcW w:w="1134" w:type="dxa"/>
            <w:tcBorders>
              <w:top w:val="nil"/>
              <w:left w:val="nil"/>
              <w:bottom w:val="nil"/>
              <w:right w:val="nil"/>
            </w:tcBorders>
            <w:shd w:val="clear" w:color="auto" w:fill="FFFFFF"/>
            <w:tcMar>
              <w:left w:w="67" w:type="dxa"/>
              <w:right w:w="67" w:type="dxa"/>
            </w:tcMar>
            <w:vAlign w:val="center"/>
          </w:tcPr>
          <w:p w14:paraId="1CB0F1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0.0517</w:t>
            </w:r>
          </w:p>
        </w:tc>
        <w:tc>
          <w:tcPr>
            <w:tcW w:w="1134" w:type="dxa"/>
            <w:tcBorders>
              <w:top w:val="nil"/>
              <w:left w:val="nil"/>
              <w:bottom w:val="nil"/>
              <w:right w:val="nil"/>
            </w:tcBorders>
            <w:shd w:val="clear" w:color="auto" w:fill="FFFFFF"/>
            <w:tcMar>
              <w:left w:w="67" w:type="dxa"/>
              <w:right w:w="67" w:type="dxa"/>
            </w:tcMar>
            <w:vAlign w:val="center"/>
          </w:tcPr>
          <w:p w14:paraId="4B1D0E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-0.1930</w:t>
            </w:r>
          </w:p>
        </w:tc>
        <w:tc>
          <w:tcPr>
            <w:tcW w:w="1134" w:type="dxa"/>
            <w:tcBorders>
              <w:top w:val="nil"/>
              <w:left w:val="nil"/>
              <w:bottom w:val="nil"/>
              <w:right w:val="nil"/>
            </w:tcBorders>
            <w:shd w:val="clear" w:color="auto" w:fill="FFFFFF"/>
            <w:tcMar>
              <w:left w:w="67" w:type="dxa"/>
              <w:right w:w="67" w:type="dxa"/>
            </w:tcMar>
            <w:vAlign w:val="center"/>
          </w:tcPr>
          <w:p w14:paraId="34B16E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0.0444</w:t>
            </w:r>
          </w:p>
        </w:tc>
        <w:tc>
          <w:tcPr>
            <w:tcW w:w="1134" w:type="dxa"/>
            <w:tcBorders>
              <w:top w:val="nil"/>
              <w:left w:val="nil"/>
              <w:bottom w:val="nil"/>
              <w:right w:val="nil"/>
            </w:tcBorders>
            <w:shd w:val="clear" w:color="auto" w:fill="FFFFFF"/>
            <w:tcMar>
              <w:left w:w="67" w:type="dxa"/>
              <w:right w:w="67" w:type="dxa"/>
            </w:tcMar>
            <w:vAlign w:val="center"/>
          </w:tcPr>
          <w:p w14:paraId="15F9DDB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DBC220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72513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9AFACE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512853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8D8B2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B1F96C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-0.009151</w:t>
            </w:r>
          </w:p>
        </w:tc>
        <w:tc>
          <w:tcPr>
            <w:tcW w:w="1134" w:type="dxa"/>
            <w:tcBorders>
              <w:top w:val="nil"/>
              <w:left w:val="nil"/>
              <w:bottom w:val="nil"/>
              <w:right w:val="nil"/>
            </w:tcBorders>
            <w:shd w:val="clear" w:color="auto" w:fill="FFFFFF"/>
            <w:tcMar>
              <w:left w:w="67" w:type="dxa"/>
              <w:right w:w="67" w:type="dxa"/>
            </w:tcMar>
            <w:vAlign w:val="center"/>
          </w:tcPr>
          <w:p w14:paraId="35E935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0.0483</w:t>
            </w:r>
          </w:p>
        </w:tc>
        <w:tc>
          <w:tcPr>
            <w:tcW w:w="1134" w:type="dxa"/>
            <w:tcBorders>
              <w:top w:val="nil"/>
              <w:left w:val="nil"/>
              <w:bottom w:val="nil"/>
              <w:right w:val="nil"/>
            </w:tcBorders>
            <w:shd w:val="clear" w:color="auto" w:fill="FFFFFF"/>
            <w:tcMar>
              <w:left w:w="67" w:type="dxa"/>
              <w:right w:w="67" w:type="dxa"/>
            </w:tcMar>
            <w:vAlign w:val="center"/>
          </w:tcPr>
          <w:p w14:paraId="4EB83E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-0.1199</w:t>
            </w:r>
          </w:p>
        </w:tc>
        <w:tc>
          <w:tcPr>
            <w:tcW w:w="1134" w:type="dxa"/>
            <w:tcBorders>
              <w:top w:val="nil"/>
              <w:left w:val="nil"/>
              <w:bottom w:val="nil"/>
              <w:right w:val="nil"/>
            </w:tcBorders>
            <w:shd w:val="clear" w:color="auto" w:fill="FFFFFF"/>
            <w:tcMar>
              <w:left w:w="67" w:type="dxa"/>
              <w:right w:w="67" w:type="dxa"/>
            </w:tcMar>
            <w:vAlign w:val="center"/>
          </w:tcPr>
          <w:p w14:paraId="0D40FF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0.1016</w:t>
            </w:r>
          </w:p>
        </w:tc>
        <w:tc>
          <w:tcPr>
            <w:tcW w:w="1134" w:type="dxa"/>
            <w:tcBorders>
              <w:top w:val="nil"/>
              <w:left w:val="nil"/>
              <w:bottom w:val="nil"/>
              <w:right w:val="nil"/>
            </w:tcBorders>
            <w:shd w:val="clear" w:color="auto" w:fill="FFFFFF"/>
            <w:tcMar>
              <w:left w:w="67" w:type="dxa"/>
              <w:right w:w="67" w:type="dxa"/>
            </w:tcMar>
            <w:vAlign w:val="center"/>
          </w:tcPr>
          <w:p w14:paraId="1190C1F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6CEE66"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302B39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FEAD4F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388CA9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1D2124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314D3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-0.031775</w:t>
            </w:r>
          </w:p>
        </w:tc>
        <w:tc>
          <w:tcPr>
            <w:tcW w:w="1134" w:type="dxa"/>
            <w:tcBorders>
              <w:top w:val="nil"/>
              <w:left w:val="nil"/>
              <w:bottom w:val="nil"/>
              <w:right w:val="nil"/>
            </w:tcBorders>
            <w:shd w:val="clear" w:color="auto" w:fill="FFFFFF"/>
            <w:tcMar>
              <w:left w:w="67" w:type="dxa"/>
              <w:right w:w="67" w:type="dxa"/>
            </w:tcMar>
            <w:vAlign w:val="center"/>
          </w:tcPr>
          <w:p w14:paraId="111462D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0.0529</w:t>
            </w:r>
          </w:p>
        </w:tc>
        <w:tc>
          <w:tcPr>
            <w:tcW w:w="1134" w:type="dxa"/>
            <w:tcBorders>
              <w:top w:val="nil"/>
              <w:left w:val="nil"/>
              <w:bottom w:val="nil"/>
              <w:right w:val="nil"/>
            </w:tcBorders>
            <w:shd w:val="clear" w:color="auto" w:fill="FFFFFF"/>
            <w:tcMar>
              <w:left w:w="67" w:type="dxa"/>
              <w:right w:w="67" w:type="dxa"/>
            </w:tcMar>
            <w:vAlign w:val="center"/>
          </w:tcPr>
          <w:p w14:paraId="562120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-0.1533</w:t>
            </w:r>
          </w:p>
        </w:tc>
        <w:tc>
          <w:tcPr>
            <w:tcW w:w="1134" w:type="dxa"/>
            <w:tcBorders>
              <w:top w:val="nil"/>
              <w:left w:val="nil"/>
              <w:bottom w:val="nil"/>
              <w:right w:val="nil"/>
            </w:tcBorders>
            <w:shd w:val="clear" w:color="auto" w:fill="FFFFFF"/>
            <w:tcMar>
              <w:left w:w="67" w:type="dxa"/>
              <w:right w:w="67" w:type="dxa"/>
            </w:tcMar>
            <w:vAlign w:val="center"/>
          </w:tcPr>
          <w:p w14:paraId="4FF84A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0.0897</w:t>
            </w:r>
          </w:p>
        </w:tc>
        <w:tc>
          <w:tcPr>
            <w:tcW w:w="1134" w:type="dxa"/>
            <w:tcBorders>
              <w:top w:val="nil"/>
              <w:left w:val="nil"/>
              <w:bottom w:val="nil"/>
              <w:right w:val="nil"/>
            </w:tcBorders>
            <w:shd w:val="clear" w:color="auto" w:fill="FFFFFF"/>
            <w:tcMar>
              <w:left w:w="67" w:type="dxa"/>
              <w:right w:w="67" w:type="dxa"/>
            </w:tcMar>
            <w:vAlign w:val="center"/>
          </w:tcPr>
          <w:p w14:paraId="0356E73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7F0B3D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8304C4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FDDFA9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EFA23F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D43633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D4252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-0.062293</w:t>
            </w:r>
          </w:p>
        </w:tc>
        <w:tc>
          <w:tcPr>
            <w:tcW w:w="1134" w:type="dxa"/>
            <w:tcBorders>
              <w:top w:val="nil"/>
              <w:left w:val="nil"/>
              <w:bottom w:val="nil"/>
              <w:right w:val="nil"/>
            </w:tcBorders>
            <w:shd w:val="clear" w:color="auto" w:fill="FFFFFF"/>
            <w:tcMar>
              <w:left w:w="67" w:type="dxa"/>
              <w:right w:w="67" w:type="dxa"/>
            </w:tcMar>
            <w:vAlign w:val="center"/>
          </w:tcPr>
          <w:p w14:paraId="0451CBF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0.0454</w:t>
            </w:r>
          </w:p>
        </w:tc>
        <w:tc>
          <w:tcPr>
            <w:tcW w:w="1134" w:type="dxa"/>
            <w:tcBorders>
              <w:top w:val="nil"/>
              <w:left w:val="nil"/>
              <w:bottom w:val="nil"/>
              <w:right w:val="nil"/>
            </w:tcBorders>
            <w:shd w:val="clear" w:color="auto" w:fill="FFFFFF"/>
            <w:tcMar>
              <w:left w:w="67" w:type="dxa"/>
              <w:right w:w="67" w:type="dxa"/>
            </w:tcMar>
            <w:vAlign w:val="center"/>
          </w:tcPr>
          <w:p w14:paraId="510A41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-0.1665</w:t>
            </w:r>
          </w:p>
        </w:tc>
        <w:tc>
          <w:tcPr>
            <w:tcW w:w="1134" w:type="dxa"/>
            <w:tcBorders>
              <w:top w:val="nil"/>
              <w:left w:val="nil"/>
              <w:bottom w:val="nil"/>
              <w:right w:val="nil"/>
            </w:tcBorders>
            <w:shd w:val="clear" w:color="auto" w:fill="FFFFFF"/>
            <w:tcMar>
              <w:left w:w="67" w:type="dxa"/>
              <w:right w:w="67" w:type="dxa"/>
            </w:tcMar>
            <w:vAlign w:val="center"/>
          </w:tcPr>
          <w:p w14:paraId="11869B9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0.0419</w:t>
            </w:r>
          </w:p>
        </w:tc>
        <w:tc>
          <w:tcPr>
            <w:tcW w:w="1134" w:type="dxa"/>
            <w:tcBorders>
              <w:top w:val="nil"/>
              <w:left w:val="nil"/>
              <w:bottom w:val="nil"/>
              <w:right w:val="nil"/>
            </w:tcBorders>
            <w:shd w:val="clear" w:color="auto" w:fill="FFFFFF"/>
            <w:tcMar>
              <w:left w:w="67" w:type="dxa"/>
              <w:right w:w="67" w:type="dxa"/>
            </w:tcMar>
            <w:vAlign w:val="center"/>
          </w:tcPr>
          <w:p w14:paraId="740B882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72547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220656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3764CF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1E3C0E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96C71C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054BB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-0.023044</w:t>
            </w:r>
          </w:p>
        </w:tc>
        <w:tc>
          <w:tcPr>
            <w:tcW w:w="1134" w:type="dxa"/>
            <w:tcBorders>
              <w:top w:val="nil"/>
              <w:left w:val="nil"/>
              <w:bottom w:val="nil"/>
              <w:right w:val="nil"/>
            </w:tcBorders>
            <w:shd w:val="clear" w:color="auto" w:fill="FFFFFF"/>
            <w:tcMar>
              <w:left w:w="67" w:type="dxa"/>
              <w:right w:w="67" w:type="dxa"/>
            </w:tcMar>
            <w:vAlign w:val="center"/>
          </w:tcPr>
          <w:p w14:paraId="1D98B5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0.0470</w:t>
            </w:r>
          </w:p>
        </w:tc>
        <w:tc>
          <w:tcPr>
            <w:tcW w:w="1134" w:type="dxa"/>
            <w:tcBorders>
              <w:top w:val="nil"/>
              <w:left w:val="nil"/>
              <w:bottom w:val="nil"/>
              <w:right w:val="nil"/>
            </w:tcBorders>
            <w:shd w:val="clear" w:color="auto" w:fill="FFFFFF"/>
            <w:tcMar>
              <w:left w:w="67" w:type="dxa"/>
              <w:right w:w="67" w:type="dxa"/>
            </w:tcMar>
            <w:vAlign w:val="center"/>
          </w:tcPr>
          <w:p w14:paraId="067A5F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-0.1309</w:t>
            </w:r>
          </w:p>
        </w:tc>
        <w:tc>
          <w:tcPr>
            <w:tcW w:w="1134" w:type="dxa"/>
            <w:tcBorders>
              <w:top w:val="nil"/>
              <w:left w:val="nil"/>
              <w:bottom w:val="nil"/>
              <w:right w:val="nil"/>
            </w:tcBorders>
            <w:shd w:val="clear" w:color="auto" w:fill="FFFFFF"/>
            <w:tcMar>
              <w:left w:w="67" w:type="dxa"/>
              <w:right w:w="67" w:type="dxa"/>
            </w:tcMar>
            <w:vAlign w:val="center"/>
          </w:tcPr>
          <w:p w14:paraId="1FA809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0.0848</w:t>
            </w:r>
          </w:p>
        </w:tc>
        <w:tc>
          <w:tcPr>
            <w:tcW w:w="1134" w:type="dxa"/>
            <w:tcBorders>
              <w:top w:val="nil"/>
              <w:left w:val="nil"/>
              <w:bottom w:val="nil"/>
              <w:right w:val="nil"/>
            </w:tcBorders>
            <w:shd w:val="clear" w:color="auto" w:fill="FFFFFF"/>
            <w:tcMar>
              <w:left w:w="67" w:type="dxa"/>
              <w:right w:w="67" w:type="dxa"/>
            </w:tcMar>
            <w:vAlign w:val="center"/>
          </w:tcPr>
          <w:p w14:paraId="0C88553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53911B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6A70C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D3B4CD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C72F65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626A2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78F83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0.012975</w:t>
            </w:r>
          </w:p>
        </w:tc>
        <w:tc>
          <w:tcPr>
            <w:tcW w:w="1134" w:type="dxa"/>
            <w:tcBorders>
              <w:top w:val="nil"/>
              <w:left w:val="nil"/>
              <w:bottom w:val="nil"/>
              <w:right w:val="nil"/>
            </w:tcBorders>
            <w:shd w:val="clear" w:color="auto" w:fill="FFFFFF"/>
            <w:tcMar>
              <w:left w:w="67" w:type="dxa"/>
              <w:right w:w="67" w:type="dxa"/>
            </w:tcMar>
            <w:vAlign w:val="center"/>
          </w:tcPr>
          <w:p w14:paraId="07C6189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0.0479</w:t>
            </w:r>
          </w:p>
        </w:tc>
        <w:tc>
          <w:tcPr>
            <w:tcW w:w="1134" w:type="dxa"/>
            <w:tcBorders>
              <w:top w:val="nil"/>
              <w:left w:val="nil"/>
              <w:bottom w:val="nil"/>
              <w:right w:val="nil"/>
            </w:tcBorders>
            <w:shd w:val="clear" w:color="auto" w:fill="FFFFFF"/>
            <w:tcMar>
              <w:left w:w="67" w:type="dxa"/>
              <w:right w:w="67" w:type="dxa"/>
            </w:tcMar>
            <w:vAlign w:val="center"/>
          </w:tcPr>
          <w:p w14:paraId="55A8F5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-0.0969</w:t>
            </w:r>
          </w:p>
        </w:tc>
        <w:tc>
          <w:tcPr>
            <w:tcW w:w="1134" w:type="dxa"/>
            <w:tcBorders>
              <w:top w:val="nil"/>
              <w:left w:val="nil"/>
              <w:bottom w:val="nil"/>
              <w:right w:val="nil"/>
            </w:tcBorders>
            <w:shd w:val="clear" w:color="auto" w:fill="FFFFFF"/>
            <w:tcMar>
              <w:left w:w="67" w:type="dxa"/>
              <w:right w:w="67" w:type="dxa"/>
            </w:tcMar>
            <w:vAlign w:val="center"/>
          </w:tcPr>
          <w:p w14:paraId="4DDFEBC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0.1229</w:t>
            </w:r>
          </w:p>
        </w:tc>
        <w:tc>
          <w:tcPr>
            <w:tcW w:w="1134" w:type="dxa"/>
            <w:tcBorders>
              <w:top w:val="nil"/>
              <w:left w:val="nil"/>
              <w:bottom w:val="nil"/>
              <w:right w:val="nil"/>
            </w:tcBorders>
            <w:shd w:val="clear" w:color="auto" w:fill="FFFFFF"/>
            <w:tcMar>
              <w:left w:w="67" w:type="dxa"/>
              <w:right w:w="67" w:type="dxa"/>
            </w:tcMar>
            <w:vAlign w:val="center"/>
          </w:tcPr>
          <w:p w14:paraId="2264D97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1F71EC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06427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1F01D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6FF4DC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1B58F48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EA918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-0.002281</w:t>
            </w:r>
          </w:p>
        </w:tc>
        <w:tc>
          <w:tcPr>
            <w:tcW w:w="1134" w:type="dxa"/>
            <w:tcBorders>
              <w:top w:val="nil"/>
              <w:left w:val="nil"/>
              <w:bottom w:val="nil"/>
              <w:right w:val="nil"/>
            </w:tcBorders>
            <w:shd w:val="clear" w:color="auto" w:fill="FFFFFF"/>
            <w:tcMar>
              <w:left w:w="67" w:type="dxa"/>
              <w:right w:w="67" w:type="dxa"/>
            </w:tcMar>
            <w:vAlign w:val="center"/>
          </w:tcPr>
          <w:p w14:paraId="7810BD2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0.0025</w:t>
            </w:r>
          </w:p>
        </w:tc>
        <w:tc>
          <w:tcPr>
            <w:tcW w:w="1134" w:type="dxa"/>
            <w:tcBorders>
              <w:top w:val="nil"/>
              <w:left w:val="nil"/>
              <w:bottom w:val="nil"/>
              <w:right w:val="nil"/>
            </w:tcBorders>
            <w:shd w:val="clear" w:color="auto" w:fill="FFFFFF"/>
            <w:tcMar>
              <w:left w:w="67" w:type="dxa"/>
              <w:right w:w="67" w:type="dxa"/>
            </w:tcMar>
            <w:vAlign w:val="center"/>
          </w:tcPr>
          <w:p w14:paraId="353650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-0.0081</w:t>
            </w:r>
          </w:p>
        </w:tc>
        <w:tc>
          <w:tcPr>
            <w:tcW w:w="1134" w:type="dxa"/>
            <w:tcBorders>
              <w:top w:val="nil"/>
              <w:left w:val="nil"/>
              <w:bottom w:val="nil"/>
              <w:right w:val="nil"/>
            </w:tcBorders>
            <w:shd w:val="clear" w:color="auto" w:fill="FFFFFF"/>
            <w:tcMar>
              <w:left w:w="67" w:type="dxa"/>
              <w:right w:w="67" w:type="dxa"/>
            </w:tcMar>
            <w:vAlign w:val="center"/>
          </w:tcPr>
          <w:p w14:paraId="7FC865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45DA9E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w:t>
            </w:r>
          </w:p>
        </w:tc>
        <w:tc>
          <w:tcPr>
            <w:tcW w:w="567" w:type="dxa"/>
            <w:tcBorders>
              <w:top w:val="nil"/>
              <w:left w:val="nil"/>
              <w:bottom w:val="nil"/>
              <w:right w:val="nil"/>
            </w:tcBorders>
            <w:shd w:val="clear" w:color="auto" w:fill="FFFFFF"/>
            <w:tcMar>
              <w:left w:w="67" w:type="dxa"/>
              <w:right w:w="67" w:type="dxa"/>
            </w:tcMar>
            <w:vAlign w:val="center"/>
          </w:tcPr>
          <w:p w14:paraId="6F077C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2F6A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0.3680</w:t>
            </w:r>
          </w:p>
        </w:tc>
      </w:tr>
      <w:tr w:rsidR="00B77EA3" w:rsidRPr="0082484A" w14:paraId="19CA481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395A65D"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6F1C05F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11CC55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0.001415</w:t>
            </w:r>
          </w:p>
        </w:tc>
        <w:tc>
          <w:tcPr>
            <w:tcW w:w="1134" w:type="dxa"/>
            <w:tcBorders>
              <w:top w:val="nil"/>
              <w:left w:val="nil"/>
              <w:bottom w:val="nil"/>
              <w:right w:val="nil"/>
            </w:tcBorders>
            <w:shd w:val="clear" w:color="auto" w:fill="FFFFFF"/>
            <w:tcMar>
              <w:left w:w="67" w:type="dxa"/>
              <w:right w:w="67" w:type="dxa"/>
            </w:tcMar>
            <w:vAlign w:val="center"/>
          </w:tcPr>
          <w:p w14:paraId="67CA9B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62BA81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w:t>
            </w:r>
          </w:p>
        </w:tc>
        <w:tc>
          <w:tcPr>
            <w:tcW w:w="1134" w:type="dxa"/>
            <w:tcBorders>
              <w:top w:val="nil"/>
              <w:left w:val="nil"/>
              <w:bottom w:val="nil"/>
              <w:right w:val="nil"/>
            </w:tcBorders>
            <w:shd w:val="clear" w:color="auto" w:fill="FFFFFF"/>
            <w:tcMar>
              <w:left w:w="67" w:type="dxa"/>
              <w:right w:w="67" w:type="dxa"/>
            </w:tcMar>
            <w:vAlign w:val="center"/>
          </w:tcPr>
          <w:p w14:paraId="280B41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52CA46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0.76</w:t>
            </w:r>
          </w:p>
        </w:tc>
        <w:tc>
          <w:tcPr>
            <w:tcW w:w="567" w:type="dxa"/>
            <w:tcBorders>
              <w:top w:val="nil"/>
              <w:left w:val="nil"/>
              <w:bottom w:val="nil"/>
              <w:right w:val="nil"/>
            </w:tcBorders>
            <w:shd w:val="clear" w:color="auto" w:fill="FFFFFF"/>
            <w:tcMar>
              <w:left w:w="67" w:type="dxa"/>
              <w:right w:w="67" w:type="dxa"/>
            </w:tcMar>
            <w:vAlign w:val="center"/>
          </w:tcPr>
          <w:p w14:paraId="3503E1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0E199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0.3866</w:t>
            </w:r>
          </w:p>
        </w:tc>
      </w:tr>
      <w:tr w:rsidR="00B77EA3" w:rsidRPr="0082484A" w14:paraId="453E0A5A"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003BB787"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DFC797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9CD29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0.001016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EBBC0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3D01D9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20CB1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BFDA98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8.30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D5EAC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240094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0.0054</w:t>
            </w:r>
          </w:p>
        </w:tc>
      </w:tr>
    </w:tbl>
    <w:p w14:paraId="781FE9EC"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7B5DEAA8" w14:textId="5A5EA7E0" w:rsidR="00B77EA3" w:rsidRPr="0082484A" w:rsidRDefault="00B77EA3" w:rsidP="00B77EA3">
      <w:pPr>
        <w:spacing w:before="0" w:line="240" w:lineRule="auto"/>
        <w:rPr>
          <w:bCs/>
          <w:sz w:val="22"/>
          <w:szCs w:val="22"/>
        </w:rPr>
      </w:pPr>
      <w:bookmarkStart w:id="243" w:name="_Ref502918091"/>
      <w:bookmarkStart w:id="244" w:name="_Toc8728140"/>
      <w:bookmarkStart w:id="245" w:name="_Toc19526795"/>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66</w:t>
      </w:r>
      <w:r w:rsidRPr="0082484A">
        <w:rPr>
          <w:bCs/>
          <w:noProof/>
          <w:sz w:val="22"/>
          <w:szCs w:val="22"/>
        </w:rPr>
        <w:fldChar w:fldCharType="end"/>
      </w:r>
      <w:bookmarkEnd w:id="243"/>
      <w:r w:rsidRPr="0082484A">
        <w:rPr>
          <w:bCs/>
          <w:sz w:val="22"/>
          <w:szCs w:val="22"/>
        </w:rPr>
        <w:t>: Secondary outcome for Trial 1. Achievement of QOF indicator, ‘The percentage of patients with diabetes, on the register, in whom the last measured IFCC-HbA1c (measured within the preceding 12 months) is 64 mmol/mol or less’ (DM008) (WP4a)</w:t>
      </w:r>
      <w:bookmarkEnd w:id="244"/>
      <w:bookmarkEnd w:id="245"/>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1A2E2C12"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D002CD6" w14:textId="77777777" w:rsidR="00B77EA3" w:rsidRPr="0082484A" w:rsidRDefault="00B77EA3" w:rsidP="00B77EA3">
            <w:pPr>
              <w:spacing w:beforeLines="10" w:before="24" w:afterLines="10" w:after="24" w:line="240" w:lineRule="auto"/>
              <w:rPr>
                <w:bCs/>
                <w:sz w:val="22"/>
                <w:szCs w:val="22"/>
              </w:rPr>
            </w:pPr>
            <w:bookmarkStart w:id="246" w:name="IDX87"/>
            <w:bookmarkEnd w:id="246"/>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AC4E6AE"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ED2925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F456B5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53326D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6650DB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DCB43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9EB42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164FC42"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14A2160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85D7BF0"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568A3E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0A63D0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0.007058</w:t>
            </w:r>
          </w:p>
        </w:tc>
        <w:tc>
          <w:tcPr>
            <w:tcW w:w="1134" w:type="dxa"/>
            <w:tcBorders>
              <w:top w:val="nil"/>
              <w:left w:val="nil"/>
              <w:bottom w:val="nil"/>
              <w:right w:val="nil"/>
            </w:tcBorders>
            <w:shd w:val="clear" w:color="auto" w:fill="FFFFFF"/>
            <w:tcMar>
              <w:left w:w="67" w:type="dxa"/>
              <w:right w:w="67" w:type="dxa"/>
            </w:tcMar>
            <w:vAlign w:val="center"/>
          </w:tcPr>
          <w:p w14:paraId="323D99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0.0185</w:t>
            </w:r>
          </w:p>
        </w:tc>
        <w:tc>
          <w:tcPr>
            <w:tcW w:w="1134" w:type="dxa"/>
            <w:tcBorders>
              <w:top w:val="nil"/>
              <w:left w:val="nil"/>
              <w:bottom w:val="nil"/>
              <w:right w:val="nil"/>
            </w:tcBorders>
            <w:shd w:val="clear" w:color="auto" w:fill="FFFFFF"/>
            <w:tcMar>
              <w:left w:w="67" w:type="dxa"/>
              <w:right w:w="67" w:type="dxa"/>
            </w:tcMar>
            <w:vAlign w:val="center"/>
          </w:tcPr>
          <w:p w14:paraId="004951B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-0.0353</w:t>
            </w:r>
          </w:p>
        </w:tc>
        <w:tc>
          <w:tcPr>
            <w:tcW w:w="1134" w:type="dxa"/>
            <w:tcBorders>
              <w:top w:val="nil"/>
              <w:left w:val="nil"/>
              <w:bottom w:val="nil"/>
              <w:right w:val="nil"/>
            </w:tcBorders>
            <w:shd w:val="clear" w:color="auto" w:fill="FFFFFF"/>
            <w:tcMar>
              <w:left w:w="67" w:type="dxa"/>
              <w:right w:w="67" w:type="dxa"/>
            </w:tcMar>
            <w:vAlign w:val="center"/>
          </w:tcPr>
          <w:p w14:paraId="17D05B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0.0494</w:t>
            </w:r>
          </w:p>
        </w:tc>
        <w:tc>
          <w:tcPr>
            <w:tcW w:w="1134" w:type="dxa"/>
            <w:tcBorders>
              <w:top w:val="nil"/>
              <w:left w:val="nil"/>
              <w:bottom w:val="nil"/>
              <w:right w:val="nil"/>
            </w:tcBorders>
            <w:shd w:val="clear" w:color="auto" w:fill="FFFFFF"/>
            <w:tcMar>
              <w:left w:w="67" w:type="dxa"/>
              <w:right w:w="67" w:type="dxa"/>
            </w:tcMar>
            <w:vAlign w:val="center"/>
          </w:tcPr>
          <w:p w14:paraId="2F5619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w:t>
            </w:r>
          </w:p>
        </w:tc>
        <w:tc>
          <w:tcPr>
            <w:tcW w:w="567" w:type="dxa"/>
            <w:tcBorders>
              <w:top w:val="nil"/>
              <w:left w:val="nil"/>
              <w:bottom w:val="nil"/>
              <w:right w:val="nil"/>
            </w:tcBorders>
            <w:shd w:val="clear" w:color="auto" w:fill="FFFFFF"/>
            <w:tcMar>
              <w:left w:w="67" w:type="dxa"/>
              <w:right w:w="67" w:type="dxa"/>
            </w:tcMar>
            <w:vAlign w:val="center"/>
          </w:tcPr>
          <w:p w14:paraId="152C92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A031D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0.7036</w:t>
            </w:r>
          </w:p>
        </w:tc>
      </w:tr>
      <w:tr w:rsidR="00B77EA3" w:rsidRPr="0082484A" w14:paraId="48300AE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934D1D5"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A629B7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3F207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0.000054</w:t>
            </w:r>
          </w:p>
        </w:tc>
        <w:tc>
          <w:tcPr>
            <w:tcW w:w="1134" w:type="dxa"/>
            <w:tcBorders>
              <w:top w:val="nil"/>
              <w:left w:val="nil"/>
              <w:bottom w:val="nil"/>
              <w:right w:val="nil"/>
            </w:tcBorders>
            <w:shd w:val="clear" w:color="auto" w:fill="FFFFFF"/>
            <w:tcMar>
              <w:left w:w="67" w:type="dxa"/>
              <w:right w:w="67" w:type="dxa"/>
            </w:tcMar>
            <w:vAlign w:val="center"/>
          </w:tcPr>
          <w:p w14:paraId="571014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1EDF39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749C96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363C9F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w:t>
            </w:r>
          </w:p>
        </w:tc>
        <w:tc>
          <w:tcPr>
            <w:tcW w:w="567" w:type="dxa"/>
            <w:tcBorders>
              <w:top w:val="nil"/>
              <w:left w:val="nil"/>
              <w:bottom w:val="nil"/>
              <w:right w:val="nil"/>
            </w:tcBorders>
            <w:shd w:val="clear" w:color="auto" w:fill="FFFFFF"/>
            <w:tcMar>
              <w:left w:w="67" w:type="dxa"/>
              <w:right w:w="67" w:type="dxa"/>
            </w:tcMar>
            <w:vAlign w:val="center"/>
          </w:tcPr>
          <w:p w14:paraId="4EB7C0E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A707B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0.8542</w:t>
            </w:r>
          </w:p>
        </w:tc>
      </w:tr>
      <w:tr w:rsidR="00B77EA3" w:rsidRPr="0082484A" w14:paraId="65FBCAE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61E69F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7D4688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ABB9C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-0.031049</w:t>
            </w:r>
          </w:p>
        </w:tc>
        <w:tc>
          <w:tcPr>
            <w:tcW w:w="1134" w:type="dxa"/>
            <w:tcBorders>
              <w:top w:val="nil"/>
              <w:left w:val="nil"/>
              <w:bottom w:val="nil"/>
              <w:right w:val="nil"/>
            </w:tcBorders>
            <w:shd w:val="clear" w:color="auto" w:fill="FFFFFF"/>
            <w:tcMar>
              <w:left w:w="67" w:type="dxa"/>
              <w:right w:w="67" w:type="dxa"/>
            </w:tcMar>
            <w:vAlign w:val="center"/>
          </w:tcPr>
          <w:p w14:paraId="0A7750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0.0548</w:t>
            </w:r>
          </w:p>
        </w:tc>
        <w:tc>
          <w:tcPr>
            <w:tcW w:w="1134" w:type="dxa"/>
            <w:tcBorders>
              <w:top w:val="nil"/>
              <w:left w:val="nil"/>
              <w:bottom w:val="nil"/>
              <w:right w:val="nil"/>
            </w:tcBorders>
            <w:shd w:val="clear" w:color="auto" w:fill="FFFFFF"/>
            <w:tcMar>
              <w:left w:w="67" w:type="dxa"/>
              <w:right w:w="67" w:type="dxa"/>
            </w:tcMar>
            <w:vAlign w:val="center"/>
          </w:tcPr>
          <w:p w14:paraId="1E5FBC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-0.1568</w:t>
            </w:r>
          </w:p>
        </w:tc>
        <w:tc>
          <w:tcPr>
            <w:tcW w:w="1134" w:type="dxa"/>
            <w:tcBorders>
              <w:top w:val="nil"/>
              <w:left w:val="nil"/>
              <w:bottom w:val="nil"/>
              <w:right w:val="nil"/>
            </w:tcBorders>
            <w:shd w:val="clear" w:color="auto" w:fill="FFFFFF"/>
            <w:tcMar>
              <w:left w:w="67" w:type="dxa"/>
              <w:right w:w="67" w:type="dxa"/>
            </w:tcMar>
            <w:vAlign w:val="center"/>
          </w:tcPr>
          <w:p w14:paraId="59D1E2D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0.0947</w:t>
            </w:r>
          </w:p>
        </w:tc>
        <w:tc>
          <w:tcPr>
            <w:tcW w:w="1134" w:type="dxa"/>
            <w:tcBorders>
              <w:top w:val="nil"/>
              <w:left w:val="nil"/>
              <w:bottom w:val="nil"/>
              <w:right w:val="nil"/>
            </w:tcBorders>
            <w:shd w:val="clear" w:color="auto" w:fill="FFFFFF"/>
            <w:tcMar>
              <w:left w:w="67" w:type="dxa"/>
              <w:right w:w="67" w:type="dxa"/>
            </w:tcMar>
            <w:vAlign w:val="center"/>
          </w:tcPr>
          <w:p w14:paraId="63F815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0.56</w:t>
            </w:r>
          </w:p>
        </w:tc>
        <w:tc>
          <w:tcPr>
            <w:tcW w:w="567" w:type="dxa"/>
            <w:tcBorders>
              <w:top w:val="nil"/>
              <w:left w:val="nil"/>
              <w:bottom w:val="nil"/>
              <w:right w:val="nil"/>
            </w:tcBorders>
            <w:shd w:val="clear" w:color="auto" w:fill="FFFFFF"/>
            <w:tcMar>
              <w:left w:w="67" w:type="dxa"/>
              <w:right w:w="67" w:type="dxa"/>
            </w:tcMar>
            <w:vAlign w:val="center"/>
          </w:tcPr>
          <w:p w14:paraId="3F621B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1B774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0.8282</w:t>
            </w:r>
          </w:p>
        </w:tc>
      </w:tr>
      <w:tr w:rsidR="00B77EA3" w:rsidRPr="0082484A" w14:paraId="54D3BAE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7A3D95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3D479E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5644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-0.029990</w:t>
            </w:r>
          </w:p>
        </w:tc>
        <w:tc>
          <w:tcPr>
            <w:tcW w:w="1134" w:type="dxa"/>
            <w:tcBorders>
              <w:top w:val="nil"/>
              <w:left w:val="nil"/>
              <w:bottom w:val="nil"/>
              <w:right w:val="nil"/>
            </w:tcBorders>
            <w:shd w:val="clear" w:color="auto" w:fill="FFFFFF"/>
            <w:tcMar>
              <w:left w:w="67" w:type="dxa"/>
              <w:right w:w="67" w:type="dxa"/>
            </w:tcMar>
            <w:vAlign w:val="center"/>
          </w:tcPr>
          <w:p w14:paraId="7D9C2B2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0.0440</w:t>
            </w:r>
          </w:p>
        </w:tc>
        <w:tc>
          <w:tcPr>
            <w:tcW w:w="1134" w:type="dxa"/>
            <w:tcBorders>
              <w:top w:val="nil"/>
              <w:left w:val="nil"/>
              <w:bottom w:val="nil"/>
              <w:right w:val="nil"/>
            </w:tcBorders>
            <w:shd w:val="clear" w:color="auto" w:fill="FFFFFF"/>
            <w:tcMar>
              <w:left w:w="67" w:type="dxa"/>
              <w:right w:w="67" w:type="dxa"/>
            </w:tcMar>
            <w:vAlign w:val="center"/>
          </w:tcPr>
          <w:p w14:paraId="6B31180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-0.1310</w:t>
            </w:r>
          </w:p>
        </w:tc>
        <w:tc>
          <w:tcPr>
            <w:tcW w:w="1134" w:type="dxa"/>
            <w:tcBorders>
              <w:top w:val="nil"/>
              <w:left w:val="nil"/>
              <w:bottom w:val="nil"/>
              <w:right w:val="nil"/>
            </w:tcBorders>
            <w:shd w:val="clear" w:color="auto" w:fill="FFFFFF"/>
            <w:tcMar>
              <w:left w:w="67" w:type="dxa"/>
              <w:right w:w="67" w:type="dxa"/>
            </w:tcMar>
            <w:vAlign w:val="center"/>
          </w:tcPr>
          <w:p w14:paraId="557333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0.0711</w:t>
            </w:r>
          </w:p>
        </w:tc>
        <w:tc>
          <w:tcPr>
            <w:tcW w:w="1134" w:type="dxa"/>
            <w:tcBorders>
              <w:top w:val="nil"/>
              <w:left w:val="nil"/>
              <w:bottom w:val="nil"/>
              <w:right w:val="nil"/>
            </w:tcBorders>
            <w:shd w:val="clear" w:color="auto" w:fill="FFFFFF"/>
            <w:tcMar>
              <w:left w:w="67" w:type="dxa"/>
              <w:right w:w="67" w:type="dxa"/>
            </w:tcMar>
            <w:vAlign w:val="center"/>
          </w:tcPr>
          <w:p w14:paraId="3F9E1EF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017C4F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EB6D7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27588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9B745F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703876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D6DFAC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-0.017126</w:t>
            </w:r>
          </w:p>
        </w:tc>
        <w:tc>
          <w:tcPr>
            <w:tcW w:w="1134" w:type="dxa"/>
            <w:tcBorders>
              <w:top w:val="nil"/>
              <w:left w:val="nil"/>
              <w:bottom w:val="nil"/>
              <w:right w:val="nil"/>
            </w:tcBorders>
            <w:shd w:val="clear" w:color="auto" w:fill="FFFFFF"/>
            <w:tcMar>
              <w:left w:w="67" w:type="dxa"/>
              <w:right w:w="67" w:type="dxa"/>
            </w:tcMar>
            <w:vAlign w:val="center"/>
          </w:tcPr>
          <w:p w14:paraId="4F3B14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0.0343</w:t>
            </w:r>
          </w:p>
        </w:tc>
        <w:tc>
          <w:tcPr>
            <w:tcW w:w="1134" w:type="dxa"/>
            <w:tcBorders>
              <w:top w:val="nil"/>
              <w:left w:val="nil"/>
              <w:bottom w:val="nil"/>
              <w:right w:val="nil"/>
            </w:tcBorders>
            <w:shd w:val="clear" w:color="auto" w:fill="FFFFFF"/>
            <w:tcMar>
              <w:left w:w="67" w:type="dxa"/>
              <w:right w:w="67" w:type="dxa"/>
            </w:tcMar>
            <w:vAlign w:val="center"/>
          </w:tcPr>
          <w:p w14:paraId="287D8D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-0.0958</w:t>
            </w:r>
          </w:p>
        </w:tc>
        <w:tc>
          <w:tcPr>
            <w:tcW w:w="1134" w:type="dxa"/>
            <w:tcBorders>
              <w:top w:val="nil"/>
              <w:left w:val="nil"/>
              <w:bottom w:val="nil"/>
              <w:right w:val="nil"/>
            </w:tcBorders>
            <w:shd w:val="clear" w:color="auto" w:fill="FFFFFF"/>
            <w:tcMar>
              <w:left w:w="67" w:type="dxa"/>
              <w:right w:w="67" w:type="dxa"/>
            </w:tcMar>
            <w:vAlign w:val="center"/>
          </w:tcPr>
          <w:p w14:paraId="73A05E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0.0615</w:t>
            </w:r>
          </w:p>
        </w:tc>
        <w:tc>
          <w:tcPr>
            <w:tcW w:w="1134" w:type="dxa"/>
            <w:tcBorders>
              <w:top w:val="nil"/>
              <w:left w:val="nil"/>
              <w:bottom w:val="nil"/>
              <w:right w:val="nil"/>
            </w:tcBorders>
            <w:shd w:val="clear" w:color="auto" w:fill="FFFFFF"/>
            <w:tcMar>
              <w:left w:w="67" w:type="dxa"/>
              <w:right w:w="67" w:type="dxa"/>
            </w:tcMar>
            <w:vAlign w:val="center"/>
          </w:tcPr>
          <w:p w14:paraId="6A6127F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C485FE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938A2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456CF6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27BF79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D6B08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F3E0B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-0.057935</w:t>
            </w:r>
          </w:p>
        </w:tc>
        <w:tc>
          <w:tcPr>
            <w:tcW w:w="1134" w:type="dxa"/>
            <w:tcBorders>
              <w:top w:val="nil"/>
              <w:left w:val="nil"/>
              <w:bottom w:val="nil"/>
              <w:right w:val="nil"/>
            </w:tcBorders>
            <w:shd w:val="clear" w:color="auto" w:fill="FFFFFF"/>
            <w:tcMar>
              <w:left w:w="67" w:type="dxa"/>
              <w:right w:w="67" w:type="dxa"/>
            </w:tcMar>
            <w:vAlign w:val="center"/>
          </w:tcPr>
          <w:p w14:paraId="7A4712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0.0461</w:t>
            </w:r>
          </w:p>
        </w:tc>
        <w:tc>
          <w:tcPr>
            <w:tcW w:w="1134" w:type="dxa"/>
            <w:tcBorders>
              <w:top w:val="nil"/>
              <w:left w:val="nil"/>
              <w:bottom w:val="nil"/>
              <w:right w:val="nil"/>
            </w:tcBorders>
            <w:shd w:val="clear" w:color="auto" w:fill="FFFFFF"/>
            <w:tcMar>
              <w:left w:w="67" w:type="dxa"/>
              <w:right w:w="67" w:type="dxa"/>
            </w:tcMar>
            <w:vAlign w:val="center"/>
          </w:tcPr>
          <w:p w14:paraId="139AD46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-0.1638</w:t>
            </w:r>
          </w:p>
        </w:tc>
        <w:tc>
          <w:tcPr>
            <w:tcW w:w="1134" w:type="dxa"/>
            <w:tcBorders>
              <w:top w:val="nil"/>
              <w:left w:val="nil"/>
              <w:bottom w:val="nil"/>
              <w:right w:val="nil"/>
            </w:tcBorders>
            <w:shd w:val="clear" w:color="auto" w:fill="FFFFFF"/>
            <w:tcMar>
              <w:left w:w="67" w:type="dxa"/>
              <w:right w:w="67" w:type="dxa"/>
            </w:tcMar>
            <w:vAlign w:val="center"/>
          </w:tcPr>
          <w:p w14:paraId="35D3A0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0.0479</w:t>
            </w:r>
          </w:p>
        </w:tc>
        <w:tc>
          <w:tcPr>
            <w:tcW w:w="1134" w:type="dxa"/>
            <w:tcBorders>
              <w:top w:val="nil"/>
              <w:left w:val="nil"/>
              <w:bottom w:val="nil"/>
              <w:right w:val="nil"/>
            </w:tcBorders>
            <w:shd w:val="clear" w:color="auto" w:fill="FFFFFF"/>
            <w:tcMar>
              <w:left w:w="67" w:type="dxa"/>
              <w:right w:w="67" w:type="dxa"/>
            </w:tcMar>
            <w:vAlign w:val="center"/>
          </w:tcPr>
          <w:p w14:paraId="12CF9E5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1F98DA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BCF02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6755ED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15E9EB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5FAE03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47877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-0.019538</w:t>
            </w:r>
          </w:p>
        </w:tc>
        <w:tc>
          <w:tcPr>
            <w:tcW w:w="1134" w:type="dxa"/>
            <w:tcBorders>
              <w:top w:val="nil"/>
              <w:left w:val="nil"/>
              <w:bottom w:val="nil"/>
              <w:right w:val="nil"/>
            </w:tcBorders>
            <w:shd w:val="clear" w:color="auto" w:fill="FFFFFF"/>
            <w:tcMar>
              <w:left w:w="67" w:type="dxa"/>
              <w:right w:w="67" w:type="dxa"/>
            </w:tcMar>
            <w:vAlign w:val="center"/>
          </w:tcPr>
          <w:p w14:paraId="7C96A5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0.0430</w:t>
            </w:r>
          </w:p>
        </w:tc>
        <w:tc>
          <w:tcPr>
            <w:tcW w:w="1134" w:type="dxa"/>
            <w:tcBorders>
              <w:top w:val="nil"/>
              <w:left w:val="nil"/>
              <w:bottom w:val="nil"/>
              <w:right w:val="nil"/>
            </w:tcBorders>
            <w:shd w:val="clear" w:color="auto" w:fill="FFFFFF"/>
            <w:tcMar>
              <w:left w:w="67" w:type="dxa"/>
              <w:right w:w="67" w:type="dxa"/>
            </w:tcMar>
            <w:vAlign w:val="center"/>
          </w:tcPr>
          <w:p w14:paraId="3A4840D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-0.1183</w:t>
            </w:r>
          </w:p>
        </w:tc>
        <w:tc>
          <w:tcPr>
            <w:tcW w:w="1134" w:type="dxa"/>
            <w:tcBorders>
              <w:top w:val="nil"/>
              <w:left w:val="nil"/>
              <w:bottom w:val="nil"/>
              <w:right w:val="nil"/>
            </w:tcBorders>
            <w:shd w:val="clear" w:color="auto" w:fill="FFFFFF"/>
            <w:tcMar>
              <w:left w:w="67" w:type="dxa"/>
              <w:right w:w="67" w:type="dxa"/>
            </w:tcMar>
            <w:vAlign w:val="center"/>
          </w:tcPr>
          <w:p w14:paraId="00ED528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0.0792</w:t>
            </w:r>
          </w:p>
        </w:tc>
        <w:tc>
          <w:tcPr>
            <w:tcW w:w="1134" w:type="dxa"/>
            <w:tcBorders>
              <w:top w:val="nil"/>
              <w:left w:val="nil"/>
              <w:bottom w:val="nil"/>
              <w:right w:val="nil"/>
            </w:tcBorders>
            <w:shd w:val="clear" w:color="auto" w:fill="FFFFFF"/>
            <w:tcMar>
              <w:left w:w="67" w:type="dxa"/>
              <w:right w:w="67" w:type="dxa"/>
            </w:tcMar>
            <w:vAlign w:val="center"/>
          </w:tcPr>
          <w:p w14:paraId="2B82C7C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336D78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F6A71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1AF6C2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FC3782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E45BA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B9D3B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-0.033815</w:t>
            </w:r>
          </w:p>
        </w:tc>
        <w:tc>
          <w:tcPr>
            <w:tcW w:w="1134" w:type="dxa"/>
            <w:tcBorders>
              <w:top w:val="nil"/>
              <w:left w:val="nil"/>
              <w:bottom w:val="nil"/>
              <w:right w:val="nil"/>
            </w:tcBorders>
            <w:shd w:val="clear" w:color="auto" w:fill="FFFFFF"/>
            <w:tcMar>
              <w:left w:w="67" w:type="dxa"/>
              <w:right w:w="67" w:type="dxa"/>
            </w:tcMar>
            <w:vAlign w:val="center"/>
          </w:tcPr>
          <w:p w14:paraId="7A0B5C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0.0472</w:t>
            </w:r>
          </w:p>
        </w:tc>
        <w:tc>
          <w:tcPr>
            <w:tcW w:w="1134" w:type="dxa"/>
            <w:tcBorders>
              <w:top w:val="nil"/>
              <w:left w:val="nil"/>
              <w:bottom w:val="nil"/>
              <w:right w:val="nil"/>
            </w:tcBorders>
            <w:shd w:val="clear" w:color="auto" w:fill="FFFFFF"/>
            <w:tcMar>
              <w:left w:w="67" w:type="dxa"/>
              <w:right w:w="67" w:type="dxa"/>
            </w:tcMar>
            <w:vAlign w:val="center"/>
          </w:tcPr>
          <w:p w14:paraId="20DEA8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-0.1422</w:t>
            </w:r>
          </w:p>
        </w:tc>
        <w:tc>
          <w:tcPr>
            <w:tcW w:w="1134" w:type="dxa"/>
            <w:tcBorders>
              <w:top w:val="nil"/>
              <w:left w:val="nil"/>
              <w:bottom w:val="nil"/>
              <w:right w:val="nil"/>
            </w:tcBorders>
            <w:shd w:val="clear" w:color="auto" w:fill="FFFFFF"/>
            <w:tcMar>
              <w:left w:w="67" w:type="dxa"/>
              <w:right w:w="67" w:type="dxa"/>
            </w:tcMar>
            <w:vAlign w:val="center"/>
          </w:tcPr>
          <w:p w14:paraId="18F867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0.0745</w:t>
            </w:r>
          </w:p>
        </w:tc>
        <w:tc>
          <w:tcPr>
            <w:tcW w:w="1134" w:type="dxa"/>
            <w:tcBorders>
              <w:top w:val="nil"/>
              <w:left w:val="nil"/>
              <w:bottom w:val="nil"/>
              <w:right w:val="nil"/>
            </w:tcBorders>
            <w:shd w:val="clear" w:color="auto" w:fill="FFFFFF"/>
            <w:tcMar>
              <w:left w:w="67" w:type="dxa"/>
              <w:right w:w="67" w:type="dxa"/>
            </w:tcMar>
            <w:vAlign w:val="center"/>
          </w:tcPr>
          <w:p w14:paraId="0CAC735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D1A10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B1A796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67A215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1D5264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92A534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C98A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-0.061480</w:t>
            </w:r>
          </w:p>
        </w:tc>
        <w:tc>
          <w:tcPr>
            <w:tcW w:w="1134" w:type="dxa"/>
            <w:tcBorders>
              <w:top w:val="nil"/>
              <w:left w:val="nil"/>
              <w:bottom w:val="nil"/>
              <w:right w:val="nil"/>
            </w:tcBorders>
            <w:shd w:val="clear" w:color="auto" w:fill="FFFFFF"/>
            <w:tcMar>
              <w:left w:w="67" w:type="dxa"/>
              <w:right w:w="67" w:type="dxa"/>
            </w:tcMar>
            <w:vAlign w:val="center"/>
          </w:tcPr>
          <w:p w14:paraId="09CCB9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0.0405</w:t>
            </w:r>
          </w:p>
        </w:tc>
        <w:tc>
          <w:tcPr>
            <w:tcW w:w="1134" w:type="dxa"/>
            <w:tcBorders>
              <w:top w:val="nil"/>
              <w:left w:val="nil"/>
              <w:bottom w:val="nil"/>
              <w:right w:val="nil"/>
            </w:tcBorders>
            <w:shd w:val="clear" w:color="auto" w:fill="FFFFFF"/>
            <w:tcMar>
              <w:left w:w="67" w:type="dxa"/>
              <w:right w:w="67" w:type="dxa"/>
            </w:tcMar>
            <w:vAlign w:val="center"/>
          </w:tcPr>
          <w:p w14:paraId="0E053A8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-0.1544</w:t>
            </w:r>
          </w:p>
        </w:tc>
        <w:tc>
          <w:tcPr>
            <w:tcW w:w="1134" w:type="dxa"/>
            <w:tcBorders>
              <w:top w:val="nil"/>
              <w:left w:val="nil"/>
              <w:bottom w:val="nil"/>
              <w:right w:val="nil"/>
            </w:tcBorders>
            <w:shd w:val="clear" w:color="auto" w:fill="FFFFFF"/>
            <w:tcMar>
              <w:left w:w="67" w:type="dxa"/>
              <w:right w:w="67" w:type="dxa"/>
            </w:tcMar>
            <w:vAlign w:val="center"/>
          </w:tcPr>
          <w:p w14:paraId="79A2EB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0.0314</w:t>
            </w:r>
          </w:p>
        </w:tc>
        <w:tc>
          <w:tcPr>
            <w:tcW w:w="1134" w:type="dxa"/>
            <w:tcBorders>
              <w:top w:val="nil"/>
              <w:left w:val="nil"/>
              <w:bottom w:val="nil"/>
              <w:right w:val="nil"/>
            </w:tcBorders>
            <w:shd w:val="clear" w:color="auto" w:fill="FFFFFF"/>
            <w:tcMar>
              <w:left w:w="67" w:type="dxa"/>
              <w:right w:w="67" w:type="dxa"/>
            </w:tcMar>
            <w:vAlign w:val="center"/>
          </w:tcPr>
          <w:p w14:paraId="7A30045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F22EB1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A1FD2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0D8EE57"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65E658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E69617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BCD6E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-0.025139</w:t>
            </w:r>
          </w:p>
        </w:tc>
        <w:tc>
          <w:tcPr>
            <w:tcW w:w="1134" w:type="dxa"/>
            <w:tcBorders>
              <w:top w:val="nil"/>
              <w:left w:val="nil"/>
              <w:bottom w:val="nil"/>
              <w:right w:val="nil"/>
            </w:tcBorders>
            <w:shd w:val="clear" w:color="auto" w:fill="FFFFFF"/>
            <w:tcMar>
              <w:left w:w="67" w:type="dxa"/>
              <w:right w:w="67" w:type="dxa"/>
            </w:tcMar>
            <w:vAlign w:val="center"/>
          </w:tcPr>
          <w:p w14:paraId="33047F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0.0419</w:t>
            </w:r>
          </w:p>
        </w:tc>
        <w:tc>
          <w:tcPr>
            <w:tcW w:w="1134" w:type="dxa"/>
            <w:tcBorders>
              <w:top w:val="nil"/>
              <w:left w:val="nil"/>
              <w:bottom w:val="nil"/>
              <w:right w:val="nil"/>
            </w:tcBorders>
            <w:shd w:val="clear" w:color="auto" w:fill="FFFFFF"/>
            <w:tcMar>
              <w:left w:w="67" w:type="dxa"/>
              <w:right w:w="67" w:type="dxa"/>
            </w:tcMar>
            <w:vAlign w:val="center"/>
          </w:tcPr>
          <w:p w14:paraId="4EA8D94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-0.1213</w:t>
            </w:r>
          </w:p>
        </w:tc>
        <w:tc>
          <w:tcPr>
            <w:tcW w:w="1134" w:type="dxa"/>
            <w:tcBorders>
              <w:top w:val="nil"/>
              <w:left w:val="nil"/>
              <w:bottom w:val="nil"/>
              <w:right w:val="nil"/>
            </w:tcBorders>
            <w:shd w:val="clear" w:color="auto" w:fill="FFFFFF"/>
            <w:tcMar>
              <w:left w:w="67" w:type="dxa"/>
              <w:right w:w="67" w:type="dxa"/>
            </w:tcMar>
            <w:vAlign w:val="center"/>
          </w:tcPr>
          <w:p w14:paraId="3EA577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0.0710</w:t>
            </w:r>
          </w:p>
        </w:tc>
        <w:tc>
          <w:tcPr>
            <w:tcW w:w="1134" w:type="dxa"/>
            <w:tcBorders>
              <w:top w:val="nil"/>
              <w:left w:val="nil"/>
              <w:bottom w:val="nil"/>
              <w:right w:val="nil"/>
            </w:tcBorders>
            <w:shd w:val="clear" w:color="auto" w:fill="FFFFFF"/>
            <w:tcMar>
              <w:left w:w="67" w:type="dxa"/>
              <w:right w:w="67" w:type="dxa"/>
            </w:tcMar>
            <w:vAlign w:val="center"/>
          </w:tcPr>
          <w:p w14:paraId="6CEFE89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ABB2C5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A1021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18F5B1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D3C40D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B91668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41650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0.010542</w:t>
            </w:r>
          </w:p>
        </w:tc>
        <w:tc>
          <w:tcPr>
            <w:tcW w:w="1134" w:type="dxa"/>
            <w:tcBorders>
              <w:top w:val="nil"/>
              <w:left w:val="nil"/>
              <w:bottom w:val="nil"/>
              <w:right w:val="nil"/>
            </w:tcBorders>
            <w:shd w:val="clear" w:color="auto" w:fill="FFFFFF"/>
            <w:tcMar>
              <w:left w:w="67" w:type="dxa"/>
              <w:right w:w="67" w:type="dxa"/>
            </w:tcMar>
            <w:vAlign w:val="center"/>
          </w:tcPr>
          <w:p w14:paraId="672484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0.0427</w:t>
            </w:r>
          </w:p>
        </w:tc>
        <w:tc>
          <w:tcPr>
            <w:tcW w:w="1134" w:type="dxa"/>
            <w:tcBorders>
              <w:top w:val="nil"/>
              <w:left w:val="nil"/>
              <w:bottom w:val="nil"/>
              <w:right w:val="nil"/>
            </w:tcBorders>
            <w:shd w:val="clear" w:color="auto" w:fill="FFFFFF"/>
            <w:tcMar>
              <w:left w:w="67" w:type="dxa"/>
              <w:right w:w="67" w:type="dxa"/>
            </w:tcMar>
            <w:vAlign w:val="center"/>
          </w:tcPr>
          <w:p w14:paraId="7EFABF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-0.0875</w:t>
            </w:r>
          </w:p>
        </w:tc>
        <w:tc>
          <w:tcPr>
            <w:tcW w:w="1134" w:type="dxa"/>
            <w:tcBorders>
              <w:top w:val="nil"/>
              <w:left w:val="nil"/>
              <w:bottom w:val="nil"/>
              <w:right w:val="nil"/>
            </w:tcBorders>
            <w:shd w:val="clear" w:color="auto" w:fill="FFFFFF"/>
            <w:tcMar>
              <w:left w:w="67" w:type="dxa"/>
              <w:right w:w="67" w:type="dxa"/>
            </w:tcMar>
            <w:vAlign w:val="center"/>
          </w:tcPr>
          <w:p w14:paraId="74A2D9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0.1086</w:t>
            </w:r>
          </w:p>
        </w:tc>
        <w:tc>
          <w:tcPr>
            <w:tcW w:w="1134" w:type="dxa"/>
            <w:tcBorders>
              <w:top w:val="nil"/>
              <w:left w:val="nil"/>
              <w:bottom w:val="nil"/>
              <w:right w:val="nil"/>
            </w:tcBorders>
            <w:shd w:val="clear" w:color="auto" w:fill="FFFFFF"/>
            <w:tcMar>
              <w:left w:w="67" w:type="dxa"/>
              <w:right w:w="67" w:type="dxa"/>
            </w:tcMar>
            <w:vAlign w:val="center"/>
          </w:tcPr>
          <w:p w14:paraId="267AC4F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E235E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739DAE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7AE43D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3A610F1"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4E4BF00"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68027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-0.001605</w:t>
            </w:r>
          </w:p>
        </w:tc>
        <w:tc>
          <w:tcPr>
            <w:tcW w:w="1134" w:type="dxa"/>
            <w:tcBorders>
              <w:top w:val="nil"/>
              <w:left w:val="nil"/>
              <w:bottom w:val="nil"/>
              <w:right w:val="nil"/>
            </w:tcBorders>
            <w:shd w:val="clear" w:color="auto" w:fill="FFFFFF"/>
            <w:tcMar>
              <w:left w:w="67" w:type="dxa"/>
              <w:right w:w="67" w:type="dxa"/>
            </w:tcMar>
            <w:vAlign w:val="center"/>
          </w:tcPr>
          <w:p w14:paraId="2D779A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0.0022</w:t>
            </w:r>
          </w:p>
        </w:tc>
        <w:tc>
          <w:tcPr>
            <w:tcW w:w="1134" w:type="dxa"/>
            <w:tcBorders>
              <w:top w:val="nil"/>
              <w:left w:val="nil"/>
              <w:bottom w:val="nil"/>
              <w:right w:val="nil"/>
            </w:tcBorders>
            <w:shd w:val="clear" w:color="auto" w:fill="FFFFFF"/>
            <w:tcMar>
              <w:left w:w="67" w:type="dxa"/>
              <w:right w:w="67" w:type="dxa"/>
            </w:tcMar>
            <w:vAlign w:val="center"/>
          </w:tcPr>
          <w:p w14:paraId="607429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-0.0068</w:t>
            </w:r>
          </w:p>
        </w:tc>
        <w:tc>
          <w:tcPr>
            <w:tcW w:w="1134" w:type="dxa"/>
            <w:tcBorders>
              <w:top w:val="nil"/>
              <w:left w:val="nil"/>
              <w:bottom w:val="nil"/>
              <w:right w:val="nil"/>
            </w:tcBorders>
            <w:shd w:val="clear" w:color="auto" w:fill="FFFFFF"/>
            <w:tcMar>
              <w:left w:w="67" w:type="dxa"/>
              <w:right w:w="67" w:type="dxa"/>
            </w:tcMar>
            <w:vAlign w:val="center"/>
          </w:tcPr>
          <w:p w14:paraId="6378F9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0.0035</w:t>
            </w:r>
          </w:p>
        </w:tc>
        <w:tc>
          <w:tcPr>
            <w:tcW w:w="1134" w:type="dxa"/>
            <w:tcBorders>
              <w:top w:val="nil"/>
              <w:left w:val="nil"/>
              <w:bottom w:val="nil"/>
              <w:right w:val="nil"/>
            </w:tcBorders>
            <w:shd w:val="clear" w:color="auto" w:fill="FFFFFF"/>
            <w:tcMar>
              <w:left w:w="67" w:type="dxa"/>
              <w:right w:w="67" w:type="dxa"/>
            </w:tcMar>
            <w:vAlign w:val="center"/>
          </w:tcPr>
          <w:p w14:paraId="331720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0.51</w:t>
            </w:r>
          </w:p>
        </w:tc>
        <w:tc>
          <w:tcPr>
            <w:tcW w:w="567" w:type="dxa"/>
            <w:tcBorders>
              <w:top w:val="nil"/>
              <w:left w:val="nil"/>
              <w:bottom w:val="nil"/>
              <w:right w:val="nil"/>
            </w:tcBorders>
            <w:shd w:val="clear" w:color="auto" w:fill="FFFFFF"/>
            <w:tcMar>
              <w:left w:w="67" w:type="dxa"/>
              <w:right w:w="67" w:type="dxa"/>
            </w:tcMar>
            <w:vAlign w:val="center"/>
          </w:tcPr>
          <w:p w14:paraId="1957FFE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00194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0.4769</w:t>
            </w:r>
          </w:p>
        </w:tc>
      </w:tr>
      <w:tr w:rsidR="00B77EA3" w:rsidRPr="0082484A" w14:paraId="2124F545" w14:textId="77777777" w:rsidTr="0082484A">
        <w:trPr>
          <w:cantSplit/>
          <w:jc w:val="center"/>
        </w:trPr>
        <w:tc>
          <w:tcPr>
            <w:tcW w:w="2835" w:type="dxa"/>
            <w:tcBorders>
              <w:top w:val="nil"/>
              <w:left w:val="single" w:sz="11" w:space="0" w:color="000000"/>
              <w:right w:val="nil"/>
            </w:tcBorders>
            <w:shd w:val="clear" w:color="auto" w:fill="FFFFFF"/>
            <w:tcMar>
              <w:left w:w="67" w:type="dxa"/>
              <w:right w:w="67" w:type="dxa"/>
            </w:tcMar>
            <w:vAlign w:val="center"/>
          </w:tcPr>
          <w:p w14:paraId="336E5B6A"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right w:val="nil"/>
            </w:tcBorders>
            <w:shd w:val="clear" w:color="auto" w:fill="FFFFFF"/>
            <w:tcMar>
              <w:left w:w="67" w:type="dxa"/>
              <w:right w:w="67" w:type="dxa"/>
            </w:tcMar>
            <w:vAlign w:val="center"/>
          </w:tcPr>
          <w:p w14:paraId="2BB5BB1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right w:val="nil"/>
            </w:tcBorders>
            <w:shd w:val="clear" w:color="auto" w:fill="FFFFFF"/>
            <w:tcMar>
              <w:left w:w="67" w:type="dxa"/>
              <w:right w:w="67" w:type="dxa"/>
            </w:tcMar>
            <w:vAlign w:val="center"/>
          </w:tcPr>
          <w:p w14:paraId="75D723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0.000916</w:t>
            </w:r>
          </w:p>
        </w:tc>
        <w:tc>
          <w:tcPr>
            <w:tcW w:w="1134" w:type="dxa"/>
            <w:tcBorders>
              <w:top w:val="nil"/>
              <w:left w:val="nil"/>
              <w:right w:val="nil"/>
            </w:tcBorders>
            <w:shd w:val="clear" w:color="auto" w:fill="FFFFFF"/>
            <w:tcMar>
              <w:left w:w="67" w:type="dxa"/>
              <w:right w:w="67" w:type="dxa"/>
            </w:tcMar>
            <w:vAlign w:val="center"/>
          </w:tcPr>
          <w:p w14:paraId="596928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right w:val="nil"/>
            </w:tcBorders>
            <w:shd w:val="clear" w:color="auto" w:fill="FFFFFF"/>
            <w:tcMar>
              <w:left w:w="67" w:type="dxa"/>
              <w:right w:w="67" w:type="dxa"/>
            </w:tcMar>
            <w:vAlign w:val="center"/>
          </w:tcPr>
          <w:p w14:paraId="3242C0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w:t>
            </w:r>
          </w:p>
        </w:tc>
        <w:tc>
          <w:tcPr>
            <w:tcW w:w="1134" w:type="dxa"/>
            <w:tcBorders>
              <w:top w:val="nil"/>
              <w:left w:val="nil"/>
              <w:right w:val="nil"/>
            </w:tcBorders>
            <w:shd w:val="clear" w:color="auto" w:fill="FFFFFF"/>
            <w:tcMar>
              <w:left w:w="67" w:type="dxa"/>
              <w:right w:w="67" w:type="dxa"/>
            </w:tcMar>
            <w:vAlign w:val="center"/>
          </w:tcPr>
          <w:p w14:paraId="45D992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0.0042</w:t>
            </w:r>
          </w:p>
        </w:tc>
        <w:tc>
          <w:tcPr>
            <w:tcW w:w="1134" w:type="dxa"/>
            <w:tcBorders>
              <w:top w:val="nil"/>
              <w:left w:val="nil"/>
              <w:right w:val="nil"/>
            </w:tcBorders>
            <w:shd w:val="clear" w:color="auto" w:fill="FFFFFF"/>
            <w:tcMar>
              <w:left w:w="67" w:type="dxa"/>
              <w:right w:w="67" w:type="dxa"/>
            </w:tcMar>
            <w:vAlign w:val="center"/>
          </w:tcPr>
          <w:p w14:paraId="46CDDB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0.40</w:t>
            </w:r>
          </w:p>
        </w:tc>
        <w:tc>
          <w:tcPr>
            <w:tcW w:w="567" w:type="dxa"/>
            <w:tcBorders>
              <w:top w:val="nil"/>
              <w:left w:val="nil"/>
              <w:right w:val="nil"/>
            </w:tcBorders>
            <w:shd w:val="clear" w:color="auto" w:fill="FFFFFF"/>
            <w:tcMar>
              <w:left w:w="67" w:type="dxa"/>
              <w:right w:w="67" w:type="dxa"/>
            </w:tcMar>
            <w:vAlign w:val="center"/>
          </w:tcPr>
          <w:p w14:paraId="627252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right w:val="single" w:sz="11" w:space="0" w:color="000000"/>
            </w:tcBorders>
            <w:shd w:val="clear" w:color="auto" w:fill="FFFFFF"/>
            <w:tcMar>
              <w:left w:w="67" w:type="dxa"/>
              <w:right w:w="67" w:type="dxa"/>
            </w:tcMar>
            <w:vAlign w:val="center"/>
          </w:tcPr>
          <w:p w14:paraId="56D0BE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0.5290</w:t>
            </w:r>
          </w:p>
        </w:tc>
      </w:tr>
      <w:tr w:rsidR="00B77EA3" w:rsidRPr="0082484A" w14:paraId="34E41B5A" w14:textId="77777777" w:rsidTr="0082484A">
        <w:trPr>
          <w:cantSplit/>
          <w:jc w:val="center"/>
        </w:trPr>
        <w:tc>
          <w:tcPr>
            <w:tcW w:w="2835" w:type="dxa"/>
            <w:tcBorders>
              <w:top w:val="nil"/>
              <w:left w:val="single" w:sz="8" w:space="0" w:color="000000"/>
              <w:bottom w:val="single" w:sz="8" w:space="0" w:color="000000"/>
              <w:right w:val="nil"/>
            </w:tcBorders>
            <w:shd w:val="clear" w:color="auto" w:fill="FFFFFF"/>
            <w:tcMar>
              <w:left w:w="67" w:type="dxa"/>
              <w:right w:w="67" w:type="dxa"/>
            </w:tcMar>
            <w:vAlign w:val="center"/>
          </w:tcPr>
          <w:p w14:paraId="21E223F9"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8" w:space="0" w:color="000000"/>
              <w:right w:val="nil"/>
            </w:tcBorders>
            <w:shd w:val="clear" w:color="auto" w:fill="FFFFFF"/>
            <w:tcMar>
              <w:left w:w="67" w:type="dxa"/>
              <w:right w:w="67" w:type="dxa"/>
            </w:tcMar>
            <w:vAlign w:val="center"/>
          </w:tcPr>
          <w:p w14:paraId="7B8ABB0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8" w:space="0" w:color="000000"/>
              <w:right w:val="nil"/>
            </w:tcBorders>
            <w:shd w:val="clear" w:color="auto" w:fill="FFFFFF"/>
            <w:tcMar>
              <w:left w:w="67" w:type="dxa"/>
              <w:right w:w="67" w:type="dxa"/>
            </w:tcMar>
            <w:vAlign w:val="center"/>
          </w:tcPr>
          <w:p w14:paraId="143514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0.001086</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535B2F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6C39CA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001456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single" w:sz="8" w:space="0" w:color="000000"/>
              <w:right w:val="nil"/>
            </w:tcBorders>
            <w:shd w:val="clear" w:color="auto" w:fill="FFFFFF"/>
            <w:tcMar>
              <w:left w:w="67" w:type="dxa"/>
              <w:right w:w="67" w:type="dxa"/>
            </w:tcMar>
            <w:vAlign w:val="center"/>
          </w:tcPr>
          <w:p w14:paraId="27371B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11.92</w:t>
            </w:r>
          </w:p>
        </w:tc>
        <w:tc>
          <w:tcPr>
            <w:tcW w:w="567" w:type="dxa"/>
            <w:tcBorders>
              <w:top w:val="nil"/>
              <w:left w:val="nil"/>
              <w:bottom w:val="single" w:sz="8" w:space="0" w:color="000000"/>
              <w:right w:val="nil"/>
            </w:tcBorders>
            <w:shd w:val="clear" w:color="auto" w:fill="FFFFFF"/>
            <w:tcMar>
              <w:left w:w="67" w:type="dxa"/>
              <w:right w:w="67" w:type="dxa"/>
            </w:tcMar>
            <w:vAlign w:val="center"/>
          </w:tcPr>
          <w:p w14:paraId="0824F0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8" w:space="0" w:color="000000"/>
              <w:right w:val="single" w:sz="8" w:space="0" w:color="000000"/>
            </w:tcBorders>
            <w:shd w:val="clear" w:color="auto" w:fill="FFFFFF"/>
            <w:tcMar>
              <w:left w:w="67" w:type="dxa"/>
              <w:right w:w="67" w:type="dxa"/>
            </w:tcMar>
            <w:vAlign w:val="center"/>
          </w:tcPr>
          <w:p w14:paraId="0C3DAB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r>
    </w:tbl>
    <w:p w14:paraId="2DFA1C3F"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6F1A5A7A" w14:textId="060CBDB3" w:rsidR="00B77EA3" w:rsidRPr="0082484A" w:rsidRDefault="00B77EA3" w:rsidP="00B77EA3">
      <w:pPr>
        <w:spacing w:before="0" w:line="240" w:lineRule="auto"/>
        <w:rPr>
          <w:bCs/>
          <w:sz w:val="22"/>
          <w:szCs w:val="22"/>
        </w:rPr>
      </w:pPr>
      <w:bookmarkStart w:id="247" w:name="_Ref502918093"/>
      <w:bookmarkStart w:id="248" w:name="_Toc8728141"/>
      <w:bookmarkStart w:id="249" w:name="_Toc19526796"/>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67</w:t>
      </w:r>
      <w:r w:rsidRPr="0082484A">
        <w:rPr>
          <w:bCs/>
          <w:noProof/>
          <w:sz w:val="22"/>
          <w:szCs w:val="22"/>
        </w:rPr>
        <w:fldChar w:fldCharType="end"/>
      </w:r>
      <w:bookmarkEnd w:id="247"/>
      <w:r w:rsidRPr="0082484A">
        <w:rPr>
          <w:bCs/>
          <w:sz w:val="22"/>
          <w:szCs w:val="22"/>
        </w:rPr>
        <w:t>: Secondary outcome for Trial 1. Achievement of QOF indicator, ‘The percentage of patients with diabetes, on the register, in whom the last measured IFCC-HbA1c (measured within the preceding 12 months) is 75 mmol/mol or less’ (DM009) (WP4a)</w:t>
      </w:r>
      <w:bookmarkEnd w:id="248"/>
      <w:bookmarkEnd w:id="249"/>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62ABADCF"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610DDFFF" w14:textId="77777777" w:rsidR="00B77EA3" w:rsidRPr="0082484A" w:rsidRDefault="00B77EA3" w:rsidP="00B77EA3">
            <w:pPr>
              <w:spacing w:beforeLines="10" w:before="24" w:afterLines="10" w:after="24" w:line="240" w:lineRule="auto"/>
              <w:rPr>
                <w:bCs/>
                <w:sz w:val="22"/>
                <w:szCs w:val="22"/>
              </w:rPr>
            </w:pPr>
            <w:bookmarkStart w:id="250" w:name="IDX95"/>
            <w:bookmarkEnd w:id="250"/>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572635"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661A0A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A5D525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2C3FA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1939D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70FEBA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CF95A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EACB51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5BE2175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F37CD77"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AD2445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7F93BB7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0.003232</w:t>
            </w:r>
          </w:p>
        </w:tc>
        <w:tc>
          <w:tcPr>
            <w:tcW w:w="1134" w:type="dxa"/>
            <w:tcBorders>
              <w:top w:val="nil"/>
              <w:left w:val="nil"/>
              <w:bottom w:val="nil"/>
              <w:right w:val="nil"/>
            </w:tcBorders>
            <w:shd w:val="clear" w:color="auto" w:fill="FFFFFF"/>
            <w:tcMar>
              <w:left w:w="67" w:type="dxa"/>
              <w:right w:w="67" w:type="dxa"/>
            </w:tcMar>
            <w:vAlign w:val="center"/>
          </w:tcPr>
          <w:p w14:paraId="618B3DC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0.0156</w:t>
            </w:r>
          </w:p>
        </w:tc>
        <w:tc>
          <w:tcPr>
            <w:tcW w:w="1134" w:type="dxa"/>
            <w:tcBorders>
              <w:top w:val="nil"/>
              <w:left w:val="nil"/>
              <w:bottom w:val="nil"/>
              <w:right w:val="nil"/>
            </w:tcBorders>
            <w:shd w:val="clear" w:color="auto" w:fill="FFFFFF"/>
            <w:tcMar>
              <w:left w:w="67" w:type="dxa"/>
              <w:right w:w="67" w:type="dxa"/>
            </w:tcMar>
            <w:vAlign w:val="center"/>
          </w:tcPr>
          <w:p w14:paraId="35CE30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-0.0326</w:t>
            </w:r>
          </w:p>
        </w:tc>
        <w:tc>
          <w:tcPr>
            <w:tcW w:w="1134" w:type="dxa"/>
            <w:tcBorders>
              <w:top w:val="nil"/>
              <w:left w:val="nil"/>
              <w:bottom w:val="nil"/>
              <w:right w:val="nil"/>
            </w:tcBorders>
            <w:shd w:val="clear" w:color="auto" w:fill="FFFFFF"/>
            <w:tcMar>
              <w:left w:w="67" w:type="dxa"/>
              <w:right w:w="67" w:type="dxa"/>
            </w:tcMar>
            <w:vAlign w:val="center"/>
          </w:tcPr>
          <w:p w14:paraId="42292D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0.0391</w:t>
            </w:r>
          </w:p>
        </w:tc>
        <w:tc>
          <w:tcPr>
            <w:tcW w:w="1134" w:type="dxa"/>
            <w:tcBorders>
              <w:top w:val="nil"/>
              <w:left w:val="nil"/>
              <w:bottom w:val="nil"/>
              <w:right w:val="nil"/>
            </w:tcBorders>
            <w:shd w:val="clear" w:color="auto" w:fill="FFFFFF"/>
            <w:tcMar>
              <w:left w:w="67" w:type="dxa"/>
              <w:right w:w="67" w:type="dxa"/>
            </w:tcMar>
            <w:vAlign w:val="center"/>
          </w:tcPr>
          <w:p w14:paraId="40B9A12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2C692CA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E25B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0.8367</w:t>
            </w:r>
          </w:p>
        </w:tc>
      </w:tr>
      <w:tr w:rsidR="00B77EA3" w:rsidRPr="0082484A" w14:paraId="2B3C372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BA63502"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24C3D6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1DBA0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-0.000052</w:t>
            </w:r>
          </w:p>
        </w:tc>
        <w:tc>
          <w:tcPr>
            <w:tcW w:w="1134" w:type="dxa"/>
            <w:tcBorders>
              <w:top w:val="nil"/>
              <w:left w:val="nil"/>
              <w:bottom w:val="nil"/>
              <w:right w:val="nil"/>
            </w:tcBorders>
            <w:shd w:val="clear" w:color="auto" w:fill="FFFFFF"/>
            <w:tcMar>
              <w:left w:w="67" w:type="dxa"/>
              <w:right w:w="67" w:type="dxa"/>
            </w:tcMar>
            <w:vAlign w:val="center"/>
          </w:tcPr>
          <w:p w14:paraId="219C0A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7A433E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00B906A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55402A6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w:t>
            </w:r>
          </w:p>
        </w:tc>
        <w:tc>
          <w:tcPr>
            <w:tcW w:w="567" w:type="dxa"/>
            <w:tcBorders>
              <w:top w:val="nil"/>
              <w:left w:val="nil"/>
              <w:bottom w:val="nil"/>
              <w:right w:val="nil"/>
            </w:tcBorders>
            <w:shd w:val="clear" w:color="auto" w:fill="FFFFFF"/>
            <w:tcMar>
              <w:left w:w="67" w:type="dxa"/>
              <w:right w:w="67" w:type="dxa"/>
            </w:tcMar>
            <w:vAlign w:val="center"/>
          </w:tcPr>
          <w:p w14:paraId="19A86C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D59DB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0.8343</w:t>
            </w:r>
          </w:p>
        </w:tc>
      </w:tr>
      <w:tr w:rsidR="00B77EA3" w:rsidRPr="0082484A" w14:paraId="724F7B59"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1BDEF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451B0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E2B5E1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-0.033800</w:t>
            </w:r>
          </w:p>
        </w:tc>
        <w:tc>
          <w:tcPr>
            <w:tcW w:w="1134" w:type="dxa"/>
            <w:tcBorders>
              <w:top w:val="nil"/>
              <w:left w:val="nil"/>
              <w:bottom w:val="nil"/>
              <w:right w:val="nil"/>
            </w:tcBorders>
            <w:shd w:val="clear" w:color="auto" w:fill="FFFFFF"/>
            <w:tcMar>
              <w:left w:w="67" w:type="dxa"/>
              <w:right w:w="67" w:type="dxa"/>
            </w:tcMar>
            <w:vAlign w:val="center"/>
          </w:tcPr>
          <w:p w14:paraId="40C69F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0.0463</w:t>
            </w:r>
          </w:p>
        </w:tc>
        <w:tc>
          <w:tcPr>
            <w:tcW w:w="1134" w:type="dxa"/>
            <w:tcBorders>
              <w:top w:val="nil"/>
              <w:left w:val="nil"/>
              <w:bottom w:val="nil"/>
              <w:right w:val="nil"/>
            </w:tcBorders>
            <w:shd w:val="clear" w:color="auto" w:fill="FFFFFF"/>
            <w:tcMar>
              <w:left w:w="67" w:type="dxa"/>
              <w:right w:w="67" w:type="dxa"/>
            </w:tcMar>
            <w:vAlign w:val="center"/>
          </w:tcPr>
          <w:p w14:paraId="1ECFD2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-0.1401</w:t>
            </w:r>
          </w:p>
        </w:tc>
        <w:tc>
          <w:tcPr>
            <w:tcW w:w="1134" w:type="dxa"/>
            <w:tcBorders>
              <w:top w:val="nil"/>
              <w:left w:val="nil"/>
              <w:bottom w:val="nil"/>
              <w:right w:val="nil"/>
            </w:tcBorders>
            <w:shd w:val="clear" w:color="auto" w:fill="FFFFFF"/>
            <w:tcMar>
              <w:left w:w="67" w:type="dxa"/>
              <w:right w:w="67" w:type="dxa"/>
            </w:tcMar>
            <w:vAlign w:val="center"/>
          </w:tcPr>
          <w:p w14:paraId="25CEDF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0.0725</w:t>
            </w:r>
          </w:p>
        </w:tc>
        <w:tc>
          <w:tcPr>
            <w:tcW w:w="1134" w:type="dxa"/>
            <w:tcBorders>
              <w:top w:val="nil"/>
              <w:left w:val="nil"/>
              <w:bottom w:val="nil"/>
              <w:right w:val="nil"/>
            </w:tcBorders>
            <w:shd w:val="clear" w:color="auto" w:fill="FFFFFF"/>
            <w:tcMar>
              <w:left w:w="67" w:type="dxa"/>
              <w:right w:w="67" w:type="dxa"/>
            </w:tcMar>
            <w:vAlign w:val="center"/>
          </w:tcPr>
          <w:p w14:paraId="0C5364B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0.85</w:t>
            </w:r>
          </w:p>
        </w:tc>
        <w:tc>
          <w:tcPr>
            <w:tcW w:w="567" w:type="dxa"/>
            <w:tcBorders>
              <w:top w:val="nil"/>
              <w:left w:val="nil"/>
              <w:bottom w:val="nil"/>
              <w:right w:val="nil"/>
            </w:tcBorders>
            <w:shd w:val="clear" w:color="auto" w:fill="FFFFFF"/>
            <w:tcMar>
              <w:left w:w="67" w:type="dxa"/>
              <w:right w:w="67" w:type="dxa"/>
            </w:tcMar>
            <w:vAlign w:val="center"/>
          </w:tcPr>
          <w:p w14:paraId="764A6A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D2BA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0.5775</w:t>
            </w:r>
          </w:p>
        </w:tc>
      </w:tr>
      <w:tr w:rsidR="00B77EA3" w:rsidRPr="0082484A" w14:paraId="70DB1B9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E3BE7A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B323E0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18300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-0.032885</w:t>
            </w:r>
          </w:p>
        </w:tc>
        <w:tc>
          <w:tcPr>
            <w:tcW w:w="1134" w:type="dxa"/>
            <w:tcBorders>
              <w:top w:val="nil"/>
              <w:left w:val="nil"/>
              <w:bottom w:val="nil"/>
              <w:right w:val="nil"/>
            </w:tcBorders>
            <w:shd w:val="clear" w:color="auto" w:fill="FFFFFF"/>
            <w:tcMar>
              <w:left w:w="67" w:type="dxa"/>
              <w:right w:w="67" w:type="dxa"/>
            </w:tcMar>
            <w:vAlign w:val="center"/>
          </w:tcPr>
          <w:p w14:paraId="39A93E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0.0372</w:t>
            </w:r>
          </w:p>
        </w:tc>
        <w:tc>
          <w:tcPr>
            <w:tcW w:w="1134" w:type="dxa"/>
            <w:tcBorders>
              <w:top w:val="nil"/>
              <w:left w:val="nil"/>
              <w:bottom w:val="nil"/>
              <w:right w:val="nil"/>
            </w:tcBorders>
            <w:shd w:val="clear" w:color="auto" w:fill="FFFFFF"/>
            <w:tcMar>
              <w:left w:w="67" w:type="dxa"/>
              <w:right w:w="67" w:type="dxa"/>
            </w:tcMar>
            <w:vAlign w:val="center"/>
          </w:tcPr>
          <w:p w14:paraId="2CC5B0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-0.1183</w:t>
            </w:r>
          </w:p>
        </w:tc>
        <w:tc>
          <w:tcPr>
            <w:tcW w:w="1134" w:type="dxa"/>
            <w:tcBorders>
              <w:top w:val="nil"/>
              <w:left w:val="nil"/>
              <w:bottom w:val="nil"/>
              <w:right w:val="nil"/>
            </w:tcBorders>
            <w:shd w:val="clear" w:color="auto" w:fill="FFFFFF"/>
            <w:tcMar>
              <w:left w:w="67" w:type="dxa"/>
              <w:right w:w="67" w:type="dxa"/>
            </w:tcMar>
            <w:vAlign w:val="center"/>
          </w:tcPr>
          <w:p w14:paraId="3705B95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0.0526</w:t>
            </w:r>
          </w:p>
        </w:tc>
        <w:tc>
          <w:tcPr>
            <w:tcW w:w="1134" w:type="dxa"/>
            <w:tcBorders>
              <w:top w:val="nil"/>
              <w:left w:val="nil"/>
              <w:bottom w:val="nil"/>
              <w:right w:val="nil"/>
            </w:tcBorders>
            <w:shd w:val="clear" w:color="auto" w:fill="FFFFFF"/>
            <w:tcMar>
              <w:left w:w="67" w:type="dxa"/>
              <w:right w:w="67" w:type="dxa"/>
            </w:tcMar>
            <w:vAlign w:val="center"/>
          </w:tcPr>
          <w:p w14:paraId="71A53C5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09A73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C616E8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712087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0BF7B1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CE2744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693AD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-0.022686</w:t>
            </w:r>
          </w:p>
        </w:tc>
        <w:tc>
          <w:tcPr>
            <w:tcW w:w="1134" w:type="dxa"/>
            <w:tcBorders>
              <w:top w:val="nil"/>
              <w:left w:val="nil"/>
              <w:bottom w:val="nil"/>
              <w:right w:val="nil"/>
            </w:tcBorders>
            <w:shd w:val="clear" w:color="auto" w:fill="FFFFFF"/>
            <w:tcMar>
              <w:left w:w="67" w:type="dxa"/>
              <w:right w:w="67" w:type="dxa"/>
            </w:tcMar>
            <w:vAlign w:val="center"/>
          </w:tcPr>
          <w:p w14:paraId="2A8120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0.0290</w:t>
            </w:r>
          </w:p>
        </w:tc>
        <w:tc>
          <w:tcPr>
            <w:tcW w:w="1134" w:type="dxa"/>
            <w:tcBorders>
              <w:top w:val="nil"/>
              <w:left w:val="nil"/>
              <w:bottom w:val="nil"/>
              <w:right w:val="nil"/>
            </w:tcBorders>
            <w:shd w:val="clear" w:color="auto" w:fill="FFFFFF"/>
            <w:tcMar>
              <w:left w:w="67" w:type="dxa"/>
              <w:right w:w="67" w:type="dxa"/>
            </w:tcMar>
            <w:vAlign w:val="center"/>
          </w:tcPr>
          <w:p w14:paraId="36CC3A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-0.0892</w:t>
            </w:r>
          </w:p>
        </w:tc>
        <w:tc>
          <w:tcPr>
            <w:tcW w:w="1134" w:type="dxa"/>
            <w:tcBorders>
              <w:top w:val="nil"/>
              <w:left w:val="nil"/>
              <w:bottom w:val="nil"/>
              <w:right w:val="nil"/>
            </w:tcBorders>
            <w:shd w:val="clear" w:color="auto" w:fill="FFFFFF"/>
            <w:tcMar>
              <w:left w:w="67" w:type="dxa"/>
              <w:right w:w="67" w:type="dxa"/>
            </w:tcMar>
            <w:vAlign w:val="center"/>
          </w:tcPr>
          <w:p w14:paraId="53FFD89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0.0438</w:t>
            </w:r>
          </w:p>
        </w:tc>
        <w:tc>
          <w:tcPr>
            <w:tcW w:w="1134" w:type="dxa"/>
            <w:tcBorders>
              <w:top w:val="nil"/>
              <w:left w:val="nil"/>
              <w:bottom w:val="nil"/>
              <w:right w:val="nil"/>
            </w:tcBorders>
            <w:shd w:val="clear" w:color="auto" w:fill="FFFFFF"/>
            <w:tcMar>
              <w:left w:w="67" w:type="dxa"/>
              <w:right w:w="67" w:type="dxa"/>
            </w:tcMar>
            <w:vAlign w:val="center"/>
          </w:tcPr>
          <w:p w14:paraId="1925338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335D87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3BE50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0C9322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9DBC633"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F4F6DD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536A1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-0.056924</w:t>
            </w:r>
          </w:p>
        </w:tc>
        <w:tc>
          <w:tcPr>
            <w:tcW w:w="1134" w:type="dxa"/>
            <w:tcBorders>
              <w:top w:val="nil"/>
              <w:left w:val="nil"/>
              <w:bottom w:val="nil"/>
              <w:right w:val="nil"/>
            </w:tcBorders>
            <w:shd w:val="clear" w:color="auto" w:fill="FFFFFF"/>
            <w:tcMar>
              <w:left w:w="67" w:type="dxa"/>
              <w:right w:w="67" w:type="dxa"/>
            </w:tcMar>
            <w:vAlign w:val="center"/>
          </w:tcPr>
          <w:p w14:paraId="4BD44E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0.0390</w:t>
            </w:r>
          </w:p>
        </w:tc>
        <w:tc>
          <w:tcPr>
            <w:tcW w:w="1134" w:type="dxa"/>
            <w:tcBorders>
              <w:top w:val="nil"/>
              <w:left w:val="nil"/>
              <w:bottom w:val="nil"/>
              <w:right w:val="nil"/>
            </w:tcBorders>
            <w:shd w:val="clear" w:color="auto" w:fill="FFFFFF"/>
            <w:tcMar>
              <w:left w:w="67" w:type="dxa"/>
              <w:right w:w="67" w:type="dxa"/>
            </w:tcMar>
            <w:vAlign w:val="center"/>
          </w:tcPr>
          <w:p w14:paraId="2AD40D9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-0.1464</w:t>
            </w:r>
          </w:p>
        </w:tc>
        <w:tc>
          <w:tcPr>
            <w:tcW w:w="1134" w:type="dxa"/>
            <w:tcBorders>
              <w:top w:val="nil"/>
              <w:left w:val="nil"/>
              <w:bottom w:val="nil"/>
              <w:right w:val="nil"/>
            </w:tcBorders>
            <w:shd w:val="clear" w:color="auto" w:fill="FFFFFF"/>
            <w:tcMar>
              <w:left w:w="67" w:type="dxa"/>
              <w:right w:w="67" w:type="dxa"/>
            </w:tcMar>
            <w:vAlign w:val="center"/>
          </w:tcPr>
          <w:p w14:paraId="24194C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0.0326</w:t>
            </w:r>
          </w:p>
        </w:tc>
        <w:tc>
          <w:tcPr>
            <w:tcW w:w="1134" w:type="dxa"/>
            <w:tcBorders>
              <w:top w:val="nil"/>
              <w:left w:val="nil"/>
              <w:bottom w:val="nil"/>
              <w:right w:val="nil"/>
            </w:tcBorders>
            <w:shd w:val="clear" w:color="auto" w:fill="FFFFFF"/>
            <w:tcMar>
              <w:left w:w="67" w:type="dxa"/>
              <w:right w:w="67" w:type="dxa"/>
            </w:tcMar>
            <w:vAlign w:val="center"/>
          </w:tcPr>
          <w:p w14:paraId="799FF40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86250B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EBF6D1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F9C428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1959C0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38F38D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8485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-0.040652</w:t>
            </w:r>
          </w:p>
        </w:tc>
        <w:tc>
          <w:tcPr>
            <w:tcW w:w="1134" w:type="dxa"/>
            <w:tcBorders>
              <w:top w:val="nil"/>
              <w:left w:val="nil"/>
              <w:bottom w:val="nil"/>
              <w:right w:val="nil"/>
            </w:tcBorders>
            <w:shd w:val="clear" w:color="auto" w:fill="FFFFFF"/>
            <w:tcMar>
              <w:left w:w="67" w:type="dxa"/>
              <w:right w:w="67" w:type="dxa"/>
            </w:tcMar>
            <w:vAlign w:val="center"/>
          </w:tcPr>
          <w:p w14:paraId="6F0E8A8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0.0364</w:t>
            </w:r>
          </w:p>
        </w:tc>
        <w:tc>
          <w:tcPr>
            <w:tcW w:w="1134" w:type="dxa"/>
            <w:tcBorders>
              <w:top w:val="nil"/>
              <w:left w:val="nil"/>
              <w:bottom w:val="nil"/>
              <w:right w:val="nil"/>
            </w:tcBorders>
            <w:shd w:val="clear" w:color="auto" w:fill="FFFFFF"/>
            <w:tcMar>
              <w:left w:w="67" w:type="dxa"/>
              <w:right w:w="67" w:type="dxa"/>
            </w:tcMar>
            <w:vAlign w:val="center"/>
          </w:tcPr>
          <w:p w14:paraId="1BE625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-0.1242</w:t>
            </w:r>
          </w:p>
        </w:tc>
        <w:tc>
          <w:tcPr>
            <w:tcW w:w="1134" w:type="dxa"/>
            <w:tcBorders>
              <w:top w:val="nil"/>
              <w:left w:val="nil"/>
              <w:bottom w:val="nil"/>
              <w:right w:val="nil"/>
            </w:tcBorders>
            <w:shd w:val="clear" w:color="auto" w:fill="FFFFFF"/>
            <w:tcMar>
              <w:left w:w="67" w:type="dxa"/>
              <w:right w:w="67" w:type="dxa"/>
            </w:tcMar>
            <w:vAlign w:val="center"/>
          </w:tcPr>
          <w:p w14:paraId="672952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0.0429</w:t>
            </w:r>
          </w:p>
        </w:tc>
        <w:tc>
          <w:tcPr>
            <w:tcW w:w="1134" w:type="dxa"/>
            <w:tcBorders>
              <w:top w:val="nil"/>
              <w:left w:val="nil"/>
              <w:bottom w:val="nil"/>
              <w:right w:val="nil"/>
            </w:tcBorders>
            <w:shd w:val="clear" w:color="auto" w:fill="FFFFFF"/>
            <w:tcMar>
              <w:left w:w="67" w:type="dxa"/>
              <w:right w:w="67" w:type="dxa"/>
            </w:tcMar>
            <w:vAlign w:val="center"/>
          </w:tcPr>
          <w:p w14:paraId="375A307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A02A66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2B61DA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2AFF871"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B1B53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48226A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0125B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-0.033863</w:t>
            </w:r>
          </w:p>
        </w:tc>
        <w:tc>
          <w:tcPr>
            <w:tcW w:w="1134" w:type="dxa"/>
            <w:tcBorders>
              <w:top w:val="nil"/>
              <w:left w:val="nil"/>
              <w:bottom w:val="nil"/>
              <w:right w:val="nil"/>
            </w:tcBorders>
            <w:shd w:val="clear" w:color="auto" w:fill="FFFFFF"/>
            <w:tcMar>
              <w:left w:w="67" w:type="dxa"/>
              <w:right w:w="67" w:type="dxa"/>
            </w:tcMar>
            <w:vAlign w:val="center"/>
          </w:tcPr>
          <w:p w14:paraId="3B5098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0.0399</w:t>
            </w:r>
          </w:p>
        </w:tc>
        <w:tc>
          <w:tcPr>
            <w:tcW w:w="1134" w:type="dxa"/>
            <w:tcBorders>
              <w:top w:val="nil"/>
              <w:left w:val="nil"/>
              <w:bottom w:val="nil"/>
              <w:right w:val="nil"/>
            </w:tcBorders>
            <w:shd w:val="clear" w:color="auto" w:fill="FFFFFF"/>
            <w:tcMar>
              <w:left w:w="67" w:type="dxa"/>
              <w:right w:w="67" w:type="dxa"/>
            </w:tcMar>
            <w:vAlign w:val="center"/>
          </w:tcPr>
          <w:p w14:paraId="1DEA0A6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-0.1255</w:t>
            </w:r>
          </w:p>
        </w:tc>
        <w:tc>
          <w:tcPr>
            <w:tcW w:w="1134" w:type="dxa"/>
            <w:tcBorders>
              <w:top w:val="nil"/>
              <w:left w:val="nil"/>
              <w:bottom w:val="nil"/>
              <w:right w:val="nil"/>
            </w:tcBorders>
            <w:shd w:val="clear" w:color="auto" w:fill="FFFFFF"/>
            <w:tcMar>
              <w:left w:w="67" w:type="dxa"/>
              <w:right w:w="67" w:type="dxa"/>
            </w:tcMar>
            <w:vAlign w:val="center"/>
          </w:tcPr>
          <w:p w14:paraId="369CE88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0.0578</w:t>
            </w:r>
          </w:p>
        </w:tc>
        <w:tc>
          <w:tcPr>
            <w:tcW w:w="1134" w:type="dxa"/>
            <w:tcBorders>
              <w:top w:val="nil"/>
              <w:left w:val="nil"/>
              <w:bottom w:val="nil"/>
              <w:right w:val="nil"/>
            </w:tcBorders>
            <w:shd w:val="clear" w:color="auto" w:fill="FFFFFF"/>
            <w:tcMar>
              <w:left w:w="67" w:type="dxa"/>
              <w:right w:w="67" w:type="dxa"/>
            </w:tcMar>
            <w:vAlign w:val="center"/>
          </w:tcPr>
          <w:p w14:paraId="3C91733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2FDB53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A1E97B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5B8BC4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3DAC52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ACACC5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10E68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-0.070295</w:t>
            </w:r>
          </w:p>
        </w:tc>
        <w:tc>
          <w:tcPr>
            <w:tcW w:w="1134" w:type="dxa"/>
            <w:tcBorders>
              <w:top w:val="nil"/>
              <w:left w:val="nil"/>
              <w:bottom w:val="nil"/>
              <w:right w:val="nil"/>
            </w:tcBorders>
            <w:shd w:val="clear" w:color="auto" w:fill="FFFFFF"/>
            <w:tcMar>
              <w:left w:w="67" w:type="dxa"/>
              <w:right w:w="67" w:type="dxa"/>
            </w:tcMar>
            <w:vAlign w:val="center"/>
          </w:tcPr>
          <w:p w14:paraId="30C5D5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0.0342</w:t>
            </w:r>
          </w:p>
        </w:tc>
        <w:tc>
          <w:tcPr>
            <w:tcW w:w="1134" w:type="dxa"/>
            <w:tcBorders>
              <w:top w:val="nil"/>
              <w:left w:val="nil"/>
              <w:bottom w:val="nil"/>
              <w:right w:val="nil"/>
            </w:tcBorders>
            <w:shd w:val="clear" w:color="auto" w:fill="FFFFFF"/>
            <w:tcMar>
              <w:left w:w="67" w:type="dxa"/>
              <w:right w:w="67" w:type="dxa"/>
            </w:tcMar>
            <w:vAlign w:val="center"/>
          </w:tcPr>
          <w:p w14:paraId="308D3E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-0.1489</w:t>
            </w:r>
          </w:p>
        </w:tc>
        <w:tc>
          <w:tcPr>
            <w:tcW w:w="1134" w:type="dxa"/>
            <w:tcBorders>
              <w:top w:val="nil"/>
              <w:left w:val="nil"/>
              <w:bottom w:val="nil"/>
              <w:right w:val="nil"/>
            </w:tcBorders>
            <w:shd w:val="clear" w:color="auto" w:fill="FFFFFF"/>
            <w:tcMar>
              <w:left w:w="67" w:type="dxa"/>
              <w:right w:w="67" w:type="dxa"/>
            </w:tcMar>
            <w:vAlign w:val="center"/>
          </w:tcPr>
          <w:p w14:paraId="35974E9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0.0083</w:t>
            </w:r>
          </w:p>
        </w:tc>
        <w:tc>
          <w:tcPr>
            <w:tcW w:w="1134" w:type="dxa"/>
            <w:tcBorders>
              <w:top w:val="nil"/>
              <w:left w:val="nil"/>
              <w:bottom w:val="nil"/>
              <w:right w:val="nil"/>
            </w:tcBorders>
            <w:shd w:val="clear" w:color="auto" w:fill="FFFFFF"/>
            <w:tcMar>
              <w:left w:w="67" w:type="dxa"/>
              <w:right w:w="67" w:type="dxa"/>
            </w:tcMar>
            <w:vAlign w:val="center"/>
          </w:tcPr>
          <w:p w14:paraId="08AED59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643E5E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5D8B58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29F561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B1AFD0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568DEB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334D3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-0.045196</w:t>
            </w:r>
          </w:p>
        </w:tc>
        <w:tc>
          <w:tcPr>
            <w:tcW w:w="1134" w:type="dxa"/>
            <w:tcBorders>
              <w:top w:val="nil"/>
              <w:left w:val="nil"/>
              <w:bottom w:val="nil"/>
              <w:right w:val="nil"/>
            </w:tcBorders>
            <w:shd w:val="clear" w:color="auto" w:fill="FFFFFF"/>
            <w:tcMar>
              <w:left w:w="67" w:type="dxa"/>
              <w:right w:w="67" w:type="dxa"/>
            </w:tcMar>
            <w:vAlign w:val="center"/>
          </w:tcPr>
          <w:p w14:paraId="6CA922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0.0354</w:t>
            </w:r>
          </w:p>
        </w:tc>
        <w:tc>
          <w:tcPr>
            <w:tcW w:w="1134" w:type="dxa"/>
            <w:tcBorders>
              <w:top w:val="nil"/>
              <w:left w:val="nil"/>
              <w:bottom w:val="nil"/>
              <w:right w:val="nil"/>
            </w:tcBorders>
            <w:shd w:val="clear" w:color="auto" w:fill="FFFFFF"/>
            <w:tcMar>
              <w:left w:w="67" w:type="dxa"/>
              <w:right w:w="67" w:type="dxa"/>
            </w:tcMar>
            <w:vAlign w:val="center"/>
          </w:tcPr>
          <w:p w14:paraId="2F8A8D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-0.1265</w:t>
            </w:r>
          </w:p>
        </w:tc>
        <w:tc>
          <w:tcPr>
            <w:tcW w:w="1134" w:type="dxa"/>
            <w:tcBorders>
              <w:top w:val="nil"/>
              <w:left w:val="nil"/>
              <w:bottom w:val="nil"/>
              <w:right w:val="nil"/>
            </w:tcBorders>
            <w:shd w:val="clear" w:color="auto" w:fill="FFFFFF"/>
            <w:tcMar>
              <w:left w:w="67" w:type="dxa"/>
              <w:right w:w="67" w:type="dxa"/>
            </w:tcMar>
            <w:vAlign w:val="center"/>
          </w:tcPr>
          <w:p w14:paraId="7158D6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0.0361</w:t>
            </w:r>
          </w:p>
        </w:tc>
        <w:tc>
          <w:tcPr>
            <w:tcW w:w="1134" w:type="dxa"/>
            <w:tcBorders>
              <w:top w:val="nil"/>
              <w:left w:val="nil"/>
              <w:bottom w:val="nil"/>
              <w:right w:val="nil"/>
            </w:tcBorders>
            <w:shd w:val="clear" w:color="auto" w:fill="FFFFFF"/>
            <w:tcMar>
              <w:left w:w="67" w:type="dxa"/>
              <w:right w:w="67" w:type="dxa"/>
            </w:tcMar>
            <w:vAlign w:val="center"/>
          </w:tcPr>
          <w:p w14:paraId="7829733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936F8D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CF5894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A16464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5B64AF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665F1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B59BC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0.004457</w:t>
            </w:r>
          </w:p>
        </w:tc>
        <w:tc>
          <w:tcPr>
            <w:tcW w:w="1134" w:type="dxa"/>
            <w:tcBorders>
              <w:top w:val="nil"/>
              <w:left w:val="nil"/>
              <w:bottom w:val="nil"/>
              <w:right w:val="nil"/>
            </w:tcBorders>
            <w:shd w:val="clear" w:color="auto" w:fill="FFFFFF"/>
            <w:tcMar>
              <w:left w:w="67" w:type="dxa"/>
              <w:right w:w="67" w:type="dxa"/>
            </w:tcMar>
            <w:vAlign w:val="center"/>
          </w:tcPr>
          <w:p w14:paraId="3C98FD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0.0361</w:t>
            </w:r>
          </w:p>
        </w:tc>
        <w:tc>
          <w:tcPr>
            <w:tcW w:w="1134" w:type="dxa"/>
            <w:tcBorders>
              <w:top w:val="nil"/>
              <w:left w:val="nil"/>
              <w:bottom w:val="nil"/>
              <w:right w:val="nil"/>
            </w:tcBorders>
            <w:shd w:val="clear" w:color="auto" w:fill="FFFFFF"/>
            <w:tcMar>
              <w:left w:w="67" w:type="dxa"/>
              <w:right w:w="67" w:type="dxa"/>
            </w:tcMar>
            <w:vAlign w:val="center"/>
          </w:tcPr>
          <w:p w14:paraId="543B84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-0.0784</w:t>
            </w:r>
          </w:p>
        </w:tc>
        <w:tc>
          <w:tcPr>
            <w:tcW w:w="1134" w:type="dxa"/>
            <w:tcBorders>
              <w:top w:val="nil"/>
              <w:left w:val="nil"/>
              <w:bottom w:val="nil"/>
              <w:right w:val="nil"/>
            </w:tcBorders>
            <w:shd w:val="clear" w:color="auto" w:fill="FFFFFF"/>
            <w:tcMar>
              <w:left w:w="67" w:type="dxa"/>
              <w:right w:w="67" w:type="dxa"/>
            </w:tcMar>
            <w:vAlign w:val="center"/>
          </w:tcPr>
          <w:p w14:paraId="0A51BF8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0.0873</w:t>
            </w:r>
          </w:p>
        </w:tc>
        <w:tc>
          <w:tcPr>
            <w:tcW w:w="1134" w:type="dxa"/>
            <w:tcBorders>
              <w:top w:val="nil"/>
              <w:left w:val="nil"/>
              <w:bottom w:val="nil"/>
              <w:right w:val="nil"/>
            </w:tcBorders>
            <w:shd w:val="clear" w:color="auto" w:fill="FFFFFF"/>
            <w:tcMar>
              <w:left w:w="67" w:type="dxa"/>
              <w:right w:w="67" w:type="dxa"/>
            </w:tcMar>
            <w:vAlign w:val="center"/>
          </w:tcPr>
          <w:p w14:paraId="7D2C518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841E6C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33EC4F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E26E04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3935E93"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7A0082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16525A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-0.003161</w:t>
            </w:r>
          </w:p>
        </w:tc>
        <w:tc>
          <w:tcPr>
            <w:tcW w:w="1134" w:type="dxa"/>
            <w:tcBorders>
              <w:top w:val="nil"/>
              <w:left w:val="nil"/>
              <w:bottom w:val="nil"/>
              <w:right w:val="nil"/>
            </w:tcBorders>
            <w:shd w:val="clear" w:color="auto" w:fill="FFFFFF"/>
            <w:tcMar>
              <w:left w:w="67" w:type="dxa"/>
              <w:right w:w="67" w:type="dxa"/>
            </w:tcMar>
            <w:vAlign w:val="center"/>
          </w:tcPr>
          <w:p w14:paraId="6061F9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0.0019</w:t>
            </w:r>
          </w:p>
        </w:tc>
        <w:tc>
          <w:tcPr>
            <w:tcW w:w="1134" w:type="dxa"/>
            <w:tcBorders>
              <w:top w:val="nil"/>
              <w:left w:val="nil"/>
              <w:bottom w:val="nil"/>
              <w:right w:val="nil"/>
            </w:tcBorders>
            <w:shd w:val="clear" w:color="auto" w:fill="FFFFFF"/>
            <w:tcMar>
              <w:left w:w="67" w:type="dxa"/>
              <w:right w:w="67" w:type="dxa"/>
            </w:tcMar>
            <w:vAlign w:val="center"/>
          </w:tcPr>
          <w:p w14:paraId="29A392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-0.0075</w:t>
            </w:r>
          </w:p>
        </w:tc>
        <w:tc>
          <w:tcPr>
            <w:tcW w:w="1134" w:type="dxa"/>
            <w:tcBorders>
              <w:top w:val="nil"/>
              <w:left w:val="nil"/>
              <w:bottom w:val="nil"/>
              <w:right w:val="nil"/>
            </w:tcBorders>
            <w:shd w:val="clear" w:color="auto" w:fill="FFFFFF"/>
            <w:tcMar>
              <w:left w:w="67" w:type="dxa"/>
              <w:right w:w="67" w:type="dxa"/>
            </w:tcMar>
            <w:vAlign w:val="center"/>
          </w:tcPr>
          <w:p w14:paraId="032E42B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20C3544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2.78</w:t>
            </w:r>
          </w:p>
        </w:tc>
        <w:tc>
          <w:tcPr>
            <w:tcW w:w="567" w:type="dxa"/>
            <w:tcBorders>
              <w:top w:val="nil"/>
              <w:left w:val="nil"/>
              <w:bottom w:val="nil"/>
              <w:right w:val="nil"/>
            </w:tcBorders>
            <w:shd w:val="clear" w:color="auto" w:fill="FFFFFF"/>
            <w:tcMar>
              <w:left w:w="67" w:type="dxa"/>
              <w:right w:w="67" w:type="dxa"/>
            </w:tcMar>
            <w:vAlign w:val="center"/>
          </w:tcPr>
          <w:p w14:paraId="00851F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E09199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0.1005</w:t>
            </w:r>
          </w:p>
        </w:tc>
      </w:tr>
      <w:tr w:rsidR="00B77EA3" w:rsidRPr="0082484A" w14:paraId="485080AC"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4774B9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6F9BB3B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34B2D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0.000968</w:t>
            </w:r>
          </w:p>
        </w:tc>
        <w:tc>
          <w:tcPr>
            <w:tcW w:w="1134" w:type="dxa"/>
            <w:tcBorders>
              <w:top w:val="nil"/>
              <w:left w:val="nil"/>
              <w:bottom w:val="nil"/>
              <w:right w:val="nil"/>
            </w:tcBorders>
            <w:shd w:val="clear" w:color="auto" w:fill="FFFFFF"/>
            <w:tcMar>
              <w:left w:w="67" w:type="dxa"/>
              <w:right w:w="67" w:type="dxa"/>
            </w:tcMar>
            <w:vAlign w:val="center"/>
          </w:tcPr>
          <w:p w14:paraId="3621E1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4CD253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w:t>
            </w:r>
          </w:p>
        </w:tc>
        <w:tc>
          <w:tcPr>
            <w:tcW w:w="1134" w:type="dxa"/>
            <w:tcBorders>
              <w:top w:val="nil"/>
              <w:left w:val="nil"/>
              <w:bottom w:val="nil"/>
              <w:right w:val="nil"/>
            </w:tcBorders>
            <w:shd w:val="clear" w:color="auto" w:fill="FFFFFF"/>
            <w:tcMar>
              <w:left w:w="67" w:type="dxa"/>
              <w:right w:w="67" w:type="dxa"/>
            </w:tcMar>
            <w:vAlign w:val="center"/>
          </w:tcPr>
          <w:p w14:paraId="3BE444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0.0038</w:t>
            </w:r>
          </w:p>
        </w:tc>
        <w:tc>
          <w:tcPr>
            <w:tcW w:w="1134" w:type="dxa"/>
            <w:tcBorders>
              <w:top w:val="nil"/>
              <w:left w:val="nil"/>
              <w:bottom w:val="nil"/>
              <w:right w:val="nil"/>
            </w:tcBorders>
            <w:shd w:val="clear" w:color="auto" w:fill="FFFFFF"/>
            <w:tcMar>
              <w:left w:w="67" w:type="dxa"/>
              <w:right w:w="67" w:type="dxa"/>
            </w:tcMar>
            <w:vAlign w:val="center"/>
          </w:tcPr>
          <w:p w14:paraId="3F12480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0.63</w:t>
            </w:r>
          </w:p>
        </w:tc>
        <w:tc>
          <w:tcPr>
            <w:tcW w:w="567" w:type="dxa"/>
            <w:tcBorders>
              <w:top w:val="nil"/>
              <w:left w:val="nil"/>
              <w:bottom w:val="nil"/>
              <w:right w:val="nil"/>
            </w:tcBorders>
            <w:shd w:val="clear" w:color="auto" w:fill="FFFFFF"/>
            <w:tcMar>
              <w:left w:w="67" w:type="dxa"/>
              <w:right w:w="67" w:type="dxa"/>
            </w:tcMar>
            <w:vAlign w:val="center"/>
          </w:tcPr>
          <w:p w14:paraId="3B6261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3F87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0.4318</w:t>
            </w:r>
          </w:p>
        </w:tc>
      </w:tr>
      <w:tr w:rsidR="00B77EA3" w:rsidRPr="0082484A" w14:paraId="30733E3C"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365342E"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C8F9F8D"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CE8D2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0.000770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CFBB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E49C7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89EB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92EE9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8.37</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7BDF4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D5427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0.0052</w:t>
            </w:r>
          </w:p>
        </w:tc>
      </w:tr>
    </w:tbl>
    <w:p w14:paraId="5027582A"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106E3155" w14:textId="7C886297" w:rsidR="00B77EA3" w:rsidRPr="0082484A" w:rsidRDefault="00B77EA3" w:rsidP="00B77EA3">
      <w:pPr>
        <w:spacing w:before="0" w:line="240" w:lineRule="auto"/>
        <w:rPr>
          <w:bCs/>
          <w:color w:val="FF0000"/>
          <w:sz w:val="22"/>
          <w:szCs w:val="22"/>
        </w:rPr>
      </w:pPr>
      <w:bookmarkStart w:id="251" w:name="_Ref502918094"/>
      <w:bookmarkStart w:id="252" w:name="_Toc8728142"/>
      <w:bookmarkStart w:id="253" w:name="_Toc19526797"/>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68</w:t>
      </w:r>
      <w:r w:rsidRPr="0082484A">
        <w:rPr>
          <w:bCs/>
          <w:noProof/>
          <w:sz w:val="22"/>
          <w:szCs w:val="22"/>
        </w:rPr>
        <w:fldChar w:fldCharType="end"/>
      </w:r>
      <w:bookmarkEnd w:id="251"/>
      <w:r w:rsidRPr="0082484A">
        <w:rPr>
          <w:bCs/>
          <w:sz w:val="22"/>
          <w:szCs w:val="22"/>
        </w:rPr>
        <w:t>: Secondary outcome for Trial 1. Achievement of QOF indicator, ‘The percentage of patients with diabetes, on the register, with a record of a foot examination and risk classification within the preceding 12 months’ (DM0012) (WP4a)</w:t>
      </w:r>
      <w:bookmarkEnd w:id="252"/>
      <w:bookmarkEnd w:id="253"/>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68814169"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6E6736D5" w14:textId="77777777" w:rsidR="00B77EA3" w:rsidRPr="0082484A" w:rsidRDefault="00B77EA3" w:rsidP="00B77EA3">
            <w:pPr>
              <w:spacing w:beforeLines="10" w:before="24" w:afterLines="10" w:after="24" w:line="240" w:lineRule="auto"/>
              <w:rPr>
                <w:bCs/>
                <w:sz w:val="22"/>
                <w:szCs w:val="22"/>
              </w:rPr>
            </w:pPr>
            <w:bookmarkStart w:id="254" w:name="IDX103"/>
            <w:bookmarkEnd w:id="254"/>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AF88FC"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126EBE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D35249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ACA3BC7"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B642999"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9C801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AE9C97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05E2CA8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35855B3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1B75035"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308CCCC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Diabetes control package vs. Control (risky prescribing package)</w:t>
            </w:r>
          </w:p>
        </w:tc>
        <w:tc>
          <w:tcPr>
            <w:tcW w:w="1134" w:type="dxa"/>
            <w:tcBorders>
              <w:top w:val="nil"/>
              <w:left w:val="nil"/>
              <w:bottom w:val="nil"/>
              <w:right w:val="nil"/>
            </w:tcBorders>
            <w:shd w:val="clear" w:color="auto" w:fill="FFFFFF"/>
            <w:tcMar>
              <w:left w:w="67" w:type="dxa"/>
              <w:right w:w="67" w:type="dxa"/>
            </w:tcMar>
            <w:vAlign w:val="center"/>
          </w:tcPr>
          <w:p w14:paraId="2498F2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0.021947</w:t>
            </w:r>
          </w:p>
        </w:tc>
        <w:tc>
          <w:tcPr>
            <w:tcW w:w="1134" w:type="dxa"/>
            <w:tcBorders>
              <w:top w:val="nil"/>
              <w:left w:val="nil"/>
              <w:bottom w:val="nil"/>
              <w:right w:val="nil"/>
            </w:tcBorders>
            <w:shd w:val="clear" w:color="auto" w:fill="FFFFFF"/>
            <w:tcMar>
              <w:left w:w="67" w:type="dxa"/>
              <w:right w:w="67" w:type="dxa"/>
            </w:tcMar>
            <w:vAlign w:val="center"/>
          </w:tcPr>
          <w:p w14:paraId="1A8C499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0.0209</w:t>
            </w:r>
          </w:p>
        </w:tc>
        <w:tc>
          <w:tcPr>
            <w:tcW w:w="1134" w:type="dxa"/>
            <w:tcBorders>
              <w:top w:val="nil"/>
              <w:left w:val="nil"/>
              <w:bottom w:val="nil"/>
              <w:right w:val="nil"/>
            </w:tcBorders>
            <w:shd w:val="clear" w:color="auto" w:fill="FFFFFF"/>
            <w:tcMar>
              <w:left w:w="67" w:type="dxa"/>
              <w:right w:w="67" w:type="dxa"/>
            </w:tcMar>
            <w:vAlign w:val="center"/>
          </w:tcPr>
          <w:p w14:paraId="12F06C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-0.0260</w:t>
            </w:r>
          </w:p>
        </w:tc>
        <w:tc>
          <w:tcPr>
            <w:tcW w:w="1134" w:type="dxa"/>
            <w:tcBorders>
              <w:top w:val="nil"/>
              <w:left w:val="nil"/>
              <w:bottom w:val="nil"/>
              <w:right w:val="nil"/>
            </w:tcBorders>
            <w:shd w:val="clear" w:color="auto" w:fill="FFFFFF"/>
            <w:tcMar>
              <w:left w:w="67" w:type="dxa"/>
              <w:right w:w="67" w:type="dxa"/>
            </w:tcMar>
            <w:vAlign w:val="center"/>
          </w:tcPr>
          <w:p w14:paraId="2C7925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0.0699</w:t>
            </w:r>
          </w:p>
        </w:tc>
        <w:tc>
          <w:tcPr>
            <w:tcW w:w="1134" w:type="dxa"/>
            <w:tcBorders>
              <w:top w:val="nil"/>
              <w:left w:val="nil"/>
              <w:bottom w:val="nil"/>
              <w:right w:val="nil"/>
            </w:tcBorders>
            <w:shd w:val="clear" w:color="auto" w:fill="FFFFFF"/>
            <w:tcMar>
              <w:left w:w="67" w:type="dxa"/>
              <w:right w:w="67" w:type="dxa"/>
            </w:tcMar>
            <w:vAlign w:val="center"/>
          </w:tcPr>
          <w:p w14:paraId="3EAC7F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1.10</w:t>
            </w:r>
          </w:p>
        </w:tc>
        <w:tc>
          <w:tcPr>
            <w:tcW w:w="567" w:type="dxa"/>
            <w:tcBorders>
              <w:top w:val="nil"/>
              <w:left w:val="nil"/>
              <w:bottom w:val="nil"/>
              <w:right w:val="nil"/>
            </w:tcBorders>
            <w:shd w:val="clear" w:color="auto" w:fill="FFFFFF"/>
            <w:tcMar>
              <w:left w:w="67" w:type="dxa"/>
              <w:right w:w="67" w:type="dxa"/>
            </w:tcMar>
            <w:vAlign w:val="center"/>
          </w:tcPr>
          <w:p w14:paraId="7A9490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688A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0.2972</w:t>
            </w:r>
          </w:p>
        </w:tc>
      </w:tr>
      <w:tr w:rsidR="00B77EA3" w:rsidRPr="0082484A" w14:paraId="1CF1F6C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808E076"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6797F165"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B14AA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-0.000310</w:t>
            </w:r>
          </w:p>
        </w:tc>
        <w:tc>
          <w:tcPr>
            <w:tcW w:w="1134" w:type="dxa"/>
            <w:tcBorders>
              <w:top w:val="nil"/>
              <w:left w:val="nil"/>
              <w:bottom w:val="nil"/>
              <w:right w:val="nil"/>
            </w:tcBorders>
            <w:shd w:val="clear" w:color="auto" w:fill="FFFFFF"/>
            <w:tcMar>
              <w:left w:w="67" w:type="dxa"/>
              <w:right w:w="67" w:type="dxa"/>
            </w:tcMar>
            <w:vAlign w:val="center"/>
          </w:tcPr>
          <w:p w14:paraId="72DADF4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51B586A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nil"/>
              <w:right w:val="nil"/>
            </w:tcBorders>
            <w:shd w:val="clear" w:color="auto" w:fill="FFFFFF"/>
            <w:tcMar>
              <w:left w:w="67" w:type="dxa"/>
              <w:right w:w="67" w:type="dxa"/>
            </w:tcMar>
            <w:vAlign w:val="center"/>
          </w:tcPr>
          <w:p w14:paraId="3BFBB4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423FA1B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0.87</w:t>
            </w:r>
          </w:p>
        </w:tc>
        <w:tc>
          <w:tcPr>
            <w:tcW w:w="567" w:type="dxa"/>
            <w:tcBorders>
              <w:top w:val="nil"/>
              <w:left w:val="nil"/>
              <w:bottom w:val="nil"/>
              <w:right w:val="nil"/>
            </w:tcBorders>
            <w:shd w:val="clear" w:color="auto" w:fill="FFFFFF"/>
            <w:tcMar>
              <w:left w:w="67" w:type="dxa"/>
              <w:right w:w="67" w:type="dxa"/>
            </w:tcMar>
            <w:vAlign w:val="center"/>
          </w:tcPr>
          <w:p w14:paraId="1E2BE3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D07A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0.3533</w:t>
            </w:r>
          </w:p>
        </w:tc>
      </w:tr>
      <w:tr w:rsidR="00B77EA3" w:rsidRPr="0082484A" w14:paraId="5AB7C37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996143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91E0C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0696D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0.001890</w:t>
            </w:r>
          </w:p>
        </w:tc>
        <w:tc>
          <w:tcPr>
            <w:tcW w:w="1134" w:type="dxa"/>
            <w:tcBorders>
              <w:top w:val="nil"/>
              <w:left w:val="nil"/>
              <w:bottom w:val="nil"/>
              <w:right w:val="nil"/>
            </w:tcBorders>
            <w:shd w:val="clear" w:color="auto" w:fill="FFFFFF"/>
            <w:tcMar>
              <w:left w:w="67" w:type="dxa"/>
              <w:right w:w="67" w:type="dxa"/>
            </w:tcMar>
            <w:vAlign w:val="center"/>
          </w:tcPr>
          <w:p w14:paraId="27937E4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0.0620</w:t>
            </w:r>
          </w:p>
        </w:tc>
        <w:tc>
          <w:tcPr>
            <w:tcW w:w="1134" w:type="dxa"/>
            <w:tcBorders>
              <w:top w:val="nil"/>
              <w:left w:val="nil"/>
              <w:bottom w:val="nil"/>
              <w:right w:val="nil"/>
            </w:tcBorders>
            <w:shd w:val="clear" w:color="auto" w:fill="FFFFFF"/>
            <w:tcMar>
              <w:left w:w="67" w:type="dxa"/>
              <w:right w:w="67" w:type="dxa"/>
            </w:tcMar>
            <w:vAlign w:val="center"/>
          </w:tcPr>
          <w:p w14:paraId="6060A9C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-0.1403</w:t>
            </w:r>
          </w:p>
        </w:tc>
        <w:tc>
          <w:tcPr>
            <w:tcW w:w="1134" w:type="dxa"/>
            <w:tcBorders>
              <w:top w:val="nil"/>
              <w:left w:val="nil"/>
              <w:bottom w:val="nil"/>
              <w:right w:val="nil"/>
            </w:tcBorders>
            <w:shd w:val="clear" w:color="auto" w:fill="FFFFFF"/>
            <w:tcMar>
              <w:left w:w="67" w:type="dxa"/>
              <w:right w:w="67" w:type="dxa"/>
            </w:tcMar>
            <w:vAlign w:val="center"/>
          </w:tcPr>
          <w:p w14:paraId="775D5F4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0.1441</w:t>
            </w:r>
          </w:p>
        </w:tc>
        <w:tc>
          <w:tcPr>
            <w:tcW w:w="1134" w:type="dxa"/>
            <w:tcBorders>
              <w:top w:val="nil"/>
              <w:left w:val="nil"/>
              <w:bottom w:val="nil"/>
              <w:right w:val="nil"/>
            </w:tcBorders>
            <w:shd w:val="clear" w:color="auto" w:fill="FFFFFF"/>
            <w:tcMar>
              <w:left w:w="67" w:type="dxa"/>
              <w:right w:w="67" w:type="dxa"/>
            </w:tcMar>
            <w:vAlign w:val="center"/>
          </w:tcPr>
          <w:p w14:paraId="541C0A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2.65</w:t>
            </w:r>
          </w:p>
        </w:tc>
        <w:tc>
          <w:tcPr>
            <w:tcW w:w="567" w:type="dxa"/>
            <w:tcBorders>
              <w:top w:val="nil"/>
              <w:left w:val="nil"/>
              <w:bottom w:val="nil"/>
              <w:right w:val="nil"/>
            </w:tcBorders>
            <w:shd w:val="clear" w:color="auto" w:fill="FFFFFF"/>
            <w:tcMar>
              <w:left w:w="67" w:type="dxa"/>
              <w:right w:w="67" w:type="dxa"/>
            </w:tcMar>
            <w:vAlign w:val="center"/>
          </w:tcPr>
          <w:p w14:paraId="52BA222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BC5F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0.0112</w:t>
            </w:r>
          </w:p>
        </w:tc>
      </w:tr>
      <w:tr w:rsidR="00B77EA3" w:rsidRPr="0082484A" w14:paraId="4795041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6D2559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E2A65E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B937BC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0.011116</w:t>
            </w:r>
          </w:p>
        </w:tc>
        <w:tc>
          <w:tcPr>
            <w:tcW w:w="1134" w:type="dxa"/>
            <w:tcBorders>
              <w:top w:val="nil"/>
              <w:left w:val="nil"/>
              <w:bottom w:val="nil"/>
              <w:right w:val="nil"/>
            </w:tcBorders>
            <w:shd w:val="clear" w:color="auto" w:fill="FFFFFF"/>
            <w:tcMar>
              <w:left w:w="67" w:type="dxa"/>
              <w:right w:w="67" w:type="dxa"/>
            </w:tcMar>
            <w:vAlign w:val="center"/>
          </w:tcPr>
          <w:p w14:paraId="03FF36C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0.0498</w:t>
            </w:r>
          </w:p>
        </w:tc>
        <w:tc>
          <w:tcPr>
            <w:tcW w:w="1134" w:type="dxa"/>
            <w:tcBorders>
              <w:top w:val="nil"/>
              <w:left w:val="nil"/>
              <w:bottom w:val="nil"/>
              <w:right w:val="nil"/>
            </w:tcBorders>
            <w:shd w:val="clear" w:color="auto" w:fill="FFFFFF"/>
            <w:tcMar>
              <w:left w:w="67" w:type="dxa"/>
              <w:right w:w="67" w:type="dxa"/>
            </w:tcMar>
            <w:vAlign w:val="center"/>
          </w:tcPr>
          <w:p w14:paraId="70E4B1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-0.1032</w:t>
            </w:r>
          </w:p>
        </w:tc>
        <w:tc>
          <w:tcPr>
            <w:tcW w:w="1134" w:type="dxa"/>
            <w:tcBorders>
              <w:top w:val="nil"/>
              <w:left w:val="nil"/>
              <w:bottom w:val="nil"/>
              <w:right w:val="nil"/>
            </w:tcBorders>
            <w:shd w:val="clear" w:color="auto" w:fill="FFFFFF"/>
            <w:tcMar>
              <w:left w:w="67" w:type="dxa"/>
              <w:right w:w="67" w:type="dxa"/>
            </w:tcMar>
            <w:vAlign w:val="center"/>
          </w:tcPr>
          <w:p w14:paraId="1080333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0.1254</w:t>
            </w:r>
          </w:p>
        </w:tc>
        <w:tc>
          <w:tcPr>
            <w:tcW w:w="1134" w:type="dxa"/>
            <w:tcBorders>
              <w:top w:val="nil"/>
              <w:left w:val="nil"/>
              <w:bottom w:val="nil"/>
              <w:right w:val="nil"/>
            </w:tcBorders>
            <w:shd w:val="clear" w:color="auto" w:fill="FFFFFF"/>
            <w:tcMar>
              <w:left w:w="67" w:type="dxa"/>
              <w:right w:w="67" w:type="dxa"/>
            </w:tcMar>
            <w:vAlign w:val="center"/>
          </w:tcPr>
          <w:p w14:paraId="21391C2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6F9918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4FE87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384C46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ACA429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6A689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93B1D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-0.094205</w:t>
            </w:r>
          </w:p>
        </w:tc>
        <w:tc>
          <w:tcPr>
            <w:tcW w:w="1134" w:type="dxa"/>
            <w:tcBorders>
              <w:top w:val="nil"/>
              <w:left w:val="nil"/>
              <w:bottom w:val="nil"/>
              <w:right w:val="nil"/>
            </w:tcBorders>
            <w:shd w:val="clear" w:color="auto" w:fill="FFFFFF"/>
            <w:tcMar>
              <w:left w:w="67" w:type="dxa"/>
              <w:right w:w="67" w:type="dxa"/>
            </w:tcMar>
            <w:vAlign w:val="center"/>
          </w:tcPr>
          <w:p w14:paraId="0BE2F8D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0.0388</w:t>
            </w:r>
          </w:p>
        </w:tc>
        <w:tc>
          <w:tcPr>
            <w:tcW w:w="1134" w:type="dxa"/>
            <w:tcBorders>
              <w:top w:val="nil"/>
              <w:left w:val="nil"/>
              <w:bottom w:val="nil"/>
              <w:right w:val="nil"/>
            </w:tcBorders>
            <w:shd w:val="clear" w:color="auto" w:fill="FFFFFF"/>
            <w:tcMar>
              <w:left w:w="67" w:type="dxa"/>
              <w:right w:w="67" w:type="dxa"/>
            </w:tcMar>
            <w:vAlign w:val="center"/>
          </w:tcPr>
          <w:p w14:paraId="1D7036F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-0.1832</w:t>
            </w:r>
          </w:p>
        </w:tc>
        <w:tc>
          <w:tcPr>
            <w:tcW w:w="1134" w:type="dxa"/>
            <w:tcBorders>
              <w:top w:val="nil"/>
              <w:left w:val="nil"/>
              <w:bottom w:val="nil"/>
              <w:right w:val="nil"/>
            </w:tcBorders>
            <w:shd w:val="clear" w:color="auto" w:fill="FFFFFF"/>
            <w:tcMar>
              <w:left w:w="67" w:type="dxa"/>
              <w:right w:w="67" w:type="dxa"/>
            </w:tcMar>
            <w:vAlign w:val="center"/>
          </w:tcPr>
          <w:p w14:paraId="74F8FDF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-0.0053</w:t>
            </w:r>
          </w:p>
        </w:tc>
        <w:tc>
          <w:tcPr>
            <w:tcW w:w="1134" w:type="dxa"/>
            <w:tcBorders>
              <w:top w:val="nil"/>
              <w:left w:val="nil"/>
              <w:bottom w:val="nil"/>
              <w:right w:val="nil"/>
            </w:tcBorders>
            <w:shd w:val="clear" w:color="auto" w:fill="FFFFFF"/>
            <w:tcMar>
              <w:left w:w="67" w:type="dxa"/>
              <w:right w:w="67" w:type="dxa"/>
            </w:tcMar>
            <w:vAlign w:val="center"/>
          </w:tcPr>
          <w:p w14:paraId="0F34BA7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4E21BE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155615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B51F61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76EEC1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65392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74E698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-0.114650</w:t>
            </w:r>
          </w:p>
        </w:tc>
        <w:tc>
          <w:tcPr>
            <w:tcW w:w="1134" w:type="dxa"/>
            <w:tcBorders>
              <w:top w:val="nil"/>
              <w:left w:val="nil"/>
              <w:bottom w:val="nil"/>
              <w:right w:val="nil"/>
            </w:tcBorders>
            <w:shd w:val="clear" w:color="auto" w:fill="FFFFFF"/>
            <w:tcMar>
              <w:left w:w="67" w:type="dxa"/>
              <w:right w:w="67" w:type="dxa"/>
            </w:tcMar>
            <w:vAlign w:val="center"/>
          </w:tcPr>
          <w:p w14:paraId="2634451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0.0522</w:t>
            </w:r>
          </w:p>
        </w:tc>
        <w:tc>
          <w:tcPr>
            <w:tcW w:w="1134" w:type="dxa"/>
            <w:tcBorders>
              <w:top w:val="nil"/>
              <w:left w:val="nil"/>
              <w:bottom w:val="nil"/>
              <w:right w:val="nil"/>
            </w:tcBorders>
            <w:shd w:val="clear" w:color="auto" w:fill="FFFFFF"/>
            <w:tcMar>
              <w:left w:w="67" w:type="dxa"/>
              <w:right w:w="67" w:type="dxa"/>
            </w:tcMar>
            <w:vAlign w:val="center"/>
          </w:tcPr>
          <w:p w14:paraId="3E4AD7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-0.2344</w:t>
            </w:r>
          </w:p>
        </w:tc>
        <w:tc>
          <w:tcPr>
            <w:tcW w:w="1134" w:type="dxa"/>
            <w:tcBorders>
              <w:top w:val="nil"/>
              <w:left w:val="nil"/>
              <w:bottom w:val="nil"/>
              <w:right w:val="nil"/>
            </w:tcBorders>
            <w:shd w:val="clear" w:color="auto" w:fill="FFFFFF"/>
            <w:tcMar>
              <w:left w:w="67" w:type="dxa"/>
              <w:right w:w="67" w:type="dxa"/>
            </w:tcMar>
            <w:vAlign w:val="center"/>
          </w:tcPr>
          <w:p w14:paraId="583DDF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58B1201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28840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35E7F9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C09026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25B6EB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8B3DE9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7700F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-0.003300</w:t>
            </w:r>
          </w:p>
        </w:tc>
        <w:tc>
          <w:tcPr>
            <w:tcW w:w="1134" w:type="dxa"/>
            <w:tcBorders>
              <w:top w:val="nil"/>
              <w:left w:val="nil"/>
              <w:bottom w:val="nil"/>
              <w:right w:val="nil"/>
            </w:tcBorders>
            <w:shd w:val="clear" w:color="auto" w:fill="FFFFFF"/>
            <w:tcMar>
              <w:left w:w="67" w:type="dxa"/>
              <w:right w:w="67" w:type="dxa"/>
            </w:tcMar>
            <w:vAlign w:val="center"/>
          </w:tcPr>
          <w:p w14:paraId="210979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0.0487</w:t>
            </w:r>
          </w:p>
        </w:tc>
        <w:tc>
          <w:tcPr>
            <w:tcW w:w="1134" w:type="dxa"/>
            <w:tcBorders>
              <w:top w:val="nil"/>
              <w:left w:val="nil"/>
              <w:bottom w:val="nil"/>
              <w:right w:val="nil"/>
            </w:tcBorders>
            <w:shd w:val="clear" w:color="auto" w:fill="FFFFFF"/>
            <w:tcMar>
              <w:left w:w="67" w:type="dxa"/>
              <w:right w:w="67" w:type="dxa"/>
            </w:tcMar>
            <w:vAlign w:val="center"/>
          </w:tcPr>
          <w:p w14:paraId="03842C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-0.1150</w:t>
            </w:r>
          </w:p>
        </w:tc>
        <w:tc>
          <w:tcPr>
            <w:tcW w:w="1134" w:type="dxa"/>
            <w:tcBorders>
              <w:top w:val="nil"/>
              <w:left w:val="nil"/>
              <w:bottom w:val="nil"/>
              <w:right w:val="nil"/>
            </w:tcBorders>
            <w:shd w:val="clear" w:color="auto" w:fill="FFFFFF"/>
            <w:tcMar>
              <w:left w:w="67" w:type="dxa"/>
              <w:right w:w="67" w:type="dxa"/>
            </w:tcMar>
            <w:vAlign w:val="center"/>
          </w:tcPr>
          <w:p w14:paraId="00B89F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0.1084</w:t>
            </w:r>
          </w:p>
        </w:tc>
        <w:tc>
          <w:tcPr>
            <w:tcW w:w="1134" w:type="dxa"/>
            <w:tcBorders>
              <w:top w:val="nil"/>
              <w:left w:val="nil"/>
              <w:bottom w:val="nil"/>
              <w:right w:val="nil"/>
            </w:tcBorders>
            <w:shd w:val="clear" w:color="auto" w:fill="FFFFFF"/>
            <w:tcMar>
              <w:left w:w="67" w:type="dxa"/>
              <w:right w:w="67" w:type="dxa"/>
            </w:tcMar>
            <w:vAlign w:val="center"/>
          </w:tcPr>
          <w:p w14:paraId="45DA2C9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DEC887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63D62ED"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05F682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0AEF1C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7D510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C996F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0.004302</w:t>
            </w:r>
          </w:p>
        </w:tc>
        <w:tc>
          <w:tcPr>
            <w:tcW w:w="1134" w:type="dxa"/>
            <w:tcBorders>
              <w:top w:val="nil"/>
              <w:left w:val="nil"/>
              <w:bottom w:val="nil"/>
              <w:right w:val="nil"/>
            </w:tcBorders>
            <w:shd w:val="clear" w:color="auto" w:fill="FFFFFF"/>
            <w:tcMar>
              <w:left w:w="67" w:type="dxa"/>
              <w:right w:w="67" w:type="dxa"/>
            </w:tcMar>
            <w:vAlign w:val="center"/>
          </w:tcPr>
          <w:p w14:paraId="255E11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0.0534</w:t>
            </w:r>
          </w:p>
        </w:tc>
        <w:tc>
          <w:tcPr>
            <w:tcW w:w="1134" w:type="dxa"/>
            <w:tcBorders>
              <w:top w:val="nil"/>
              <w:left w:val="nil"/>
              <w:bottom w:val="nil"/>
              <w:right w:val="nil"/>
            </w:tcBorders>
            <w:shd w:val="clear" w:color="auto" w:fill="FFFFFF"/>
            <w:tcMar>
              <w:left w:w="67" w:type="dxa"/>
              <w:right w:w="67" w:type="dxa"/>
            </w:tcMar>
            <w:vAlign w:val="center"/>
          </w:tcPr>
          <w:p w14:paraId="24CA552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-0.1182</w:t>
            </w:r>
          </w:p>
        </w:tc>
        <w:tc>
          <w:tcPr>
            <w:tcW w:w="1134" w:type="dxa"/>
            <w:tcBorders>
              <w:top w:val="nil"/>
              <w:left w:val="nil"/>
              <w:bottom w:val="nil"/>
              <w:right w:val="nil"/>
            </w:tcBorders>
            <w:shd w:val="clear" w:color="auto" w:fill="FFFFFF"/>
            <w:tcMar>
              <w:left w:w="67" w:type="dxa"/>
              <w:right w:w="67" w:type="dxa"/>
            </w:tcMar>
            <w:vAlign w:val="center"/>
          </w:tcPr>
          <w:p w14:paraId="013234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0.1268</w:t>
            </w:r>
          </w:p>
        </w:tc>
        <w:tc>
          <w:tcPr>
            <w:tcW w:w="1134" w:type="dxa"/>
            <w:tcBorders>
              <w:top w:val="nil"/>
              <w:left w:val="nil"/>
              <w:bottom w:val="nil"/>
              <w:right w:val="nil"/>
            </w:tcBorders>
            <w:shd w:val="clear" w:color="auto" w:fill="FFFFFF"/>
            <w:tcMar>
              <w:left w:w="67" w:type="dxa"/>
              <w:right w:w="67" w:type="dxa"/>
            </w:tcMar>
            <w:vAlign w:val="center"/>
          </w:tcPr>
          <w:p w14:paraId="7E088F3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96B2E4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DA9A5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1B8227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72A64C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068CEE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FD65F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0.004042</w:t>
            </w:r>
          </w:p>
        </w:tc>
        <w:tc>
          <w:tcPr>
            <w:tcW w:w="1134" w:type="dxa"/>
            <w:tcBorders>
              <w:top w:val="nil"/>
              <w:left w:val="nil"/>
              <w:bottom w:val="nil"/>
              <w:right w:val="nil"/>
            </w:tcBorders>
            <w:shd w:val="clear" w:color="auto" w:fill="FFFFFF"/>
            <w:tcMar>
              <w:left w:w="67" w:type="dxa"/>
              <w:right w:w="67" w:type="dxa"/>
            </w:tcMar>
            <w:vAlign w:val="center"/>
          </w:tcPr>
          <w:p w14:paraId="1E0CBF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0.0458</w:t>
            </w:r>
          </w:p>
        </w:tc>
        <w:tc>
          <w:tcPr>
            <w:tcW w:w="1134" w:type="dxa"/>
            <w:tcBorders>
              <w:top w:val="nil"/>
              <w:left w:val="nil"/>
              <w:bottom w:val="nil"/>
              <w:right w:val="nil"/>
            </w:tcBorders>
            <w:shd w:val="clear" w:color="auto" w:fill="FFFFFF"/>
            <w:tcMar>
              <w:left w:w="67" w:type="dxa"/>
              <w:right w:w="67" w:type="dxa"/>
            </w:tcMar>
            <w:vAlign w:val="center"/>
          </w:tcPr>
          <w:p w14:paraId="6A0DCAD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-0.1010</w:t>
            </w:r>
          </w:p>
        </w:tc>
        <w:tc>
          <w:tcPr>
            <w:tcW w:w="1134" w:type="dxa"/>
            <w:tcBorders>
              <w:top w:val="nil"/>
              <w:left w:val="nil"/>
              <w:bottom w:val="nil"/>
              <w:right w:val="nil"/>
            </w:tcBorders>
            <w:shd w:val="clear" w:color="auto" w:fill="FFFFFF"/>
            <w:tcMar>
              <w:left w:w="67" w:type="dxa"/>
              <w:right w:w="67" w:type="dxa"/>
            </w:tcMar>
            <w:vAlign w:val="center"/>
          </w:tcPr>
          <w:p w14:paraId="2E2AFF6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0.1091</w:t>
            </w:r>
          </w:p>
        </w:tc>
        <w:tc>
          <w:tcPr>
            <w:tcW w:w="1134" w:type="dxa"/>
            <w:tcBorders>
              <w:top w:val="nil"/>
              <w:left w:val="nil"/>
              <w:bottom w:val="nil"/>
              <w:right w:val="nil"/>
            </w:tcBorders>
            <w:shd w:val="clear" w:color="auto" w:fill="FFFFFF"/>
            <w:tcMar>
              <w:left w:w="67" w:type="dxa"/>
              <w:right w:w="67" w:type="dxa"/>
            </w:tcMar>
            <w:vAlign w:val="center"/>
          </w:tcPr>
          <w:p w14:paraId="429605B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0650BE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F86640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BAA9635"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0F9C8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1F4CAB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710FE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-0.002417</w:t>
            </w:r>
          </w:p>
        </w:tc>
        <w:tc>
          <w:tcPr>
            <w:tcW w:w="1134" w:type="dxa"/>
            <w:tcBorders>
              <w:top w:val="nil"/>
              <w:left w:val="nil"/>
              <w:bottom w:val="nil"/>
              <w:right w:val="nil"/>
            </w:tcBorders>
            <w:shd w:val="clear" w:color="auto" w:fill="FFFFFF"/>
            <w:tcMar>
              <w:left w:w="67" w:type="dxa"/>
              <w:right w:w="67" w:type="dxa"/>
            </w:tcMar>
            <w:vAlign w:val="center"/>
          </w:tcPr>
          <w:p w14:paraId="420D15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0.0474</w:t>
            </w:r>
          </w:p>
        </w:tc>
        <w:tc>
          <w:tcPr>
            <w:tcW w:w="1134" w:type="dxa"/>
            <w:tcBorders>
              <w:top w:val="nil"/>
              <w:left w:val="nil"/>
              <w:bottom w:val="nil"/>
              <w:right w:val="nil"/>
            </w:tcBorders>
            <w:shd w:val="clear" w:color="auto" w:fill="FFFFFF"/>
            <w:tcMar>
              <w:left w:w="67" w:type="dxa"/>
              <w:right w:w="67" w:type="dxa"/>
            </w:tcMar>
            <w:vAlign w:val="center"/>
          </w:tcPr>
          <w:p w14:paraId="0B06A2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-0.1112</w:t>
            </w:r>
          </w:p>
        </w:tc>
        <w:tc>
          <w:tcPr>
            <w:tcW w:w="1134" w:type="dxa"/>
            <w:tcBorders>
              <w:top w:val="nil"/>
              <w:left w:val="nil"/>
              <w:bottom w:val="nil"/>
              <w:right w:val="nil"/>
            </w:tcBorders>
            <w:shd w:val="clear" w:color="auto" w:fill="FFFFFF"/>
            <w:tcMar>
              <w:left w:w="67" w:type="dxa"/>
              <w:right w:w="67" w:type="dxa"/>
            </w:tcMar>
            <w:vAlign w:val="center"/>
          </w:tcPr>
          <w:p w14:paraId="18A49C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0.1063</w:t>
            </w:r>
          </w:p>
        </w:tc>
        <w:tc>
          <w:tcPr>
            <w:tcW w:w="1134" w:type="dxa"/>
            <w:tcBorders>
              <w:top w:val="nil"/>
              <w:left w:val="nil"/>
              <w:bottom w:val="nil"/>
              <w:right w:val="nil"/>
            </w:tcBorders>
            <w:shd w:val="clear" w:color="auto" w:fill="FFFFFF"/>
            <w:tcMar>
              <w:left w:w="67" w:type="dxa"/>
              <w:right w:w="67" w:type="dxa"/>
            </w:tcMar>
            <w:vAlign w:val="center"/>
          </w:tcPr>
          <w:p w14:paraId="7E16101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F73C7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7A90ED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5AF0BF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A515C2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480E9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D6598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0.052753</w:t>
            </w:r>
          </w:p>
        </w:tc>
        <w:tc>
          <w:tcPr>
            <w:tcW w:w="1134" w:type="dxa"/>
            <w:tcBorders>
              <w:top w:val="nil"/>
              <w:left w:val="nil"/>
              <w:bottom w:val="nil"/>
              <w:right w:val="nil"/>
            </w:tcBorders>
            <w:shd w:val="clear" w:color="auto" w:fill="FFFFFF"/>
            <w:tcMar>
              <w:left w:w="67" w:type="dxa"/>
              <w:right w:w="67" w:type="dxa"/>
            </w:tcMar>
            <w:vAlign w:val="center"/>
          </w:tcPr>
          <w:p w14:paraId="2DA4667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0.0483</w:t>
            </w:r>
          </w:p>
        </w:tc>
        <w:tc>
          <w:tcPr>
            <w:tcW w:w="1134" w:type="dxa"/>
            <w:tcBorders>
              <w:top w:val="nil"/>
              <w:left w:val="nil"/>
              <w:bottom w:val="nil"/>
              <w:right w:val="nil"/>
            </w:tcBorders>
            <w:shd w:val="clear" w:color="auto" w:fill="FFFFFF"/>
            <w:tcMar>
              <w:left w:w="67" w:type="dxa"/>
              <w:right w:w="67" w:type="dxa"/>
            </w:tcMar>
            <w:vAlign w:val="center"/>
          </w:tcPr>
          <w:p w14:paraId="16FBA3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-0.0581</w:t>
            </w:r>
          </w:p>
        </w:tc>
        <w:tc>
          <w:tcPr>
            <w:tcW w:w="1134" w:type="dxa"/>
            <w:tcBorders>
              <w:top w:val="nil"/>
              <w:left w:val="nil"/>
              <w:bottom w:val="nil"/>
              <w:right w:val="nil"/>
            </w:tcBorders>
            <w:shd w:val="clear" w:color="auto" w:fill="FFFFFF"/>
            <w:tcMar>
              <w:left w:w="67" w:type="dxa"/>
              <w:right w:w="67" w:type="dxa"/>
            </w:tcMar>
            <w:vAlign w:val="center"/>
          </w:tcPr>
          <w:p w14:paraId="4EB179D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0.1636</w:t>
            </w:r>
          </w:p>
        </w:tc>
        <w:tc>
          <w:tcPr>
            <w:tcW w:w="1134" w:type="dxa"/>
            <w:tcBorders>
              <w:top w:val="nil"/>
              <w:left w:val="nil"/>
              <w:bottom w:val="nil"/>
              <w:right w:val="nil"/>
            </w:tcBorders>
            <w:shd w:val="clear" w:color="auto" w:fill="FFFFFF"/>
            <w:tcMar>
              <w:left w:w="67" w:type="dxa"/>
              <w:right w:w="67" w:type="dxa"/>
            </w:tcMar>
            <w:vAlign w:val="center"/>
          </w:tcPr>
          <w:p w14:paraId="099B95B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0CBE70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69AA1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F95252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6A29B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2ECF336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DF42C7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0.003269</w:t>
            </w:r>
          </w:p>
        </w:tc>
        <w:tc>
          <w:tcPr>
            <w:tcW w:w="1134" w:type="dxa"/>
            <w:tcBorders>
              <w:top w:val="nil"/>
              <w:left w:val="nil"/>
              <w:bottom w:val="nil"/>
              <w:right w:val="nil"/>
            </w:tcBorders>
            <w:shd w:val="clear" w:color="auto" w:fill="FFFFFF"/>
            <w:tcMar>
              <w:left w:w="67" w:type="dxa"/>
              <w:right w:w="67" w:type="dxa"/>
            </w:tcMar>
            <w:vAlign w:val="center"/>
          </w:tcPr>
          <w:p w14:paraId="7B5BC67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0.0025</w:t>
            </w:r>
          </w:p>
        </w:tc>
        <w:tc>
          <w:tcPr>
            <w:tcW w:w="1134" w:type="dxa"/>
            <w:tcBorders>
              <w:top w:val="nil"/>
              <w:left w:val="nil"/>
              <w:bottom w:val="nil"/>
              <w:right w:val="nil"/>
            </w:tcBorders>
            <w:shd w:val="clear" w:color="auto" w:fill="FFFFFF"/>
            <w:tcMar>
              <w:left w:w="67" w:type="dxa"/>
              <w:right w:w="67" w:type="dxa"/>
            </w:tcMar>
            <w:vAlign w:val="center"/>
          </w:tcPr>
          <w:p w14:paraId="0AD8FA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-0.0026</w:t>
            </w:r>
          </w:p>
        </w:tc>
        <w:tc>
          <w:tcPr>
            <w:tcW w:w="1134" w:type="dxa"/>
            <w:tcBorders>
              <w:top w:val="nil"/>
              <w:left w:val="nil"/>
              <w:bottom w:val="nil"/>
              <w:right w:val="nil"/>
            </w:tcBorders>
            <w:shd w:val="clear" w:color="auto" w:fill="FFFFFF"/>
            <w:tcMar>
              <w:left w:w="67" w:type="dxa"/>
              <w:right w:w="67" w:type="dxa"/>
            </w:tcMar>
            <w:vAlign w:val="center"/>
          </w:tcPr>
          <w:p w14:paraId="40FF86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0.0091</w:t>
            </w:r>
          </w:p>
        </w:tc>
        <w:tc>
          <w:tcPr>
            <w:tcW w:w="1134" w:type="dxa"/>
            <w:tcBorders>
              <w:top w:val="nil"/>
              <w:left w:val="nil"/>
              <w:bottom w:val="nil"/>
              <w:right w:val="nil"/>
            </w:tcBorders>
            <w:shd w:val="clear" w:color="auto" w:fill="FFFFFF"/>
            <w:tcMar>
              <w:left w:w="67" w:type="dxa"/>
              <w:right w:w="67" w:type="dxa"/>
            </w:tcMar>
            <w:vAlign w:val="center"/>
          </w:tcPr>
          <w:p w14:paraId="25D781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1.66</w:t>
            </w:r>
          </w:p>
        </w:tc>
        <w:tc>
          <w:tcPr>
            <w:tcW w:w="567" w:type="dxa"/>
            <w:tcBorders>
              <w:top w:val="nil"/>
              <w:left w:val="nil"/>
              <w:bottom w:val="nil"/>
              <w:right w:val="nil"/>
            </w:tcBorders>
            <w:shd w:val="clear" w:color="auto" w:fill="FFFFFF"/>
            <w:tcMar>
              <w:left w:w="67" w:type="dxa"/>
              <w:right w:w="67" w:type="dxa"/>
            </w:tcMar>
            <w:vAlign w:val="center"/>
          </w:tcPr>
          <w:p w14:paraId="579BF3E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4E9FC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0.2022</w:t>
            </w:r>
          </w:p>
        </w:tc>
      </w:tr>
      <w:tr w:rsidR="00B77EA3" w:rsidRPr="0082484A" w14:paraId="484F6EF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7BF6F0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1614724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9711A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0.003154</w:t>
            </w:r>
          </w:p>
        </w:tc>
        <w:tc>
          <w:tcPr>
            <w:tcW w:w="1134" w:type="dxa"/>
            <w:tcBorders>
              <w:top w:val="nil"/>
              <w:left w:val="nil"/>
              <w:bottom w:val="nil"/>
              <w:right w:val="nil"/>
            </w:tcBorders>
            <w:shd w:val="clear" w:color="auto" w:fill="FFFFFF"/>
            <w:tcMar>
              <w:left w:w="67" w:type="dxa"/>
              <w:right w:w="67" w:type="dxa"/>
            </w:tcMar>
            <w:vAlign w:val="center"/>
          </w:tcPr>
          <w:p w14:paraId="73074C3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7A0439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0F15CA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0.0069</w:t>
            </w:r>
          </w:p>
        </w:tc>
        <w:tc>
          <w:tcPr>
            <w:tcW w:w="1134" w:type="dxa"/>
            <w:tcBorders>
              <w:top w:val="nil"/>
              <w:left w:val="nil"/>
              <w:bottom w:val="nil"/>
              <w:right w:val="nil"/>
            </w:tcBorders>
            <w:shd w:val="clear" w:color="auto" w:fill="FFFFFF"/>
            <w:tcMar>
              <w:left w:w="67" w:type="dxa"/>
              <w:right w:w="67" w:type="dxa"/>
            </w:tcMar>
            <w:vAlign w:val="center"/>
          </w:tcPr>
          <w:p w14:paraId="520B761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3.71</w:t>
            </w:r>
          </w:p>
        </w:tc>
        <w:tc>
          <w:tcPr>
            <w:tcW w:w="567" w:type="dxa"/>
            <w:tcBorders>
              <w:top w:val="nil"/>
              <w:left w:val="nil"/>
              <w:bottom w:val="nil"/>
              <w:right w:val="nil"/>
            </w:tcBorders>
            <w:shd w:val="clear" w:color="auto" w:fill="FFFFFF"/>
            <w:tcMar>
              <w:left w:w="67" w:type="dxa"/>
              <w:right w:w="67" w:type="dxa"/>
            </w:tcMar>
            <w:vAlign w:val="center"/>
          </w:tcPr>
          <w:p w14:paraId="1CBEA7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3459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0.0584</w:t>
            </w:r>
          </w:p>
        </w:tc>
      </w:tr>
      <w:tr w:rsidR="00B77EA3" w:rsidRPr="0082484A" w14:paraId="1503583A"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2A61E236"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8300697"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57981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0.000805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16D09D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F1F7FB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6730D3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6CF7F6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5.13</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71576C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1EF510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0.0269</w:t>
            </w:r>
          </w:p>
        </w:tc>
      </w:tr>
    </w:tbl>
    <w:p w14:paraId="3C5C59C6"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3DECDD51" w14:textId="6BE21D1D" w:rsidR="00B77EA3" w:rsidRPr="0082484A" w:rsidRDefault="00B77EA3" w:rsidP="00B77EA3">
      <w:pPr>
        <w:spacing w:before="0" w:line="240" w:lineRule="auto"/>
        <w:rPr>
          <w:bCs/>
          <w:sz w:val="22"/>
          <w:szCs w:val="22"/>
        </w:rPr>
      </w:pPr>
      <w:bookmarkStart w:id="255" w:name="_Ref502918095"/>
      <w:bookmarkStart w:id="256" w:name="_Toc8728143"/>
      <w:bookmarkStart w:id="257" w:name="_Toc19526798"/>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69</w:t>
      </w:r>
      <w:r w:rsidRPr="0082484A">
        <w:rPr>
          <w:bCs/>
          <w:noProof/>
          <w:sz w:val="22"/>
          <w:szCs w:val="22"/>
        </w:rPr>
        <w:fldChar w:fldCharType="end"/>
      </w:r>
      <w:bookmarkEnd w:id="255"/>
      <w:r w:rsidRPr="0082484A">
        <w:rPr>
          <w:bCs/>
          <w:sz w:val="22"/>
          <w:szCs w:val="22"/>
        </w:rPr>
        <w:t>: Secondary outcome for Trial 2. Achievement of QOF indicator, ‘The percentage of patients with coronary heart disease in whom the last blood pressure reading (measured in the preceding 12 months) is 150/90 mmHg or less’ (CHD002) (WP4a)</w:t>
      </w:r>
      <w:bookmarkEnd w:id="256"/>
      <w:bookmarkEnd w:id="257"/>
    </w:p>
    <w:tbl>
      <w:tblPr>
        <w:tblW w:w="14458"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567"/>
        <w:gridCol w:w="1134"/>
      </w:tblGrid>
      <w:tr w:rsidR="00B77EA3" w:rsidRPr="0082484A" w14:paraId="068DE6CB"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2F344D7" w14:textId="77777777" w:rsidR="00B77EA3" w:rsidRPr="0082484A" w:rsidRDefault="00B77EA3" w:rsidP="00B77EA3">
            <w:pPr>
              <w:spacing w:beforeLines="10" w:before="24" w:afterLines="10" w:after="24" w:line="240" w:lineRule="auto"/>
              <w:rPr>
                <w:bCs/>
                <w:sz w:val="22"/>
                <w:szCs w:val="22"/>
              </w:rPr>
            </w:pPr>
            <w:bookmarkStart w:id="258" w:name="IDX23"/>
            <w:bookmarkEnd w:id="258"/>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A4D2D6" w14:textId="77777777" w:rsidR="00B77EA3" w:rsidRPr="0082484A" w:rsidRDefault="00B77EA3" w:rsidP="00B77EA3">
            <w:pPr>
              <w:autoSpaceDE w:val="0"/>
              <w:autoSpaceDN w:val="0"/>
              <w:adjustRightInd w:val="0"/>
              <w:spacing w:beforeLines="10" w:before="24" w:afterLines="10" w:after="24" w:line="240" w:lineRule="auto"/>
              <w:rPr>
                <w:rFonts w:eastAsia="Times New Roman"/>
                <w:bCs/>
                <w:sz w:val="22"/>
                <w:szCs w:val="22"/>
                <w:lang w:eastAsia="en-GB"/>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339105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F34C71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6C60C3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6CEFAB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75E2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E6CF75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558B11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03A7C2B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CDBB8C4"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644BE17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4E1556C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-0.008936</w:t>
            </w:r>
          </w:p>
        </w:tc>
        <w:tc>
          <w:tcPr>
            <w:tcW w:w="1134" w:type="dxa"/>
            <w:tcBorders>
              <w:top w:val="nil"/>
              <w:left w:val="nil"/>
              <w:bottom w:val="nil"/>
              <w:right w:val="nil"/>
            </w:tcBorders>
            <w:shd w:val="clear" w:color="auto" w:fill="FFFFFF"/>
            <w:tcMar>
              <w:left w:w="67" w:type="dxa"/>
              <w:right w:w="67" w:type="dxa"/>
            </w:tcMar>
            <w:vAlign w:val="center"/>
          </w:tcPr>
          <w:p w14:paraId="23AF64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0.0096</w:t>
            </w:r>
          </w:p>
        </w:tc>
        <w:tc>
          <w:tcPr>
            <w:tcW w:w="1134" w:type="dxa"/>
            <w:tcBorders>
              <w:top w:val="nil"/>
              <w:left w:val="nil"/>
              <w:bottom w:val="nil"/>
              <w:right w:val="nil"/>
            </w:tcBorders>
            <w:shd w:val="clear" w:color="auto" w:fill="FFFFFF"/>
            <w:tcMar>
              <w:left w:w="67" w:type="dxa"/>
              <w:right w:w="67" w:type="dxa"/>
            </w:tcMar>
            <w:vAlign w:val="center"/>
          </w:tcPr>
          <w:p w14:paraId="1AC038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-0.0312</w:t>
            </w:r>
          </w:p>
        </w:tc>
        <w:tc>
          <w:tcPr>
            <w:tcW w:w="1134" w:type="dxa"/>
            <w:tcBorders>
              <w:top w:val="nil"/>
              <w:left w:val="nil"/>
              <w:bottom w:val="nil"/>
              <w:right w:val="nil"/>
            </w:tcBorders>
            <w:shd w:val="clear" w:color="auto" w:fill="FFFFFF"/>
            <w:tcMar>
              <w:left w:w="67" w:type="dxa"/>
              <w:right w:w="67" w:type="dxa"/>
            </w:tcMar>
            <w:vAlign w:val="center"/>
          </w:tcPr>
          <w:p w14:paraId="5B336E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0.0134</w:t>
            </w:r>
          </w:p>
        </w:tc>
        <w:tc>
          <w:tcPr>
            <w:tcW w:w="1134" w:type="dxa"/>
            <w:tcBorders>
              <w:top w:val="nil"/>
              <w:left w:val="nil"/>
              <w:bottom w:val="nil"/>
              <w:right w:val="nil"/>
            </w:tcBorders>
            <w:shd w:val="clear" w:color="auto" w:fill="FFFFFF"/>
            <w:tcMar>
              <w:left w:w="67" w:type="dxa"/>
              <w:right w:w="67" w:type="dxa"/>
            </w:tcMar>
            <w:vAlign w:val="center"/>
          </w:tcPr>
          <w:p w14:paraId="5F1DDA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0.86</w:t>
            </w:r>
          </w:p>
        </w:tc>
        <w:tc>
          <w:tcPr>
            <w:tcW w:w="567" w:type="dxa"/>
            <w:tcBorders>
              <w:top w:val="nil"/>
              <w:left w:val="nil"/>
              <w:bottom w:val="nil"/>
              <w:right w:val="nil"/>
            </w:tcBorders>
            <w:shd w:val="clear" w:color="auto" w:fill="FFFFFF"/>
            <w:tcMar>
              <w:left w:w="67" w:type="dxa"/>
              <w:right w:w="67" w:type="dxa"/>
            </w:tcMar>
            <w:vAlign w:val="center"/>
          </w:tcPr>
          <w:p w14:paraId="175800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60E0A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0.3588</w:t>
            </w:r>
          </w:p>
        </w:tc>
      </w:tr>
      <w:tr w:rsidR="00B77EA3" w:rsidRPr="0082484A" w14:paraId="04C53EE8"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5E5FD29"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732DF27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4BAF67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-0.000308</w:t>
            </w:r>
          </w:p>
        </w:tc>
        <w:tc>
          <w:tcPr>
            <w:tcW w:w="1134" w:type="dxa"/>
            <w:tcBorders>
              <w:top w:val="nil"/>
              <w:left w:val="nil"/>
              <w:bottom w:val="nil"/>
              <w:right w:val="nil"/>
            </w:tcBorders>
            <w:shd w:val="clear" w:color="auto" w:fill="FFFFFF"/>
            <w:tcMar>
              <w:left w:w="67" w:type="dxa"/>
              <w:right w:w="67" w:type="dxa"/>
            </w:tcMar>
            <w:vAlign w:val="center"/>
          </w:tcPr>
          <w:p w14:paraId="538E71E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AB54F2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38A9DA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nil"/>
              <w:right w:val="nil"/>
            </w:tcBorders>
            <w:shd w:val="clear" w:color="auto" w:fill="FFFFFF"/>
            <w:tcMar>
              <w:left w:w="67" w:type="dxa"/>
              <w:right w:w="67" w:type="dxa"/>
            </w:tcMar>
            <w:vAlign w:val="center"/>
          </w:tcPr>
          <w:p w14:paraId="673D3D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5.81</w:t>
            </w:r>
          </w:p>
        </w:tc>
        <w:tc>
          <w:tcPr>
            <w:tcW w:w="567" w:type="dxa"/>
            <w:tcBorders>
              <w:top w:val="nil"/>
              <w:left w:val="nil"/>
              <w:bottom w:val="nil"/>
              <w:right w:val="nil"/>
            </w:tcBorders>
            <w:shd w:val="clear" w:color="auto" w:fill="FFFFFF"/>
            <w:tcMar>
              <w:left w:w="67" w:type="dxa"/>
              <w:right w:w="67" w:type="dxa"/>
            </w:tcMar>
            <w:vAlign w:val="center"/>
          </w:tcPr>
          <w:p w14:paraId="337B971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75F0EB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0.0198</w:t>
            </w:r>
          </w:p>
        </w:tc>
      </w:tr>
      <w:tr w:rsidR="00B77EA3" w:rsidRPr="0082484A" w14:paraId="320A613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E0B006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71A68A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B2C7E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-0.015443</w:t>
            </w:r>
          </w:p>
        </w:tc>
        <w:tc>
          <w:tcPr>
            <w:tcW w:w="1134" w:type="dxa"/>
            <w:tcBorders>
              <w:top w:val="nil"/>
              <w:left w:val="nil"/>
              <w:bottom w:val="nil"/>
              <w:right w:val="nil"/>
            </w:tcBorders>
            <w:shd w:val="clear" w:color="auto" w:fill="FFFFFF"/>
            <w:tcMar>
              <w:left w:w="67" w:type="dxa"/>
              <w:right w:w="67" w:type="dxa"/>
            </w:tcMar>
            <w:vAlign w:val="center"/>
          </w:tcPr>
          <w:p w14:paraId="34F8B77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0.0228</w:t>
            </w:r>
          </w:p>
        </w:tc>
        <w:tc>
          <w:tcPr>
            <w:tcW w:w="1134" w:type="dxa"/>
            <w:tcBorders>
              <w:top w:val="nil"/>
              <w:left w:val="nil"/>
              <w:bottom w:val="nil"/>
              <w:right w:val="nil"/>
            </w:tcBorders>
            <w:shd w:val="clear" w:color="auto" w:fill="FFFFFF"/>
            <w:tcMar>
              <w:left w:w="67" w:type="dxa"/>
              <w:right w:w="67" w:type="dxa"/>
            </w:tcMar>
            <w:vAlign w:val="center"/>
          </w:tcPr>
          <w:p w14:paraId="44A3F9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-0.0681</w:t>
            </w:r>
          </w:p>
        </w:tc>
        <w:tc>
          <w:tcPr>
            <w:tcW w:w="1134" w:type="dxa"/>
            <w:tcBorders>
              <w:top w:val="nil"/>
              <w:left w:val="nil"/>
              <w:bottom w:val="nil"/>
              <w:right w:val="nil"/>
            </w:tcBorders>
            <w:shd w:val="clear" w:color="auto" w:fill="FFFFFF"/>
            <w:tcMar>
              <w:left w:w="67" w:type="dxa"/>
              <w:right w:w="67" w:type="dxa"/>
            </w:tcMar>
            <w:vAlign w:val="center"/>
          </w:tcPr>
          <w:p w14:paraId="61BA7F5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0.0372</w:t>
            </w:r>
          </w:p>
        </w:tc>
        <w:tc>
          <w:tcPr>
            <w:tcW w:w="1134" w:type="dxa"/>
            <w:tcBorders>
              <w:top w:val="nil"/>
              <w:left w:val="nil"/>
              <w:bottom w:val="nil"/>
              <w:right w:val="nil"/>
            </w:tcBorders>
            <w:shd w:val="clear" w:color="auto" w:fill="FFFFFF"/>
            <w:tcMar>
              <w:left w:w="67" w:type="dxa"/>
              <w:right w:w="67" w:type="dxa"/>
            </w:tcMar>
            <w:vAlign w:val="center"/>
          </w:tcPr>
          <w:p w14:paraId="4AB3B5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3.08</w:t>
            </w:r>
          </w:p>
        </w:tc>
        <w:tc>
          <w:tcPr>
            <w:tcW w:w="567" w:type="dxa"/>
            <w:tcBorders>
              <w:top w:val="nil"/>
              <w:left w:val="nil"/>
              <w:bottom w:val="nil"/>
              <w:right w:val="nil"/>
            </w:tcBorders>
            <w:shd w:val="clear" w:color="auto" w:fill="FFFFFF"/>
            <w:tcMar>
              <w:left w:w="67" w:type="dxa"/>
              <w:right w:w="67" w:type="dxa"/>
            </w:tcMar>
            <w:vAlign w:val="center"/>
          </w:tcPr>
          <w:p w14:paraId="6B4A80A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35765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0.0070</w:t>
            </w:r>
          </w:p>
        </w:tc>
      </w:tr>
      <w:tr w:rsidR="00B77EA3" w:rsidRPr="0082484A" w14:paraId="769419A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33F705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C6784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00103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-0.043146</w:t>
            </w:r>
          </w:p>
        </w:tc>
        <w:tc>
          <w:tcPr>
            <w:tcW w:w="1134" w:type="dxa"/>
            <w:tcBorders>
              <w:top w:val="nil"/>
              <w:left w:val="nil"/>
              <w:bottom w:val="nil"/>
              <w:right w:val="nil"/>
            </w:tcBorders>
            <w:shd w:val="clear" w:color="auto" w:fill="FFFFFF"/>
            <w:tcMar>
              <w:left w:w="67" w:type="dxa"/>
              <w:right w:w="67" w:type="dxa"/>
            </w:tcMar>
            <w:vAlign w:val="center"/>
          </w:tcPr>
          <w:p w14:paraId="31E1B97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0.0192</w:t>
            </w:r>
          </w:p>
        </w:tc>
        <w:tc>
          <w:tcPr>
            <w:tcW w:w="1134" w:type="dxa"/>
            <w:tcBorders>
              <w:top w:val="nil"/>
              <w:left w:val="nil"/>
              <w:bottom w:val="nil"/>
              <w:right w:val="nil"/>
            </w:tcBorders>
            <w:shd w:val="clear" w:color="auto" w:fill="FFFFFF"/>
            <w:tcMar>
              <w:left w:w="67" w:type="dxa"/>
              <w:right w:w="67" w:type="dxa"/>
            </w:tcMar>
            <w:vAlign w:val="center"/>
          </w:tcPr>
          <w:p w14:paraId="3B94F81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-0.0877</w:t>
            </w:r>
          </w:p>
        </w:tc>
        <w:tc>
          <w:tcPr>
            <w:tcW w:w="1134" w:type="dxa"/>
            <w:tcBorders>
              <w:top w:val="nil"/>
              <w:left w:val="nil"/>
              <w:bottom w:val="nil"/>
              <w:right w:val="nil"/>
            </w:tcBorders>
            <w:shd w:val="clear" w:color="auto" w:fill="FFFFFF"/>
            <w:tcMar>
              <w:left w:w="67" w:type="dxa"/>
              <w:right w:w="67" w:type="dxa"/>
            </w:tcMar>
            <w:vAlign w:val="center"/>
          </w:tcPr>
          <w:p w14:paraId="5CFDD5A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10FB59D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B1661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1A65EE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96C095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AAA573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3E1CB59"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8430F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0.013920</w:t>
            </w:r>
          </w:p>
        </w:tc>
        <w:tc>
          <w:tcPr>
            <w:tcW w:w="1134" w:type="dxa"/>
            <w:tcBorders>
              <w:top w:val="nil"/>
              <w:left w:val="nil"/>
              <w:bottom w:val="nil"/>
              <w:right w:val="nil"/>
            </w:tcBorders>
            <w:shd w:val="clear" w:color="auto" w:fill="FFFFFF"/>
            <w:tcMar>
              <w:left w:w="67" w:type="dxa"/>
              <w:right w:w="67" w:type="dxa"/>
            </w:tcMar>
            <w:vAlign w:val="center"/>
          </w:tcPr>
          <w:p w14:paraId="6FC0A4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0.0209</w:t>
            </w:r>
          </w:p>
        </w:tc>
        <w:tc>
          <w:tcPr>
            <w:tcW w:w="1134" w:type="dxa"/>
            <w:tcBorders>
              <w:top w:val="nil"/>
              <w:left w:val="nil"/>
              <w:bottom w:val="nil"/>
              <w:right w:val="nil"/>
            </w:tcBorders>
            <w:shd w:val="clear" w:color="auto" w:fill="FFFFFF"/>
            <w:tcMar>
              <w:left w:w="67" w:type="dxa"/>
              <w:right w:w="67" w:type="dxa"/>
            </w:tcMar>
            <w:vAlign w:val="center"/>
          </w:tcPr>
          <w:p w14:paraId="4C6FC0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-0.0343</w:t>
            </w:r>
          </w:p>
        </w:tc>
        <w:tc>
          <w:tcPr>
            <w:tcW w:w="1134" w:type="dxa"/>
            <w:tcBorders>
              <w:top w:val="nil"/>
              <w:left w:val="nil"/>
              <w:bottom w:val="nil"/>
              <w:right w:val="nil"/>
            </w:tcBorders>
            <w:shd w:val="clear" w:color="auto" w:fill="FFFFFF"/>
            <w:tcMar>
              <w:left w:w="67" w:type="dxa"/>
              <w:right w:w="67" w:type="dxa"/>
            </w:tcMar>
            <w:vAlign w:val="center"/>
          </w:tcPr>
          <w:p w14:paraId="76468F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0.0622</w:t>
            </w:r>
          </w:p>
        </w:tc>
        <w:tc>
          <w:tcPr>
            <w:tcW w:w="1134" w:type="dxa"/>
            <w:tcBorders>
              <w:top w:val="nil"/>
              <w:left w:val="nil"/>
              <w:bottom w:val="nil"/>
              <w:right w:val="nil"/>
            </w:tcBorders>
            <w:shd w:val="clear" w:color="auto" w:fill="FFFFFF"/>
            <w:tcMar>
              <w:left w:w="67" w:type="dxa"/>
              <w:right w:w="67" w:type="dxa"/>
            </w:tcMar>
            <w:vAlign w:val="center"/>
          </w:tcPr>
          <w:p w14:paraId="0C023B2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CA3613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2D4667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4782DA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0AF698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4715EB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C4AEB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-0.037412</w:t>
            </w:r>
          </w:p>
        </w:tc>
        <w:tc>
          <w:tcPr>
            <w:tcW w:w="1134" w:type="dxa"/>
            <w:tcBorders>
              <w:top w:val="nil"/>
              <w:left w:val="nil"/>
              <w:bottom w:val="nil"/>
              <w:right w:val="nil"/>
            </w:tcBorders>
            <w:shd w:val="clear" w:color="auto" w:fill="FFFFFF"/>
            <w:tcMar>
              <w:left w:w="67" w:type="dxa"/>
              <w:right w:w="67" w:type="dxa"/>
            </w:tcMar>
            <w:vAlign w:val="center"/>
          </w:tcPr>
          <w:p w14:paraId="713456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0.0198</w:t>
            </w:r>
          </w:p>
        </w:tc>
        <w:tc>
          <w:tcPr>
            <w:tcW w:w="1134" w:type="dxa"/>
            <w:tcBorders>
              <w:top w:val="nil"/>
              <w:left w:val="nil"/>
              <w:bottom w:val="nil"/>
              <w:right w:val="nil"/>
            </w:tcBorders>
            <w:shd w:val="clear" w:color="auto" w:fill="FFFFFF"/>
            <w:tcMar>
              <w:left w:w="67" w:type="dxa"/>
              <w:right w:w="67" w:type="dxa"/>
            </w:tcMar>
            <w:vAlign w:val="center"/>
          </w:tcPr>
          <w:p w14:paraId="7FD545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-0.0833</w:t>
            </w:r>
          </w:p>
        </w:tc>
        <w:tc>
          <w:tcPr>
            <w:tcW w:w="1134" w:type="dxa"/>
            <w:tcBorders>
              <w:top w:val="nil"/>
              <w:left w:val="nil"/>
              <w:bottom w:val="nil"/>
              <w:right w:val="nil"/>
            </w:tcBorders>
            <w:shd w:val="clear" w:color="auto" w:fill="FFFFFF"/>
            <w:tcMar>
              <w:left w:w="67" w:type="dxa"/>
              <w:right w:w="67" w:type="dxa"/>
            </w:tcMar>
            <w:vAlign w:val="center"/>
          </w:tcPr>
          <w:p w14:paraId="33D53C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0.0085</w:t>
            </w:r>
          </w:p>
        </w:tc>
        <w:tc>
          <w:tcPr>
            <w:tcW w:w="1134" w:type="dxa"/>
            <w:tcBorders>
              <w:top w:val="nil"/>
              <w:left w:val="nil"/>
              <w:bottom w:val="nil"/>
              <w:right w:val="nil"/>
            </w:tcBorders>
            <w:shd w:val="clear" w:color="auto" w:fill="FFFFFF"/>
            <w:tcMar>
              <w:left w:w="67" w:type="dxa"/>
              <w:right w:w="67" w:type="dxa"/>
            </w:tcMar>
            <w:vAlign w:val="center"/>
          </w:tcPr>
          <w:p w14:paraId="1674E1AE"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D028AC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593DC54"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D045C3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7D114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0D8D7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0F7F30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0.026322</w:t>
            </w:r>
          </w:p>
        </w:tc>
        <w:tc>
          <w:tcPr>
            <w:tcW w:w="1134" w:type="dxa"/>
            <w:tcBorders>
              <w:top w:val="nil"/>
              <w:left w:val="nil"/>
              <w:bottom w:val="nil"/>
              <w:right w:val="nil"/>
            </w:tcBorders>
            <w:shd w:val="clear" w:color="auto" w:fill="FFFFFF"/>
            <w:tcMar>
              <w:left w:w="67" w:type="dxa"/>
              <w:right w:w="67" w:type="dxa"/>
            </w:tcMar>
            <w:vAlign w:val="center"/>
          </w:tcPr>
          <w:p w14:paraId="6334331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0.0239</w:t>
            </w:r>
          </w:p>
        </w:tc>
        <w:tc>
          <w:tcPr>
            <w:tcW w:w="1134" w:type="dxa"/>
            <w:tcBorders>
              <w:top w:val="nil"/>
              <w:left w:val="nil"/>
              <w:bottom w:val="nil"/>
              <w:right w:val="nil"/>
            </w:tcBorders>
            <w:shd w:val="clear" w:color="auto" w:fill="FFFFFF"/>
            <w:tcMar>
              <w:left w:w="67" w:type="dxa"/>
              <w:right w:w="67" w:type="dxa"/>
            </w:tcMar>
            <w:vAlign w:val="center"/>
          </w:tcPr>
          <w:p w14:paraId="649976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-0.0290</w:t>
            </w:r>
          </w:p>
        </w:tc>
        <w:tc>
          <w:tcPr>
            <w:tcW w:w="1134" w:type="dxa"/>
            <w:tcBorders>
              <w:top w:val="nil"/>
              <w:left w:val="nil"/>
              <w:bottom w:val="nil"/>
              <w:right w:val="nil"/>
            </w:tcBorders>
            <w:shd w:val="clear" w:color="auto" w:fill="FFFFFF"/>
            <w:tcMar>
              <w:left w:w="67" w:type="dxa"/>
              <w:right w:w="67" w:type="dxa"/>
            </w:tcMar>
            <w:vAlign w:val="center"/>
          </w:tcPr>
          <w:p w14:paraId="6E655C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0.0817</w:t>
            </w:r>
          </w:p>
        </w:tc>
        <w:tc>
          <w:tcPr>
            <w:tcW w:w="1134" w:type="dxa"/>
            <w:tcBorders>
              <w:top w:val="nil"/>
              <w:left w:val="nil"/>
              <w:bottom w:val="nil"/>
              <w:right w:val="nil"/>
            </w:tcBorders>
            <w:shd w:val="clear" w:color="auto" w:fill="FFFFFF"/>
            <w:tcMar>
              <w:left w:w="67" w:type="dxa"/>
              <w:right w:w="67" w:type="dxa"/>
            </w:tcMar>
            <w:vAlign w:val="center"/>
          </w:tcPr>
          <w:p w14:paraId="41AA02C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23965AF"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EFEB8C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E2D945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B52E90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6C3526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E3CA8C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-0.030597</w:t>
            </w:r>
          </w:p>
        </w:tc>
        <w:tc>
          <w:tcPr>
            <w:tcW w:w="1134" w:type="dxa"/>
            <w:tcBorders>
              <w:top w:val="nil"/>
              <w:left w:val="nil"/>
              <w:bottom w:val="nil"/>
              <w:right w:val="nil"/>
            </w:tcBorders>
            <w:shd w:val="clear" w:color="auto" w:fill="FFFFFF"/>
            <w:tcMar>
              <w:left w:w="67" w:type="dxa"/>
              <w:right w:w="67" w:type="dxa"/>
            </w:tcMar>
            <w:vAlign w:val="center"/>
          </w:tcPr>
          <w:p w14:paraId="5823F4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0.0189</w:t>
            </w:r>
          </w:p>
        </w:tc>
        <w:tc>
          <w:tcPr>
            <w:tcW w:w="1134" w:type="dxa"/>
            <w:tcBorders>
              <w:top w:val="nil"/>
              <w:left w:val="nil"/>
              <w:bottom w:val="nil"/>
              <w:right w:val="nil"/>
            </w:tcBorders>
            <w:shd w:val="clear" w:color="auto" w:fill="FFFFFF"/>
            <w:tcMar>
              <w:left w:w="67" w:type="dxa"/>
              <w:right w:w="67" w:type="dxa"/>
            </w:tcMar>
            <w:vAlign w:val="center"/>
          </w:tcPr>
          <w:p w14:paraId="76649F0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-0.0743</w:t>
            </w:r>
          </w:p>
        </w:tc>
        <w:tc>
          <w:tcPr>
            <w:tcW w:w="1134" w:type="dxa"/>
            <w:tcBorders>
              <w:top w:val="nil"/>
              <w:left w:val="nil"/>
              <w:bottom w:val="nil"/>
              <w:right w:val="nil"/>
            </w:tcBorders>
            <w:shd w:val="clear" w:color="auto" w:fill="FFFFFF"/>
            <w:tcMar>
              <w:left w:w="67" w:type="dxa"/>
              <w:right w:w="67" w:type="dxa"/>
            </w:tcMar>
            <w:vAlign w:val="center"/>
          </w:tcPr>
          <w:p w14:paraId="0D36FB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0.0131</w:t>
            </w:r>
          </w:p>
        </w:tc>
        <w:tc>
          <w:tcPr>
            <w:tcW w:w="1134" w:type="dxa"/>
            <w:tcBorders>
              <w:top w:val="nil"/>
              <w:left w:val="nil"/>
              <w:bottom w:val="nil"/>
              <w:right w:val="nil"/>
            </w:tcBorders>
            <w:shd w:val="clear" w:color="auto" w:fill="FFFFFF"/>
            <w:tcMar>
              <w:left w:w="67" w:type="dxa"/>
              <w:right w:w="67" w:type="dxa"/>
            </w:tcMar>
            <w:vAlign w:val="center"/>
          </w:tcPr>
          <w:p w14:paraId="11651E5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F48BEE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D1581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DA4DF6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5A1B97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854992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83D98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0.028446</w:t>
            </w:r>
          </w:p>
        </w:tc>
        <w:tc>
          <w:tcPr>
            <w:tcW w:w="1134" w:type="dxa"/>
            <w:tcBorders>
              <w:top w:val="nil"/>
              <w:left w:val="nil"/>
              <w:bottom w:val="nil"/>
              <w:right w:val="nil"/>
            </w:tcBorders>
            <w:shd w:val="clear" w:color="auto" w:fill="FFFFFF"/>
            <w:tcMar>
              <w:left w:w="67" w:type="dxa"/>
              <w:right w:w="67" w:type="dxa"/>
            </w:tcMar>
            <w:vAlign w:val="center"/>
          </w:tcPr>
          <w:p w14:paraId="5D3D46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0.0186</w:t>
            </w:r>
          </w:p>
        </w:tc>
        <w:tc>
          <w:tcPr>
            <w:tcW w:w="1134" w:type="dxa"/>
            <w:tcBorders>
              <w:top w:val="nil"/>
              <w:left w:val="nil"/>
              <w:bottom w:val="nil"/>
              <w:right w:val="nil"/>
            </w:tcBorders>
            <w:shd w:val="clear" w:color="auto" w:fill="FFFFFF"/>
            <w:tcMar>
              <w:left w:w="67" w:type="dxa"/>
              <w:right w:w="67" w:type="dxa"/>
            </w:tcMar>
            <w:vAlign w:val="center"/>
          </w:tcPr>
          <w:p w14:paraId="12C0753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-0.0146</w:t>
            </w:r>
          </w:p>
        </w:tc>
        <w:tc>
          <w:tcPr>
            <w:tcW w:w="1134" w:type="dxa"/>
            <w:tcBorders>
              <w:top w:val="nil"/>
              <w:left w:val="nil"/>
              <w:bottom w:val="nil"/>
              <w:right w:val="nil"/>
            </w:tcBorders>
            <w:shd w:val="clear" w:color="auto" w:fill="FFFFFF"/>
            <w:tcMar>
              <w:left w:w="67" w:type="dxa"/>
              <w:right w:w="67" w:type="dxa"/>
            </w:tcMar>
            <w:vAlign w:val="center"/>
          </w:tcPr>
          <w:p w14:paraId="7C5C81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0.0715</w:t>
            </w:r>
          </w:p>
        </w:tc>
        <w:tc>
          <w:tcPr>
            <w:tcW w:w="1134" w:type="dxa"/>
            <w:tcBorders>
              <w:top w:val="nil"/>
              <w:left w:val="nil"/>
              <w:bottom w:val="nil"/>
              <w:right w:val="nil"/>
            </w:tcBorders>
            <w:shd w:val="clear" w:color="auto" w:fill="FFFFFF"/>
            <w:tcMar>
              <w:left w:w="67" w:type="dxa"/>
              <w:right w:w="67" w:type="dxa"/>
            </w:tcMar>
            <w:vAlign w:val="center"/>
          </w:tcPr>
          <w:p w14:paraId="03EEC37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CC9CE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9ABC4A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AC09EC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91BB2B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6A2C0D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CCD97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0.011808</w:t>
            </w:r>
          </w:p>
        </w:tc>
        <w:tc>
          <w:tcPr>
            <w:tcW w:w="1134" w:type="dxa"/>
            <w:tcBorders>
              <w:top w:val="nil"/>
              <w:left w:val="nil"/>
              <w:bottom w:val="nil"/>
              <w:right w:val="nil"/>
            </w:tcBorders>
            <w:shd w:val="clear" w:color="auto" w:fill="FFFFFF"/>
            <w:tcMar>
              <w:left w:w="67" w:type="dxa"/>
              <w:right w:w="67" w:type="dxa"/>
            </w:tcMar>
            <w:vAlign w:val="center"/>
          </w:tcPr>
          <w:p w14:paraId="662F8E1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0.0190</w:t>
            </w:r>
          </w:p>
        </w:tc>
        <w:tc>
          <w:tcPr>
            <w:tcW w:w="1134" w:type="dxa"/>
            <w:tcBorders>
              <w:top w:val="nil"/>
              <w:left w:val="nil"/>
              <w:bottom w:val="nil"/>
              <w:right w:val="nil"/>
            </w:tcBorders>
            <w:shd w:val="clear" w:color="auto" w:fill="FFFFFF"/>
            <w:tcMar>
              <w:left w:w="67" w:type="dxa"/>
              <w:right w:w="67" w:type="dxa"/>
            </w:tcMar>
            <w:vAlign w:val="center"/>
          </w:tcPr>
          <w:p w14:paraId="496A27F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-0.0321</w:t>
            </w:r>
          </w:p>
        </w:tc>
        <w:tc>
          <w:tcPr>
            <w:tcW w:w="1134" w:type="dxa"/>
            <w:tcBorders>
              <w:top w:val="nil"/>
              <w:left w:val="nil"/>
              <w:bottom w:val="nil"/>
              <w:right w:val="nil"/>
            </w:tcBorders>
            <w:shd w:val="clear" w:color="auto" w:fill="FFFFFF"/>
            <w:tcMar>
              <w:left w:w="67" w:type="dxa"/>
              <w:right w:w="67" w:type="dxa"/>
            </w:tcMar>
            <w:vAlign w:val="center"/>
          </w:tcPr>
          <w:p w14:paraId="088D4B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0.0557</w:t>
            </w:r>
          </w:p>
        </w:tc>
        <w:tc>
          <w:tcPr>
            <w:tcW w:w="1134" w:type="dxa"/>
            <w:tcBorders>
              <w:top w:val="nil"/>
              <w:left w:val="nil"/>
              <w:bottom w:val="nil"/>
              <w:right w:val="nil"/>
            </w:tcBorders>
            <w:shd w:val="clear" w:color="auto" w:fill="FFFFFF"/>
            <w:tcMar>
              <w:left w:w="67" w:type="dxa"/>
              <w:right w:w="67" w:type="dxa"/>
            </w:tcMar>
            <w:vAlign w:val="center"/>
          </w:tcPr>
          <w:p w14:paraId="2F8B2DD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96A2EB5"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98E7F9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67C229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A987F4D"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5758979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CBC8E4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-0.000744</w:t>
            </w:r>
          </w:p>
        </w:tc>
        <w:tc>
          <w:tcPr>
            <w:tcW w:w="1134" w:type="dxa"/>
            <w:tcBorders>
              <w:top w:val="nil"/>
              <w:left w:val="nil"/>
              <w:bottom w:val="nil"/>
              <w:right w:val="nil"/>
            </w:tcBorders>
            <w:shd w:val="clear" w:color="auto" w:fill="FFFFFF"/>
            <w:tcMar>
              <w:left w:w="67" w:type="dxa"/>
              <w:right w:w="67" w:type="dxa"/>
            </w:tcMar>
            <w:vAlign w:val="center"/>
          </w:tcPr>
          <w:p w14:paraId="68AA9DB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74708B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-0.0021</w:t>
            </w:r>
          </w:p>
        </w:tc>
        <w:tc>
          <w:tcPr>
            <w:tcW w:w="1134" w:type="dxa"/>
            <w:tcBorders>
              <w:top w:val="nil"/>
              <w:left w:val="nil"/>
              <w:bottom w:val="nil"/>
              <w:right w:val="nil"/>
            </w:tcBorders>
            <w:shd w:val="clear" w:color="auto" w:fill="FFFFFF"/>
            <w:tcMar>
              <w:left w:w="67" w:type="dxa"/>
              <w:right w:w="67" w:type="dxa"/>
            </w:tcMar>
            <w:vAlign w:val="center"/>
          </w:tcPr>
          <w:p w14:paraId="1C97610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7672787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1.54</w:t>
            </w:r>
          </w:p>
        </w:tc>
        <w:tc>
          <w:tcPr>
            <w:tcW w:w="567" w:type="dxa"/>
            <w:tcBorders>
              <w:top w:val="nil"/>
              <w:left w:val="nil"/>
              <w:bottom w:val="nil"/>
              <w:right w:val="nil"/>
            </w:tcBorders>
            <w:shd w:val="clear" w:color="auto" w:fill="FFFFFF"/>
            <w:tcMar>
              <w:left w:w="67" w:type="dxa"/>
              <w:right w:w="67" w:type="dxa"/>
            </w:tcMar>
            <w:vAlign w:val="center"/>
          </w:tcPr>
          <w:p w14:paraId="2085A55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22592C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0.2214</w:t>
            </w:r>
          </w:p>
        </w:tc>
      </w:tr>
      <w:tr w:rsidR="00B77EA3" w:rsidRPr="0082484A" w14:paraId="06F26F82"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34826AA"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120034D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CF87B0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0.002767</w:t>
            </w:r>
          </w:p>
        </w:tc>
        <w:tc>
          <w:tcPr>
            <w:tcW w:w="1134" w:type="dxa"/>
            <w:tcBorders>
              <w:top w:val="nil"/>
              <w:left w:val="nil"/>
              <w:bottom w:val="nil"/>
              <w:right w:val="nil"/>
            </w:tcBorders>
            <w:shd w:val="clear" w:color="auto" w:fill="FFFFFF"/>
            <w:tcMar>
              <w:left w:w="67" w:type="dxa"/>
              <w:right w:w="67" w:type="dxa"/>
            </w:tcMar>
            <w:vAlign w:val="center"/>
          </w:tcPr>
          <w:p w14:paraId="539430E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w:t>
            </w:r>
          </w:p>
        </w:tc>
        <w:tc>
          <w:tcPr>
            <w:tcW w:w="1134" w:type="dxa"/>
            <w:tcBorders>
              <w:top w:val="nil"/>
              <w:left w:val="nil"/>
              <w:bottom w:val="nil"/>
              <w:right w:val="nil"/>
            </w:tcBorders>
            <w:shd w:val="clear" w:color="auto" w:fill="FFFFFF"/>
            <w:tcMar>
              <w:left w:w="67" w:type="dxa"/>
              <w:right w:w="67" w:type="dxa"/>
            </w:tcMar>
            <w:vAlign w:val="center"/>
          </w:tcPr>
          <w:p w14:paraId="7724EF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5F0C81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0.0046</w:t>
            </w:r>
          </w:p>
        </w:tc>
        <w:tc>
          <w:tcPr>
            <w:tcW w:w="1134" w:type="dxa"/>
            <w:tcBorders>
              <w:top w:val="nil"/>
              <w:left w:val="nil"/>
              <w:bottom w:val="nil"/>
              <w:right w:val="nil"/>
            </w:tcBorders>
            <w:shd w:val="clear" w:color="auto" w:fill="FFFFFF"/>
            <w:tcMar>
              <w:left w:w="67" w:type="dxa"/>
              <w:right w:w="67" w:type="dxa"/>
            </w:tcMar>
            <w:vAlign w:val="center"/>
          </w:tcPr>
          <w:p w14:paraId="7DCE969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12.18</w:t>
            </w:r>
          </w:p>
        </w:tc>
        <w:tc>
          <w:tcPr>
            <w:tcW w:w="567" w:type="dxa"/>
            <w:tcBorders>
              <w:top w:val="nil"/>
              <w:left w:val="nil"/>
              <w:bottom w:val="nil"/>
              <w:right w:val="nil"/>
            </w:tcBorders>
            <w:shd w:val="clear" w:color="auto" w:fill="FFFFFF"/>
            <w:tcMar>
              <w:left w:w="67" w:type="dxa"/>
              <w:right w:w="67" w:type="dxa"/>
            </w:tcMar>
            <w:vAlign w:val="center"/>
          </w:tcPr>
          <w:p w14:paraId="797487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8DBF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0.0010</w:t>
            </w:r>
          </w:p>
        </w:tc>
      </w:tr>
      <w:tr w:rsidR="00B77EA3" w:rsidRPr="0082484A" w14:paraId="6A7AECF5"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DAC8E38"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7FD8B276"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7435A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0.000866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E04B5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5C61D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C5DDE0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81B4C9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15.72</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A572B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D261ED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r>
    </w:tbl>
    <w:p w14:paraId="08E169C5"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4AA35A38" w14:textId="21F37591" w:rsidR="00B77EA3" w:rsidRPr="0082484A" w:rsidRDefault="00B77EA3" w:rsidP="00B77EA3">
      <w:pPr>
        <w:spacing w:before="0" w:line="240" w:lineRule="auto"/>
        <w:rPr>
          <w:bCs/>
          <w:sz w:val="22"/>
          <w:szCs w:val="22"/>
        </w:rPr>
      </w:pPr>
      <w:bookmarkStart w:id="259" w:name="_Ref502918098"/>
      <w:bookmarkStart w:id="260" w:name="_Toc8728144"/>
      <w:bookmarkStart w:id="261" w:name="_Toc19526799"/>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70</w:t>
      </w:r>
      <w:r w:rsidRPr="0082484A">
        <w:rPr>
          <w:bCs/>
          <w:noProof/>
          <w:sz w:val="22"/>
          <w:szCs w:val="22"/>
        </w:rPr>
        <w:fldChar w:fldCharType="end"/>
      </w:r>
      <w:bookmarkEnd w:id="259"/>
      <w:r w:rsidRPr="0082484A">
        <w:rPr>
          <w:bCs/>
          <w:sz w:val="22"/>
          <w:szCs w:val="22"/>
        </w:rPr>
        <w:t>: Secondary outcome for Trial 2. Achievement of QOF indicator, ‘The percentage of patients with hypertension in whom the last blood pressure reading (measured in the preceding 12 months) is 150/90 mmHg or less’ (HYP006) (WP4a)</w:t>
      </w:r>
      <w:bookmarkEnd w:id="260"/>
      <w:bookmarkEnd w:id="261"/>
    </w:p>
    <w:tbl>
      <w:tblPr>
        <w:tblW w:w="14458"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567"/>
        <w:gridCol w:w="1134"/>
      </w:tblGrid>
      <w:tr w:rsidR="00B77EA3" w:rsidRPr="0082484A" w14:paraId="016AAD31"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7C90443" w14:textId="77777777" w:rsidR="00B77EA3" w:rsidRPr="0082484A" w:rsidRDefault="00B77EA3" w:rsidP="00B77EA3">
            <w:pPr>
              <w:spacing w:beforeLines="10" w:before="24" w:afterLines="10" w:after="24" w:line="240" w:lineRule="auto"/>
              <w:rPr>
                <w:bCs/>
                <w:sz w:val="22"/>
                <w:szCs w:val="22"/>
              </w:rPr>
            </w:pPr>
            <w:bookmarkStart w:id="262" w:name="IDX31"/>
            <w:bookmarkEnd w:id="262"/>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5B56A15" w14:textId="77777777" w:rsidR="00B77EA3" w:rsidRPr="0082484A" w:rsidRDefault="00B77EA3" w:rsidP="00B77EA3">
            <w:pPr>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BB3AFA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7655AA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654789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1A3E9B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84AD52C"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9E0C6D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F38CF0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2080E60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482D104"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59998AB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726AF1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0.008873</w:t>
            </w:r>
          </w:p>
        </w:tc>
        <w:tc>
          <w:tcPr>
            <w:tcW w:w="1134" w:type="dxa"/>
            <w:tcBorders>
              <w:top w:val="nil"/>
              <w:left w:val="nil"/>
              <w:bottom w:val="nil"/>
              <w:right w:val="nil"/>
            </w:tcBorders>
            <w:shd w:val="clear" w:color="auto" w:fill="FFFFFF"/>
            <w:tcMar>
              <w:left w:w="67" w:type="dxa"/>
              <w:right w:w="67" w:type="dxa"/>
            </w:tcMar>
            <w:vAlign w:val="center"/>
          </w:tcPr>
          <w:p w14:paraId="0BB930D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0.0108</w:t>
            </w:r>
          </w:p>
        </w:tc>
        <w:tc>
          <w:tcPr>
            <w:tcW w:w="1134" w:type="dxa"/>
            <w:tcBorders>
              <w:top w:val="nil"/>
              <w:left w:val="nil"/>
              <w:bottom w:val="nil"/>
              <w:right w:val="nil"/>
            </w:tcBorders>
            <w:shd w:val="clear" w:color="auto" w:fill="FFFFFF"/>
            <w:tcMar>
              <w:left w:w="67" w:type="dxa"/>
              <w:right w:w="67" w:type="dxa"/>
            </w:tcMar>
            <w:vAlign w:val="center"/>
          </w:tcPr>
          <w:p w14:paraId="5A93250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-0.0162</w:t>
            </w:r>
          </w:p>
        </w:tc>
        <w:tc>
          <w:tcPr>
            <w:tcW w:w="1134" w:type="dxa"/>
            <w:tcBorders>
              <w:top w:val="nil"/>
              <w:left w:val="nil"/>
              <w:bottom w:val="nil"/>
              <w:right w:val="nil"/>
            </w:tcBorders>
            <w:shd w:val="clear" w:color="auto" w:fill="FFFFFF"/>
            <w:tcMar>
              <w:left w:w="67" w:type="dxa"/>
              <w:right w:w="67" w:type="dxa"/>
            </w:tcMar>
            <w:vAlign w:val="center"/>
          </w:tcPr>
          <w:p w14:paraId="5A0092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0.0339</w:t>
            </w:r>
          </w:p>
        </w:tc>
        <w:tc>
          <w:tcPr>
            <w:tcW w:w="1134" w:type="dxa"/>
            <w:tcBorders>
              <w:top w:val="nil"/>
              <w:left w:val="nil"/>
              <w:bottom w:val="nil"/>
              <w:right w:val="nil"/>
            </w:tcBorders>
            <w:shd w:val="clear" w:color="auto" w:fill="FFFFFF"/>
            <w:tcMar>
              <w:left w:w="67" w:type="dxa"/>
              <w:right w:w="67" w:type="dxa"/>
            </w:tcMar>
            <w:vAlign w:val="center"/>
          </w:tcPr>
          <w:p w14:paraId="6312557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0.67</w:t>
            </w:r>
          </w:p>
        </w:tc>
        <w:tc>
          <w:tcPr>
            <w:tcW w:w="567" w:type="dxa"/>
            <w:tcBorders>
              <w:top w:val="nil"/>
              <w:left w:val="nil"/>
              <w:bottom w:val="nil"/>
              <w:right w:val="nil"/>
            </w:tcBorders>
            <w:shd w:val="clear" w:color="auto" w:fill="FFFFFF"/>
            <w:tcMar>
              <w:left w:w="67" w:type="dxa"/>
              <w:right w:w="67" w:type="dxa"/>
            </w:tcMar>
            <w:vAlign w:val="center"/>
          </w:tcPr>
          <w:p w14:paraId="516559E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3691B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0.4162</w:t>
            </w:r>
          </w:p>
        </w:tc>
      </w:tr>
      <w:tr w:rsidR="00B77EA3" w:rsidRPr="0082484A" w14:paraId="0FC2238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C06995B"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7435EB9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39C985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-0.000337</w:t>
            </w:r>
          </w:p>
        </w:tc>
        <w:tc>
          <w:tcPr>
            <w:tcW w:w="1134" w:type="dxa"/>
            <w:tcBorders>
              <w:top w:val="nil"/>
              <w:left w:val="nil"/>
              <w:bottom w:val="nil"/>
              <w:right w:val="nil"/>
            </w:tcBorders>
            <w:shd w:val="clear" w:color="auto" w:fill="FFFFFF"/>
            <w:tcMar>
              <w:left w:w="67" w:type="dxa"/>
              <w:right w:w="67" w:type="dxa"/>
            </w:tcMar>
            <w:vAlign w:val="center"/>
          </w:tcPr>
          <w:p w14:paraId="398C0A6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4C780D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34A4F9C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w:t>
            </w:r>
          </w:p>
        </w:tc>
        <w:tc>
          <w:tcPr>
            <w:tcW w:w="1134" w:type="dxa"/>
            <w:tcBorders>
              <w:top w:val="nil"/>
              <w:left w:val="nil"/>
              <w:bottom w:val="nil"/>
              <w:right w:val="nil"/>
            </w:tcBorders>
            <w:shd w:val="clear" w:color="auto" w:fill="FFFFFF"/>
            <w:tcMar>
              <w:left w:w="67" w:type="dxa"/>
              <w:right w:w="67" w:type="dxa"/>
            </w:tcMar>
            <w:vAlign w:val="center"/>
          </w:tcPr>
          <w:p w14:paraId="381031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5.53</w:t>
            </w:r>
          </w:p>
        </w:tc>
        <w:tc>
          <w:tcPr>
            <w:tcW w:w="567" w:type="dxa"/>
            <w:tcBorders>
              <w:top w:val="nil"/>
              <w:left w:val="nil"/>
              <w:bottom w:val="nil"/>
              <w:right w:val="nil"/>
            </w:tcBorders>
            <w:shd w:val="clear" w:color="auto" w:fill="FFFFFF"/>
            <w:tcMar>
              <w:left w:w="67" w:type="dxa"/>
              <w:right w:w="67" w:type="dxa"/>
            </w:tcMar>
            <w:vAlign w:val="center"/>
          </w:tcPr>
          <w:p w14:paraId="6058F0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F01B67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0.0229</w:t>
            </w:r>
          </w:p>
        </w:tc>
      </w:tr>
      <w:tr w:rsidR="00B77EA3" w:rsidRPr="0082484A" w14:paraId="1EEFB64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5DA27F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D3C2FD5"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903D6F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0.013038</w:t>
            </w:r>
          </w:p>
        </w:tc>
        <w:tc>
          <w:tcPr>
            <w:tcW w:w="1134" w:type="dxa"/>
            <w:tcBorders>
              <w:top w:val="nil"/>
              <w:left w:val="nil"/>
              <w:bottom w:val="nil"/>
              <w:right w:val="nil"/>
            </w:tcBorders>
            <w:shd w:val="clear" w:color="auto" w:fill="FFFFFF"/>
            <w:tcMar>
              <w:left w:w="67" w:type="dxa"/>
              <w:right w:w="67" w:type="dxa"/>
            </w:tcMar>
            <w:vAlign w:val="center"/>
          </w:tcPr>
          <w:p w14:paraId="3359D0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0.0255</w:t>
            </w:r>
          </w:p>
        </w:tc>
        <w:tc>
          <w:tcPr>
            <w:tcW w:w="1134" w:type="dxa"/>
            <w:tcBorders>
              <w:top w:val="nil"/>
              <w:left w:val="nil"/>
              <w:bottom w:val="nil"/>
              <w:right w:val="nil"/>
            </w:tcBorders>
            <w:shd w:val="clear" w:color="auto" w:fill="FFFFFF"/>
            <w:tcMar>
              <w:left w:w="67" w:type="dxa"/>
              <w:right w:w="67" w:type="dxa"/>
            </w:tcMar>
            <w:vAlign w:val="center"/>
          </w:tcPr>
          <w:p w14:paraId="1795A0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-0.0460</w:t>
            </w:r>
          </w:p>
        </w:tc>
        <w:tc>
          <w:tcPr>
            <w:tcW w:w="1134" w:type="dxa"/>
            <w:tcBorders>
              <w:top w:val="nil"/>
              <w:left w:val="nil"/>
              <w:bottom w:val="nil"/>
              <w:right w:val="nil"/>
            </w:tcBorders>
            <w:shd w:val="clear" w:color="auto" w:fill="FFFFFF"/>
            <w:tcMar>
              <w:left w:w="67" w:type="dxa"/>
              <w:right w:w="67" w:type="dxa"/>
            </w:tcMar>
            <w:vAlign w:val="center"/>
          </w:tcPr>
          <w:p w14:paraId="6242E13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0.0721</w:t>
            </w:r>
          </w:p>
        </w:tc>
        <w:tc>
          <w:tcPr>
            <w:tcW w:w="1134" w:type="dxa"/>
            <w:tcBorders>
              <w:top w:val="nil"/>
              <w:left w:val="nil"/>
              <w:bottom w:val="nil"/>
              <w:right w:val="nil"/>
            </w:tcBorders>
            <w:shd w:val="clear" w:color="auto" w:fill="FFFFFF"/>
            <w:tcMar>
              <w:left w:w="67" w:type="dxa"/>
              <w:right w:w="67" w:type="dxa"/>
            </w:tcMar>
            <w:vAlign w:val="center"/>
          </w:tcPr>
          <w:p w14:paraId="3AC80F2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3.35</w:t>
            </w:r>
          </w:p>
        </w:tc>
        <w:tc>
          <w:tcPr>
            <w:tcW w:w="567" w:type="dxa"/>
            <w:tcBorders>
              <w:top w:val="nil"/>
              <w:left w:val="nil"/>
              <w:bottom w:val="nil"/>
              <w:right w:val="nil"/>
            </w:tcBorders>
            <w:shd w:val="clear" w:color="auto" w:fill="FFFFFF"/>
            <w:tcMar>
              <w:left w:w="67" w:type="dxa"/>
              <w:right w:w="67" w:type="dxa"/>
            </w:tcMar>
            <w:vAlign w:val="center"/>
          </w:tcPr>
          <w:p w14:paraId="27F9CF7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97E31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0.0040</w:t>
            </w:r>
          </w:p>
        </w:tc>
      </w:tr>
      <w:tr w:rsidR="00B77EA3" w:rsidRPr="0082484A" w14:paraId="3B82B03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D31BD1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82F93F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44B38C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-0.065845</w:t>
            </w:r>
          </w:p>
        </w:tc>
        <w:tc>
          <w:tcPr>
            <w:tcW w:w="1134" w:type="dxa"/>
            <w:tcBorders>
              <w:top w:val="nil"/>
              <w:left w:val="nil"/>
              <w:bottom w:val="nil"/>
              <w:right w:val="nil"/>
            </w:tcBorders>
            <w:shd w:val="clear" w:color="auto" w:fill="FFFFFF"/>
            <w:tcMar>
              <w:left w:w="67" w:type="dxa"/>
              <w:right w:w="67" w:type="dxa"/>
            </w:tcMar>
            <w:vAlign w:val="center"/>
          </w:tcPr>
          <w:p w14:paraId="14CDF4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0.0216</w:t>
            </w:r>
          </w:p>
        </w:tc>
        <w:tc>
          <w:tcPr>
            <w:tcW w:w="1134" w:type="dxa"/>
            <w:tcBorders>
              <w:top w:val="nil"/>
              <w:left w:val="nil"/>
              <w:bottom w:val="nil"/>
              <w:right w:val="nil"/>
            </w:tcBorders>
            <w:shd w:val="clear" w:color="auto" w:fill="FFFFFF"/>
            <w:tcMar>
              <w:left w:w="67" w:type="dxa"/>
              <w:right w:w="67" w:type="dxa"/>
            </w:tcMar>
            <w:vAlign w:val="center"/>
          </w:tcPr>
          <w:p w14:paraId="3C39D84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-0.1158</w:t>
            </w:r>
          </w:p>
        </w:tc>
        <w:tc>
          <w:tcPr>
            <w:tcW w:w="1134" w:type="dxa"/>
            <w:tcBorders>
              <w:top w:val="nil"/>
              <w:left w:val="nil"/>
              <w:bottom w:val="nil"/>
              <w:right w:val="nil"/>
            </w:tcBorders>
            <w:shd w:val="clear" w:color="auto" w:fill="FFFFFF"/>
            <w:tcMar>
              <w:left w:w="67" w:type="dxa"/>
              <w:right w:w="67" w:type="dxa"/>
            </w:tcMar>
            <w:vAlign w:val="center"/>
          </w:tcPr>
          <w:p w14:paraId="122AEDC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-0.0159</w:t>
            </w:r>
          </w:p>
        </w:tc>
        <w:tc>
          <w:tcPr>
            <w:tcW w:w="1134" w:type="dxa"/>
            <w:tcBorders>
              <w:top w:val="nil"/>
              <w:left w:val="nil"/>
              <w:bottom w:val="nil"/>
              <w:right w:val="nil"/>
            </w:tcBorders>
            <w:shd w:val="clear" w:color="auto" w:fill="FFFFFF"/>
            <w:tcMar>
              <w:left w:w="67" w:type="dxa"/>
              <w:right w:w="67" w:type="dxa"/>
            </w:tcMar>
            <w:vAlign w:val="center"/>
          </w:tcPr>
          <w:p w14:paraId="13F0471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3E4948E"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323B27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E52DC5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FAEE2F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345949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F62388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0.031625</w:t>
            </w:r>
          </w:p>
        </w:tc>
        <w:tc>
          <w:tcPr>
            <w:tcW w:w="1134" w:type="dxa"/>
            <w:tcBorders>
              <w:top w:val="nil"/>
              <w:left w:val="nil"/>
              <w:bottom w:val="nil"/>
              <w:right w:val="nil"/>
            </w:tcBorders>
            <w:shd w:val="clear" w:color="auto" w:fill="FFFFFF"/>
            <w:tcMar>
              <w:left w:w="67" w:type="dxa"/>
              <w:right w:w="67" w:type="dxa"/>
            </w:tcMar>
            <w:vAlign w:val="center"/>
          </w:tcPr>
          <w:p w14:paraId="26204EF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0.0234</w:t>
            </w:r>
          </w:p>
        </w:tc>
        <w:tc>
          <w:tcPr>
            <w:tcW w:w="1134" w:type="dxa"/>
            <w:tcBorders>
              <w:top w:val="nil"/>
              <w:left w:val="nil"/>
              <w:bottom w:val="nil"/>
              <w:right w:val="nil"/>
            </w:tcBorders>
            <w:shd w:val="clear" w:color="auto" w:fill="FFFFFF"/>
            <w:tcMar>
              <w:left w:w="67" w:type="dxa"/>
              <w:right w:w="67" w:type="dxa"/>
            </w:tcMar>
            <w:vAlign w:val="center"/>
          </w:tcPr>
          <w:p w14:paraId="4081459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-0.0225</w:t>
            </w:r>
          </w:p>
        </w:tc>
        <w:tc>
          <w:tcPr>
            <w:tcW w:w="1134" w:type="dxa"/>
            <w:tcBorders>
              <w:top w:val="nil"/>
              <w:left w:val="nil"/>
              <w:bottom w:val="nil"/>
              <w:right w:val="nil"/>
            </w:tcBorders>
            <w:shd w:val="clear" w:color="auto" w:fill="FFFFFF"/>
            <w:tcMar>
              <w:left w:w="67" w:type="dxa"/>
              <w:right w:w="67" w:type="dxa"/>
            </w:tcMar>
            <w:vAlign w:val="center"/>
          </w:tcPr>
          <w:p w14:paraId="3A57D4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0.0858</w:t>
            </w:r>
          </w:p>
        </w:tc>
        <w:tc>
          <w:tcPr>
            <w:tcW w:w="1134" w:type="dxa"/>
            <w:tcBorders>
              <w:top w:val="nil"/>
              <w:left w:val="nil"/>
              <w:bottom w:val="nil"/>
              <w:right w:val="nil"/>
            </w:tcBorders>
            <w:shd w:val="clear" w:color="auto" w:fill="FFFFFF"/>
            <w:tcMar>
              <w:left w:w="67" w:type="dxa"/>
              <w:right w:w="67" w:type="dxa"/>
            </w:tcMar>
            <w:vAlign w:val="center"/>
          </w:tcPr>
          <w:p w14:paraId="567E1FC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F95497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D303AF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4832C93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BDAC6F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30F229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6AF75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-0.028702</w:t>
            </w:r>
          </w:p>
        </w:tc>
        <w:tc>
          <w:tcPr>
            <w:tcW w:w="1134" w:type="dxa"/>
            <w:tcBorders>
              <w:top w:val="nil"/>
              <w:left w:val="nil"/>
              <w:bottom w:val="nil"/>
              <w:right w:val="nil"/>
            </w:tcBorders>
            <w:shd w:val="clear" w:color="auto" w:fill="FFFFFF"/>
            <w:tcMar>
              <w:left w:w="67" w:type="dxa"/>
              <w:right w:w="67" w:type="dxa"/>
            </w:tcMar>
            <w:vAlign w:val="center"/>
          </w:tcPr>
          <w:p w14:paraId="04356D1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0.0222</w:t>
            </w:r>
          </w:p>
        </w:tc>
        <w:tc>
          <w:tcPr>
            <w:tcW w:w="1134" w:type="dxa"/>
            <w:tcBorders>
              <w:top w:val="nil"/>
              <w:left w:val="nil"/>
              <w:bottom w:val="nil"/>
              <w:right w:val="nil"/>
            </w:tcBorders>
            <w:shd w:val="clear" w:color="auto" w:fill="FFFFFF"/>
            <w:tcMar>
              <w:left w:w="67" w:type="dxa"/>
              <w:right w:w="67" w:type="dxa"/>
            </w:tcMar>
            <w:vAlign w:val="center"/>
          </w:tcPr>
          <w:p w14:paraId="10A5CC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-0.0802</w:t>
            </w:r>
          </w:p>
        </w:tc>
        <w:tc>
          <w:tcPr>
            <w:tcW w:w="1134" w:type="dxa"/>
            <w:tcBorders>
              <w:top w:val="nil"/>
              <w:left w:val="nil"/>
              <w:bottom w:val="nil"/>
              <w:right w:val="nil"/>
            </w:tcBorders>
            <w:shd w:val="clear" w:color="auto" w:fill="FFFFFF"/>
            <w:tcMar>
              <w:left w:w="67" w:type="dxa"/>
              <w:right w:w="67" w:type="dxa"/>
            </w:tcMar>
            <w:vAlign w:val="center"/>
          </w:tcPr>
          <w:p w14:paraId="439825C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0.0228</w:t>
            </w:r>
          </w:p>
        </w:tc>
        <w:tc>
          <w:tcPr>
            <w:tcW w:w="1134" w:type="dxa"/>
            <w:tcBorders>
              <w:top w:val="nil"/>
              <w:left w:val="nil"/>
              <w:bottom w:val="nil"/>
              <w:right w:val="nil"/>
            </w:tcBorders>
            <w:shd w:val="clear" w:color="auto" w:fill="FFFFFF"/>
            <w:tcMar>
              <w:left w:w="67" w:type="dxa"/>
              <w:right w:w="67" w:type="dxa"/>
            </w:tcMar>
            <w:vAlign w:val="center"/>
          </w:tcPr>
          <w:p w14:paraId="3EEF492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CD5ED3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5F9B8C9"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132A2A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F5E26C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A02C4C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7433B3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0.025128</w:t>
            </w:r>
          </w:p>
        </w:tc>
        <w:tc>
          <w:tcPr>
            <w:tcW w:w="1134" w:type="dxa"/>
            <w:tcBorders>
              <w:top w:val="nil"/>
              <w:left w:val="nil"/>
              <w:bottom w:val="nil"/>
              <w:right w:val="nil"/>
            </w:tcBorders>
            <w:shd w:val="clear" w:color="auto" w:fill="FFFFFF"/>
            <w:tcMar>
              <w:left w:w="67" w:type="dxa"/>
              <w:right w:w="67" w:type="dxa"/>
            </w:tcMar>
            <w:vAlign w:val="center"/>
          </w:tcPr>
          <w:p w14:paraId="094386A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0.0268</w:t>
            </w:r>
          </w:p>
        </w:tc>
        <w:tc>
          <w:tcPr>
            <w:tcW w:w="1134" w:type="dxa"/>
            <w:tcBorders>
              <w:top w:val="nil"/>
              <w:left w:val="nil"/>
              <w:bottom w:val="nil"/>
              <w:right w:val="nil"/>
            </w:tcBorders>
            <w:shd w:val="clear" w:color="auto" w:fill="FFFFFF"/>
            <w:tcMar>
              <w:left w:w="67" w:type="dxa"/>
              <w:right w:w="67" w:type="dxa"/>
            </w:tcMar>
            <w:vAlign w:val="center"/>
          </w:tcPr>
          <w:p w14:paraId="7E92383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-0.0370</w:t>
            </w:r>
          </w:p>
        </w:tc>
        <w:tc>
          <w:tcPr>
            <w:tcW w:w="1134" w:type="dxa"/>
            <w:tcBorders>
              <w:top w:val="nil"/>
              <w:left w:val="nil"/>
              <w:bottom w:val="nil"/>
              <w:right w:val="nil"/>
            </w:tcBorders>
            <w:shd w:val="clear" w:color="auto" w:fill="FFFFFF"/>
            <w:tcMar>
              <w:left w:w="67" w:type="dxa"/>
              <w:right w:w="67" w:type="dxa"/>
            </w:tcMar>
            <w:vAlign w:val="center"/>
          </w:tcPr>
          <w:p w14:paraId="4A839DF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0.0872</w:t>
            </w:r>
          </w:p>
        </w:tc>
        <w:tc>
          <w:tcPr>
            <w:tcW w:w="1134" w:type="dxa"/>
            <w:tcBorders>
              <w:top w:val="nil"/>
              <w:left w:val="nil"/>
              <w:bottom w:val="nil"/>
              <w:right w:val="nil"/>
            </w:tcBorders>
            <w:shd w:val="clear" w:color="auto" w:fill="FFFFFF"/>
            <w:tcMar>
              <w:left w:w="67" w:type="dxa"/>
              <w:right w:w="67" w:type="dxa"/>
            </w:tcMar>
            <w:vAlign w:val="center"/>
          </w:tcPr>
          <w:p w14:paraId="36504D5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1B50F4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17E17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8B13085"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E96882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FF235C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A07009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-0.004342</w:t>
            </w:r>
          </w:p>
        </w:tc>
        <w:tc>
          <w:tcPr>
            <w:tcW w:w="1134" w:type="dxa"/>
            <w:tcBorders>
              <w:top w:val="nil"/>
              <w:left w:val="nil"/>
              <w:bottom w:val="nil"/>
              <w:right w:val="nil"/>
            </w:tcBorders>
            <w:shd w:val="clear" w:color="auto" w:fill="FFFFFF"/>
            <w:tcMar>
              <w:left w:w="67" w:type="dxa"/>
              <w:right w:w="67" w:type="dxa"/>
            </w:tcMar>
            <w:vAlign w:val="center"/>
          </w:tcPr>
          <w:p w14:paraId="69ADA79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0.0212</w:t>
            </w:r>
          </w:p>
        </w:tc>
        <w:tc>
          <w:tcPr>
            <w:tcW w:w="1134" w:type="dxa"/>
            <w:tcBorders>
              <w:top w:val="nil"/>
              <w:left w:val="nil"/>
              <w:bottom w:val="nil"/>
              <w:right w:val="nil"/>
            </w:tcBorders>
            <w:shd w:val="clear" w:color="auto" w:fill="FFFFFF"/>
            <w:tcMar>
              <w:left w:w="67" w:type="dxa"/>
              <w:right w:w="67" w:type="dxa"/>
            </w:tcMar>
            <w:vAlign w:val="center"/>
          </w:tcPr>
          <w:p w14:paraId="46045CA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-0.0534</w:t>
            </w:r>
          </w:p>
        </w:tc>
        <w:tc>
          <w:tcPr>
            <w:tcW w:w="1134" w:type="dxa"/>
            <w:tcBorders>
              <w:top w:val="nil"/>
              <w:left w:val="nil"/>
              <w:bottom w:val="nil"/>
              <w:right w:val="nil"/>
            </w:tcBorders>
            <w:shd w:val="clear" w:color="auto" w:fill="FFFFFF"/>
            <w:tcMar>
              <w:left w:w="67" w:type="dxa"/>
              <w:right w:w="67" w:type="dxa"/>
            </w:tcMar>
            <w:vAlign w:val="center"/>
          </w:tcPr>
          <w:p w14:paraId="306316A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0.0447</w:t>
            </w:r>
          </w:p>
        </w:tc>
        <w:tc>
          <w:tcPr>
            <w:tcW w:w="1134" w:type="dxa"/>
            <w:tcBorders>
              <w:top w:val="nil"/>
              <w:left w:val="nil"/>
              <w:bottom w:val="nil"/>
              <w:right w:val="nil"/>
            </w:tcBorders>
            <w:shd w:val="clear" w:color="auto" w:fill="FFFFFF"/>
            <w:tcMar>
              <w:left w:w="67" w:type="dxa"/>
              <w:right w:w="67" w:type="dxa"/>
            </w:tcMar>
            <w:vAlign w:val="center"/>
          </w:tcPr>
          <w:p w14:paraId="646825E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A82319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FB4085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1E4DDA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09F57A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BF171F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8ADC63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0.024442</w:t>
            </w:r>
          </w:p>
        </w:tc>
        <w:tc>
          <w:tcPr>
            <w:tcW w:w="1134" w:type="dxa"/>
            <w:tcBorders>
              <w:top w:val="nil"/>
              <w:left w:val="nil"/>
              <w:bottom w:val="nil"/>
              <w:right w:val="nil"/>
            </w:tcBorders>
            <w:shd w:val="clear" w:color="auto" w:fill="FFFFFF"/>
            <w:tcMar>
              <w:left w:w="67" w:type="dxa"/>
              <w:right w:w="67" w:type="dxa"/>
            </w:tcMar>
            <w:vAlign w:val="center"/>
          </w:tcPr>
          <w:p w14:paraId="7D9A936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0.0209</w:t>
            </w:r>
          </w:p>
        </w:tc>
        <w:tc>
          <w:tcPr>
            <w:tcW w:w="1134" w:type="dxa"/>
            <w:tcBorders>
              <w:top w:val="nil"/>
              <w:left w:val="nil"/>
              <w:bottom w:val="nil"/>
              <w:right w:val="nil"/>
            </w:tcBorders>
            <w:shd w:val="clear" w:color="auto" w:fill="FFFFFF"/>
            <w:tcMar>
              <w:left w:w="67" w:type="dxa"/>
              <w:right w:w="67" w:type="dxa"/>
            </w:tcMar>
            <w:vAlign w:val="center"/>
          </w:tcPr>
          <w:p w14:paraId="2E16E6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-0.0239</w:t>
            </w:r>
          </w:p>
        </w:tc>
        <w:tc>
          <w:tcPr>
            <w:tcW w:w="1134" w:type="dxa"/>
            <w:tcBorders>
              <w:top w:val="nil"/>
              <w:left w:val="nil"/>
              <w:bottom w:val="nil"/>
              <w:right w:val="nil"/>
            </w:tcBorders>
            <w:shd w:val="clear" w:color="auto" w:fill="FFFFFF"/>
            <w:tcMar>
              <w:left w:w="67" w:type="dxa"/>
              <w:right w:w="67" w:type="dxa"/>
            </w:tcMar>
            <w:vAlign w:val="center"/>
          </w:tcPr>
          <w:p w14:paraId="3F96EE1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0.0727</w:t>
            </w:r>
          </w:p>
        </w:tc>
        <w:tc>
          <w:tcPr>
            <w:tcW w:w="1134" w:type="dxa"/>
            <w:tcBorders>
              <w:top w:val="nil"/>
              <w:left w:val="nil"/>
              <w:bottom w:val="nil"/>
              <w:right w:val="nil"/>
            </w:tcBorders>
            <w:shd w:val="clear" w:color="auto" w:fill="FFFFFF"/>
            <w:tcMar>
              <w:left w:w="67" w:type="dxa"/>
              <w:right w:w="67" w:type="dxa"/>
            </w:tcMar>
            <w:vAlign w:val="center"/>
          </w:tcPr>
          <w:p w14:paraId="1C3987E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620948B"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AEF8598"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0AB1E3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4191E4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2AC2B6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20976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0.028543</w:t>
            </w:r>
          </w:p>
        </w:tc>
        <w:tc>
          <w:tcPr>
            <w:tcW w:w="1134" w:type="dxa"/>
            <w:tcBorders>
              <w:top w:val="nil"/>
              <w:left w:val="nil"/>
              <w:bottom w:val="nil"/>
              <w:right w:val="nil"/>
            </w:tcBorders>
            <w:shd w:val="clear" w:color="auto" w:fill="FFFFFF"/>
            <w:tcMar>
              <w:left w:w="67" w:type="dxa"/>
              <w:right w:w="67" w:type="dxa"/>
            </w:tcMar>
            <w:vAlign w:val="center"/>
          </w:tcPr>
          <w:p w14:paraId="101D21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0.0213</w:t>
            </w:r>
          </w:p>
        </w:tc>
        <w:tc>
          <w:tcPr>
            <w:tcW w:w="1134" w:type="dxa"/>
            <w:tcBorders>
              <w:top w:val="nil"/>
              <w:left w:val="nil"/>
              <w:bottom w:val="nil"/>
              <w:right w:val="nil"/>
            </w:tcBorders>
            <w:shd w:val="clear" w:color="auto" w:fill="FFFFFF"/>
            <w:tcMar>
              <w:left w:w="67" w:type="dxa"/>
              <w:right w:w="67" w:type="dxa"/>
            </w:tcMar>
            <w:vAlign w:val="center"/>
          </w:tcPr>
          <w:p w14:paraId="489DFA5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-0.0207</w:t>
            </w:r>
          </w:p>
        </w:tc>
        <w:tc>
          <w:tcPr>
            <w:tcW w:w="1134" w:type="dxa"/>
            <w:tcBorders>
              <w:top w:val="nil"/>
              <w:left w:val="nil"/>
              <w:bottom w:val="nil"/>
              <w:right w:val="nil"/>
            </w:tcBorders>
            <w:shd w:val="clear" w:color="auto" w:fill="FFFFFF"/>
            <w:tcMar>
              <w:left w:w="67" w:type="dxa"/>
              <w:right w:w="67" w:type="dxa"/>
            </w:tcMar>
            <w:vAlign w:val="center"/>
          </w:tcPr>
          <w:p w14:paraId="6F99B1B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0.0778</w:t>
            </w:r>
          </w:p>
        </w:tc>
        <w:tc>
          <w:tcPr>
            <w:tcW w:w="1134" w:type="dxa"/>
            <w:tcBorders>
              <w:top w:val="nil"/>
              <w:left w:val="nil"/>
              <w:bottom w:val="nil"/>
              <w:right w:val="nil"/>
            </w:tcBorders>
            <w:shd w:val="clear" w:color="auto" w:fill="FFFFFF"/>
            <w:tcMar>
              <w:left w:w="67" w:type="dxa"/>
              <w:right w:w="67" w:type="dxa"/>
            </w:tcMar>
            <w:vAlign w:val="center"/>
          </w:tcPr>
          <w:p w14:paraId="7642EE8D"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C67ED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FD2CC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BEDA73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FB20B94"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0C72F51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13098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-0.000039</w:t>
            </w:r>
          </w:p>
        </w:tc>
        <w:tc>
          <w:tcPr>
            <w:tcW w:w="1134" w:type="dxa"/>
            <w:tcBorders>
              <w:top w:val="nil"/>
              <w:left w:val="nil"/>
              <w:bottom w:val="nil"/>
              <w:right w:val="nil"/>
            </w:tcBorders>
            <w:shd w:val="clear" w:color="auto" w:fill="FFFFFF"/>
            <w:tcMar>
              <w:left w:w="67" w:type="dxa"/>
              <w:right w:w="67" w:type="dxa"/>
            </w:tcMar>
            <w:vAlign w:val="center"/>
          </w:tcPr>
          <w:p w14:paraId="304D612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2395252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2BC033E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0.0015</w:t>
            </w:r>
          </w:p>
        </w:tc>
        <w:tc>
          <w:tcPr>
            <w:tcW w:w="1134" w:type="dxa"/>
            <w:tcBorders>
              <w:top w:val="nil"/>
              <w:left w:val="nil"/>
              <w:bottom w:val="nil"/>
              <w:right w:val="nil"/>
            </w:tcBorders>
            <w:shd w:val="clear" w:color="auto" w:fill="FFFFFF"/>
            <w:tcMar>
              <w:left w:w="67" w:type="dxa"/>
              <w:right w:w="67" w:type="dxa"/>
            </w:tcMar>
            <w:vAlign w:val="center"/>
          </w:tcPr>
          <w:p w14:paraId="0793BE6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w:t>
            </w:r>
          </w:p>
        </w:tc>
        <w:tc>
          <w:tcPr>
            <w:tcW w:w="567" w:type="dxa"/>
            <w:tcBorders>
              <w:top w:val="nil"/>
              <w:left w:val="nil"/>
              <w:bottom w:val="nil"/>
              <w:right w:val="nil"/>
            </w:tcBorders>
            <w:shd w:val="clear" w:color="auto" w:fill="FFFFFF"/>
            <w:tcMar>
              <w:left w:w="67" w:type="dxa"/>
              <w:right w:w="67" w:type="dxa"/>
            </w:tcMar>
            <w:vAlign w:val="center"/>
          </w:tcPr>
          <w:p w14:paraId="49FBF93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957D1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0.9536</w:t>
            </w:r>
          </w:p>
        </w:tc>
      </w:tr>
      <w:tr w:rsidR="00B77EA3" w:rsidRPr="0082484A" w14:paraId="6E45142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734AF1E"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0B2EC5F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C6DC48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0.003437</w:t>
            </w:r>
          </w:p>
        </w:tc>
        <w:tc>
          <w:tcPr>
            <w:tcW w:w="1134" w:type="dxa"/>
            <w:tcBorders>
              <w:top w:val="nil"/>
              <w:left w:val="nil"/>
              <w:bottom w:val="nil"/>
              <w:right w:val="nil"/>
            </w:tcBorders>
            <w:shd w:val="clear" w:color="auto" w:fill="FFFFFF"/>
            <w:tcMar>
              <w:left w:w="67" w:type="dxa"/>
              <w:right w:w="67" w:type="dxa"/>
            </w:tcMar>
            <w:vAlign w:val="center"/>
          </w:tcPr>
          <w:p w14:paraId="3A18B46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60CC981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23F3CD0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0.0055</w:t>
            </w:r>
          </w:p>
        </w:tc>
        <w:tc>
          <w:tcPr>
            <w:tcW w:w="1134" w:type="dxa"/>
            <w:tcBorders>
              <w:top w:val="nil"/>
              <w:left w:val="nil"/>
              <w:bottom w:val="nil"/>
              <w:right w:val="nil"/>
            </w:tcBorders>
            <w:shd w:val="clear" w:color="auto" w:fill="FFFFFF"/>
            <w:tcMar>
              <w:left w:w="67" w:type="dxa"/>
              <w:right w:w="67" w:type="dxa"/>
            </w:tcMar>
            <w:vAlign w:val="center"/>
          </w:tcPr>
          <w:p w14:paraId="5B0D46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14.93</w:t>
            </w:r>
          </w:p>
        </w:tc>
        <w:tc>
          <w:tcPr>
            <w:tcW w:w="567" w:type="dxa"/>
            <w:tcBorders>
              <w:top w:val="nil"/>
              <w:left w:val="nil"/>
              <w:bottom w:val="nil"/>
              <w:right w:val="nil"/>
            </w:tcBorders>
            <w:shd w:val="clear" w:color="auto" w:fill="FFFFFF"/>
            <w:tcMar>
              <w:left w:w="67" w:type="dxa"/>
              <w:right w:w="67" w:type="dxa"/>
            </w:tcMar>
            <w:vAlign w:val="center"/>
          </w:tcPr>
          <w:p w14:paraId="27484FD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C2C65A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r>
      <w:tr w:rsidR="00B77EA3" w:rsidRPr="0082484A" w14:paraId="09A93264"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B24185A"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2C7276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D3FC49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0.000495</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2654F0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394F97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533EA4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3AEA22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4.08</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D8F39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AA9A84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0.0490</w:t>
            </w:r>
          </w:p>
        </w:tc>
      </w:tr>
    </w:tbl>
    <w:p w14:paraId="5DDF868A" w14:textId="77777777" w:rsidR="00B77EA3" w:rsidRPr="0082484A" w:rsidRDefault="00B77EA3" w:rsidP="00B77EA3">
      <w:pPr>
        <w:spacing w:before="0" w:line="240" w:lineRule="auto"/>
        <w:rPr>
          <w:color w:val="FF0000"/>
          <w:sz w:val="22"/>
          <w:szCs w:val="22"/>
        </w:rPr>
      </w:pPr>
      <w:r w:rsidRPr="0082484A">
        <w:rPr>
          <w:color w:val="FF0000"/>
          <w:sz w:val="22"/>
          <w:szCs w:val="22"/>
        </w:rPr>
        <w:br w:type="page"/>
      </w:r>
    </w:p>
    <w:p w14:paraId="6339567D" w14:textId="46390099" w:rsidR="00B77EA3" w:rsidRPr="0082484A" w:rsidRDefault="00B77EA3" w:rsidP="00B77EA3">
      <w:pPr>
        <w:spacing w:before="0" w:line="240" w:lineRule="auto"/>
        <w:rPr>
          <w:bCs/>
          <w:sz w:val="22"/>
          <w:szCs w:val="22"/>
        </w:rPr>
      </w:pPr>
      <w:bookmarkStart w:id="263" w:name="_Ref502918099"/>
      <w:bookmarkStart w:id="264" w:name="_Toc8728145"/>
      <w:bookmarkStart w:id="265" w:name="_Toc19526800"/>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71</w:t>
      </w:r>
      <w:r w:rsidRPr="0082484A">
        <w:rPr>
          <w:bCs/>
          <w:noProof/>
          <w:sz w:val="22"/>
          <w:szCs w:val="22"/>
        </w:rPr>
        <w:fldChar w:fldCharType="end"/>
      </w:r>
      <w:bookmarkEnd w:id="263"/>
      <w:r w:rsidRPr="0082484A">
        <w:rPr>
          <w:bCs/>
          <w:sz w:val="22"/>
          <w:szCs w:val="22"/>
        </w:rPr>
        <w:t>: Secondary outcome for Trial 2. Achievement of QOF indicator, ‘The percentage of patients with a history of stroke or transient ischemic attack in whom the last blood pressure reading (measured in the preceding 12 months) is 150/90 mmHg or less’ (STIA003) (WP4a)</w:t>
      </w:r>
      <w:bookmarkEnd w:id="264"/>
      <w:bookmarkEnd w:id="265"/>
    </w:p>
    <w:p w14:paraId="29B7EB01" w14:textId="77777777" w:rsidR="00B77EA3" w:rsidRPr="0082484A" w:rsidRDefault="00B77EA3" w:rsidP="00B77EA3">
      <w:pPr>
        <w:spacing w:before="0" w:line="240" w:lineRule="auto"/>
        <w:rPr>
          <w:bCs/>
          <w:sz w:val="22"/>
          <w:szCs w:val="22"/>
        </w:rPr>
      </w:pPr>
    </w:p>
    <w:tbl>
      <w:tblPr>
        <w:tblW w:w="14458"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567"/>
        <w:gridCol w:w="1134"/>
      </w:tblGrid>
      <w:tr w:rsidR="00B77EA3" w:rsidRPr="0082484A" w14:paraId="35BC8771"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FBF46EE" w14:textId="77777777" w:rsidR="00B77EA3" w:rsidRPr="0082484A" w:rsidRDefault="00B77EA3" w:rsidP="00B77EA3">
            <w:pPr>
              <w:spacing w:beforeLines="10" w:before="24" w:afterLines="10" w:after="24" w:line="240" w:lineRule="auto"/>
              <w:rPr>
                <w:bCs/>
                <w:sz w:val="22"/>
                <w:szCs w:val="22"/>
              </w:rPr>
            </w:pPr>
            <w:bookmarkStart w:id="266" w:name="IDX39"/>
            <w:bookmarkEnd w:id="266"/>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10C977" w14:textId="77777777" w:rsidR="00B77EA3" w:rsidRPr="0082484A" w:rsidRDefault="00B77EA3" w:rsidP="00B77EA3">
            <w:pPr>
              <w:spacing w:beforeLines="10" w:before="24" w:afterLines="10" w:after="24" w:line="240" w:lineRule="auto"/>
              <w:rPr>
                <w:bCs/>
                <w:sz w:val="22"/>
                <w:szCs w:val="22"/>
              </w:rPr>
            </w:pPr>
            <w:r w:rsidRPr="0082484A">
              <w:rPr>
                <w:rFonts w:eastAsia="Times New Roman"/>
                <w:bCs/>
                <w:sz w:val="22"/>
                <w:szCs w:val="22"/>
                <w:lang w:eastAsia="en-GB"/>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70DAC2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29135E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7CE609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35C9A7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9E626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132ED54"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39C7816A"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7A8A530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CA4BBEA"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6C9CCE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Blood pressure control package vs. Control (anticoagulation in AF package)</w:t>
            </w:r>
          </w:p>
        </w:tc>
        <w:tc>
          <w:tcPr>
            <w:tcW w:w="1134" w:type="dxa"/>
            <w:tcBorders>
              <w:top w:val="nil"/>
              <w:left w:val="nil"/>
              <w:bottom w:val="nil"/>
              <w:right w:val="nil"/>
            </w:tcBorders>
            <w:shd w:val="clear" w:color="auto" w:fill="FFFFFF"/>
            <w:tcMar>
              <w:left w:w="67" w:type="dxa"/>
              <w:right w:w="67" w:type="dxa"/>
            </w:tcMar>
            <w:vAlign w:val="center"/>
          </w:tcPr>
          <w:p w14:paraId="36C5E1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-0.001690</w:t>
            </w:r>
          </w:p>
        </w:tc>
        <w:tc>
          <w:tcPr>
            <w:tcW w:w="1134" w:type="dxa"/>
            <w:tcBorders>
              <w:top w:val="nil"/>
              <w:left w:val="nil"/>
              <w:bottom w:val="nil"/>
              <w:right w:val="nil"/>
            </w:tcBorders>
            <w:shd w:val="clear" w:color="auto" w:fill="FFFFFF"/>
            <w:tcMar>
              <w:left w:w="67" w:type="dxa"/>
              <w:right w:w="67" w:type="dxa"/>
            </w:tcMar>
            <w:vAlign w:val="center"/>
          </w:tcPr>
          <w:p w14:paraId="60773E3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0.0149</w:t>
            </w:r>
          </w:p>
        </w:tc>
        <w:tc>
          <w:tcPr>
            <w:tcW w:w="1134" w:type="dxa"/>
            <w:tcBorders>
              <w:top w:val="nil"/>
              <w:left w:val="nil"/>
              <w:bottom w:val="nil"/>
              <w:right w:val="nil"/>
            </w:tcBorders>
            <w:shd w:val="clear" w:color="auto" w:fill="FFFFFF"/>
            <w:tcMar>
              <w:left w:w="67" w:type="dxa"/>
              <w:right w:w="67" w:type="dxa"/>
            </w:tcMar>
            <w:vAlign w:val="center"/>
          </w:tcPr>
          <w:p w14:paraId="599BB1A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-0.0362</w:t>
            </w:r>
          </w:p>
        </w:tc>
        <w:tc>
          <w:tcPr>
            <w:tcW w:w="1134" w:type="dxa"/>
            <w:tcBorders>
              <w:top w:val="nil"/>
              <w:left w:val="nil"/>
              <w:bottom w:val="nil"/>
              <w:right w:val="nil"/>
            </w:tcBorders>
            <w:shd w:val="clear" w:color="auto" w:fill="FFFFFF"/>
            <w:tcMar>
              <w:left w:w="67" w:type="dxa"/>
              <w:right w:w="67" w:type="dxa"/>
            </w:tcMar>
            <w:vAlign w:val="center"/>
          </w:tcPr>
          <w:p w14:paraId="44FA56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0.0329</w:t>
            </w:r>
          </w:p>
        </w:tc>
        <w:tc>
          <w:tcPr>
            <w:tcW w:w="1134" w:type="dxa"/>
            <w:tcBorders>
              <w:top w:val="nil"/>
              <w:left w:val="nil"/>
              <w:bottom w:val="nil"/>
              <w:right w:val="nil"/>
            </w:tcBorders>
            <w:shd w:val="clear" w:color="auto" w:fill="FFFFFF"/>
            <w:tcMar>
              <w:left w:w="67" w:type="dxa"/>
              <w:right w:w="67" w:type="dxa"/>
            </w:tcMar>
            <w:vAlign w:val="center"/>
          </w:tcPr>
          <w:p w14:paraId="52E5184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39E19B1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F076A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0.9103</w:t>
            </w:r>
          </w:p>
        </w:tc>
      </w:tr>
      <w:tr w:rsidR="00B77EA3" w:rsidRPr="0082484A" w14:paraId="7075F98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7A00A50"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41B85FBA"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93D330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-0.000227</w:t>
            </w:r>
          </w:p>
        </w:tc>
        <w:tc>
          <w:tcPr>
            <w:tcW w:w="1134" w:type="dxa"/>
            <w:tcBorders>
              <w:top w:val="nil"/>
              <w:left w:val="nil"/>
              <w:bottom w:val="nil"/>
              <w:right w:val="nil"/>
            </w:tcBorders>
            <w:shd w:val="clear" w:color="auto" w:fill="FFFFFF"/>
            <w:tcMar>
              <w:left w:w="67" w:type="dxa"/>
              <w:right w:w="67" w:type="dxa"/>
            </w:tcMar>
            <w:vAlign w:val="center"/>
          </w:tcPr>
          <w:p w14:paraId="1BDC09F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6377CBF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05D9484F"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7BB7B64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1.32</w:t>
            </w:r>
          </w:p>
        </w:tc>
        <w:tc>
          <w:tcPr>
            <w:tcW w:w="567" w:type="dxa"/>
            <w:tcBorders>
              <w:top w:val="nil"/>
              <w:left w:val="nil"/>
              <w:bottom w:val="nil"/>
              <w:right w:val="nil"/>
            </w:tcBorders>
            <w:shd w:val="clear" w:color="auto" w:fill="FFFFFF"/>
            <w:tcMar>
              <w:left w:w="67" w:type="dxa"/>
              <w:right w:w="67" w:type="dxa"/>
            </w:tcMar>
            <w:vAlign w:val="center"/>
          </w:tcPr>
          <w:p w14:paraId="51D952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94E6B4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0.2566</w:t>
            </w:r>
          </w:p>
        </w:tc>
      </w:tr>
      <w:tr w:rsidR="00B77EA3" w:rsidRPr="0082484A" w14:paraId="7414731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8F18F9E"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61FA4C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701FE7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-0.036618</w:t>
            </w:r>
          </w:p>
        </w:tc>
        <w:tc>
          <w:tcPr>
            <w:tcW w:w="1134" w:type="dxa"/>
            <w:tcBorders>
              <w:top w:val="nil"/>
              <w:left w:val="nil"/>
              <w:bottom w:val="nil"/>
              <w:right w:val="nil"/>
            </w:tcBorders>
            <w:shd w:val="clear" w:color="auto" w:fill="FFFFFF"/>
            <w:tcMar>
              <w:left w:w="67" w:type="dxa"/>
              <w:right w:w="67" w:type="dxa"/>
            </w:tcMar>
            <w:vAlign w:val="center"/>
          </w:tcPr>
          <w:p w14:paraId="528B618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0.0352</w:t>
            </w:r>
          </w:p>
        </w:tc>
        <w:tc>
          <w:tcPr>
            <w:tcW w:w="1134" w:type="dxa"/>
            <w:tcBorders>
              <w:top w:val="nil"/>
              <w:left w:val="nil"/>
              <w:bottom w:val="nil"/>
              <w:right w:val="nil"/>
            </w:tcBorders>
            <w:shd w:val="clear" w:color="auto" w:fill="FFFFFF"/>
            <w:tcMar>
              <w:left w:w="67" w:type="dxa"/>
              <w:right w:w="67" w:type="dxa"/>
            </w:tcMar>
            <w:vAlign w:val="center"/>
          </w:tcPr>
          <w:p w14:paraId="4829A3D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-0.1182</w:t>
            </w:r>
          </w:p>
        </w:tc>
        <w:tc>
          <w:tcPr>
            <w:tcW w:w="1134" w:type="dxa"/>
            <w:tcBorders>
              <w:top w:val="nil"/>
              <w:left w:val="nil"/>
              <w:bottom w:val="nil"/>
              <w:right w:val="nil"/>
            </w:tcBorders>
            <w:shd w:val="clear" w:color="auto" w:fill="FFFFFF"/>
            <w:tcMar>
              <w:left w:w="67" w:type="dxa"/>
              <w:right w:w="67" w:type="dxa"/>
            </w:tcMar>
            <w:vAlign w:val="center"/>
          </w:tcPr>
          <w:p w14:paraId="007FCF4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0.0449</w:t>
            </w:r>
          </w:p>
        </w:tc>
        <w:tc>
          <w:tcPr>
            <w:tcW w:w="1134" w:type="dxa"/>
            <w:tcBorders>
              <w:top w:val="nil"/>
              <w:left w:val="nil"/>
              <w:bottom w:val="nil"/>
              <w:right w:val="nil"/>
            </w:tcBorders>
            <w:shd w:val="clear" w:color="auto" w:fill="FFFFFF"/>
            <w:tcMar>
              <w:left w:w="67" w:type="dxa"/>
              <w:right w:w="67" w:type="dxa"/>
            </w:tcMar>
            <w:vAlign w:val="center"/>
          </w:tcPr>
          <w:p w14:paraId="424035B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1.00</w:t>
            </w:r>
          </w:p>
        </w:tc>
        <w:tc>
          <w:tcPr>
            <w:tcW w:w="567" w:type="dxa"/>
            <w:tcBorders>
              <w:top w:val="nil"/>
              <w:left w:val="nil"/>
              <w:bottom w:val="nil"/>
              <w:right w:val="nil"/>
            </w:tcBorders>
            <w:shd w:val="clear" w:color="auto" w:fill="FFFFFF"/>
            <w:tcMar>
              <w:left w:w="67" w:type="dxa"/>
              <w:right w:w="67" w:type="dxa"/>
            </w:tcMar>
            <w:vAlign w:val="center"/>
          </w:tcPr>
          <w:p w14:paraId="345922D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9A7F5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0.4470</w:t>
            </w:r>
          </w:p>
        </w:tc>
      </w:tr>
      <w:tr w:rsidR="00B77EA3" w:rsidRPr="0082484A" w14:paraId="58CA98B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F90199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6318BD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5CEB1D7"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-0.074081</w:t>
            </w:r>
          </w:p>
        </w:tc>
        <w:tc>
          <w:tcPr>
            <w:tcW w:w="1134" w:type="dxa"/>
            <w:tcBorders>
              <w:top w:val="nil"/>
              <w:left w:val="nil"/>
              <w:bottom w:val="nil"/>
              <w:right w:val="nil"/>
            </w:tcBorders>
            <w:shd w:val="clear" w:color="auto" w:fill="FFFFFF"/>
            <w:tcMar>
              <w:left w:w="67" w:type="dxa"/>
              <w:right w:w="67" w:type="dxa"/>
            </w:tcMar>
            <w:vAlign w:val="center"/>
          </w:tcPr>
          <w:p w14:paraId="35894CD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0.0298</w:t>
            </w:r>
          </w:p>
        </w:tc>
        <w:tc>
          <w:tcPr>
            <w:tcW w:w="1134" w:type="dxa"/>
            <w:tcBorders>
              <w:top w:val="nil"/>
              <w:left w:val="nil"/>
              <w:bottom w:val="nil"/>
              <w:right w:val="nil"/>
            </w:tcBorders>
            <w:shd w:val="clear" w:color="auto" w:fill="FFFFFF"/>
            <w:tcMar>
              <w:left w:w="67" w:type="dxa"/>
              <w:right w:w="67" w:type="dxa"/>
            </w:tcMar>
            <w:vAlign w:val="center"/>
          </w:tcPr>
          <w:p w14:paraId="6F549AE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-0.1430</w:t>
            </w:r>
          </w:p>
        </w:tc>
        <w:tc>
          <w:tcPr>
            <w:tcW w:w="1134" w:type="dxa"/>
            <w:tcBorders>
              <w:top w:val="nil"/>
              <w:left w:val="nil"/>
              <w:bottom w:val="nil"/>
              <w:right w:val="nil"/>
            </w:tcBorders>
            <w:shd w:val="clear" w:color="auto" w:fill="FFFFFF"/>
            <w:tcMar>
              <w:left w:w="67" w:type="dxa"/>
              <w:right w:w="67" w:type="dxa"/>
            </w:tcMar>
            <w:vAlign w:val="center"/>
          </w:tcPr>
          <w:p w14:paraId="1BC6A95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-0.0051</w:t>
            </w:r>
          </w:p>
        </w:tc>
        <w:tc>
          <w:tcPr>
            <w:tcW w:w="1134" w:type="dxa"/>
            <w:tcBorders>
              <w:top w:val="nil"/>
              <w:left w:val="nil"/>
              <w:bottom w:val="nil"/>
              <w:right w:val="nil"/>
            </w:tcBorders>
            <w:shd w:val="clear" w:color="auto" w:fill="FFFFFF"/>
            <w:tcMar>
              <w:left w:w="67" w:type="dxa"/>
              <w:right w:w="67" w:type="dxa"/>
            </w:tcMar>
            <w:vAlign w:val="center"/>
          </w:tcPr>
          <w:p w14:paraId="2F5B555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DE578D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59BD93"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1DAB63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F51053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242B27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C4D6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-0.018254</w:t>
            </w:r>
          </w:p>
        </w:tc>
        <w:tc>
          <w:tcPr>
            <w:tcW w:w="1134" w:type="dxa"/>
            <w:tcBorders>
              <w:top w:val="nil"/>
              <w:left w:val="nil"/>
              <w:bottom w:val="nil"/>
              <w:right w:val="nil"/>
            </w:tcBorders>
            <w:shd w:val="clear" w:color="auto" w:fill="FFFFFF"/>
            <w:tcMar>
              <w:left w:w="67" w:type="dxa"/>
              <w:right w:w="67" w:type="dxa"/>
            </w:tcMar>
            <w:vAlign w:val="center"/>
          </w:tcPr>
          <w:p w14:paraId="51563B4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0.0323</w:t>
            </w:r>
          </w:p>
        </w:tc>
        <w:tc>
          <w:tcPr>
            <w:tcW w:w="1134" w:type="dxa"/>
            <w:tcBorders>
              <w:top w:val="nil"/>
              <w:left w:val="nil"/>
              <w:bottom w:val="nil"/>
              <w:right w:val="nil"/>
            </w:tcBorders>
            <w:shd w:val="clear" w:color="auto" w:fill="FFFFFF"/>
            <w:tcMar>
              <w:left w:w="67" w:type="dxa"/>
              <w:right w:w="67" w:type="dxa"/>
            </w:tcMar>
            <w:vAlign w:val="center"/>
          </w:tcPr>
          <w:p w14:paraId="742CBD2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-0.0930</w:t>
            </w:r>
          </w:p>
        </w:tc>
        <w:tc>
          <w:tcPr>
            <w:tcW w:w="1134" w:type="dxa"/>
            <w:tcBorders>
              <w:top w:val="nil"/>
              <w:left w:val="nil"/>
              <w:bottom w:val="nil"/>
              <w:right w:val="nil"/>
            </w:tcBorders>
            <w:shd w:val="clear" w:color="auto" w:fill="FFFFFF"/>
            <w:tcMar>
              <w:left w:w="67" w:type="dxa"/>
              <w:right w:w="67" w:type="dxa"/>
            </w:tcMar>
            <w:vAlign w:val="center"/>
          </w:tcPr>
          <w:p w14:paraId="7360668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0.0565</w:t>
            </w:r>
          </w:p>
        </w:tc>
        <w:tc>
          <w:tcPr>
            <w:tcW w:w="1134" w:type="dxa"/>
            <w:tcBorders>
              <w:top w:val="nil"/>
              <w:left w:val="nil"/>
              <w:bottom w:val="nil"/>
              <w:right w:val="nil"/>
            </w:tcBorders>
            <w:shd w:val="clear" w:color="auto" w:fill="FFFFFF"/>
            <w:tcMar>
              <w:left w:w="67" w:type="dxa"/>
              <w:right w:w="67" w:type="dxa"/>
            </w:tcMar>
            <w:vAlign w:val="center"/>
          </w:tcPr>
          <w:p w14:paraId="5449B363"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A73CA49"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242CE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53B548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E8C325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3742AD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9B846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-0.045913</w:t>
            </w:r>
          </w:p>
        </w:tc>
        <w:tc>
          <w:tcPr>
            <w:tcW w:w="1134" w:type="dxa"/>
            <w:tcBorders>
              <w:top w:val="nil"/>
              <w:left w:val="nil"/>
              <w:bottom w:val="nil"/>
              <w:right w:val="nil"/>
            </w:tcBorders>
            <w:shd w:val="clear" w:color="auto" w:fill="FFFFFF"/>
            <w:tcMar>
              <w:left w:w="67" w:type="dxa"/>
              <w:right w:w="67" w:type="dxa"/>
            </w:tcMar>
            <w:vAlign w:val="center"/>
          </w:tcPr>
          <w:p w14:paraId="7B32E2D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0.0307</w:t>
            </w:r>
          </w:p>
        </w:tc>
        <w:tc>
          <w:tcPr>
            <w:tcW w:w="1134" w:type="dxa"/>
            <w:tcBorders>
              <w:top w:val="nil"/>
              <w:left w:val="nil"/>
              <w:bottom w:val="nil"/>
              <w:right w:val="nil"/>
            </w:tcBorders>
            <w:shd w:val="clear" w:color="auto" w:fill="FFFFFF"/>
            <w:tcMar>
              <w:left w:w="67" w:type="dxa"/>
              <w:right w:w="67" w:type="dxa"/>
            </w:tcMar>
            <w:vAlign w:val="center"/>
          </w:tcPr>
          <w:p w14:paraId="6A345A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-0.1170</w:t>
            </w:r>
          </w:p>
        </w:tc>
        <w:tc>
          <w:tcPr>
            <w:tcW w:w="1134" w:type="dxa"/>
            <w:tcBorders>
              <w:top w:val="nil"/>
              <w:left w:val="nil"/>
              <w:bottom w:val="nil"/>
              <w:right w:val="nil"/>
            </w:tcBorders>
            <w:shd w:val="clear" w:color="auto" w:fill="FFFFFF"/>
            <w:tcMar>
              <w:left w:w="67" w:type="dxa"/>
              <w:right w:w="67" w:type="dxa"/>
            </w:tcMar>
            <w:vAlign w:val="center"/>
          </w:tcPr>
          <w:p w14:paraId="758A1DB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0.0251</w:t>
            </w:r>
          </w:p>
        </w:tc>
        <w:tc>
          <w:tcPr>
            <w:tcW w:w="1134" w:type="dxa"/>
            <w:tcBorders>
              <w:top w:val="nil"/>
              <w:left w:val="nil"/>
              <w:bottom w:val="nil"/>
              <w:right w:val="nil"/>
            </w:tcBorders>
            <w:shd w:val="clear" w:color="auto" w:fill="FFFFFF"/>
            <w:tcMar>
              <w:left w:w="67" w:type="dxa"/>
              <w:right w:w="67" w:type="dxa"/>
            </w:tcMar>
            <w:vAlign w:val="center"/>
          </w:tcPr>
          <w:p w14:paraId="4EA3B90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9FDDB3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D0BEF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1EF684F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027E6B0"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C9C7A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8FC2F3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-0.021238</w:t>
            </w:r>
          </w:p>
        </w:tc>
        <w:tc>
          <w:tcPr>
            <w:tcW w:w="1134" w:type="dxa"/>
            <w:tcBorders>
              <w:top w:val="nil"/>
              <w:left w:val="nil"/>
              <w:bottom w:val="nil"/>
              <w:right w:val="nil"/>
            </w:tcBorders>
            <w:shd w:val="clear" w:color="auto" w:fill="FFFFFF"/>
            <w:tcMar>
              <w:left w:w="67" w:type="dxa"/>
              <w:right w:w="67" w:type="dxa"/>
            </w:tcMar>
            <w:vAlign w:val="center"/>
          </w:tcPr>
          <w:p w14:paraId="5DAC7F5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0.0370</w:t>
            </w:r>
          </w:p>
        </w:tc>
        <w:tc>
          <w:tcPr>
            <w:tcW w:w="1134" w:type="dxa"/>
            <w:tcBorders>
              <w:top w:val="nil"/>
              <w:left w:val="nil"/>
              <w:bottom w:val="nil"/>
              <w:right w:val="nil"/>
            </w:tcBorders>
            <w:shd w:val="clear" w:color="auto" w:fill="FFFFFF"/>
            <w:tcMar>
              <w:left w:w="67" w:type="dxa"/>
              <w:right w:w="67" w:type="dxa"/>
            </w:tcMar>
            <w:vAlign w:val="center"/>
          </w:tcPr>
          <w:p w14:paraId="3D9DFA1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-0.1069</w:t>
            </w:r>
          </w:p>
        </w:tc>
        <w:tc>
          <w:tcPr>
            <w:tcW w:w="1134" w:type="dxa"/>
            <w:tcBorders>
              <w:top w:val="nil"/>
              <w:left w:val="nil"/>
              <w:bottom w:val="nil"/>
              <w:right w:val="nil"/>
            </w:tcBorders>
            <w:shd w:val="clear" w:color="auto" w:fill="FFFFFF"/>
            <w:tcMar>
              <w:left w:w="67" w:type="dxa"/>
              <w:right w:w="67" w:type="dxa"/>
            </w:tcMar>
            <w:vAlign w:val="center"/>
          </w:tcPr>
          <w:p w14:paraId="708FCA6C"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0.0645</w:t>
            </w:r>
          </w:p>
        </w:tc>
        <w:tc>
          <w:tcPr>
            <w:tcW w:w="1134" w:type="dxa"/>
            <w:tcBorders>
              <w:top w:val="nil"/>
              <w:left w:val="nil"/>
              <w:bottom w:val="nil"/>
              <w:right w:val="nil"/>
            </w:tcBorders>
            <w:shd w:val="clear" w:color="auto" w:fill="FFFFFF"/>
            <w:tcMar>
              <w:left w:w="67" w:type="dxa"/>
              <w:right w:w="67" w:type="dxa"/>
            </w:tcMar>
            <w:vAlign w:val="center"/>
          </w:tcPr>
          <w:p w14:paraId="5755866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712BA6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4849FE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BE3B55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2586FF7"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5CC4E5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9E54F5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-0.037418</w:t>
            </w:r>
          </w:p>
        </w:tc>
        <w:tc>
          <w:tcPr>
            <w:tcW w:w="1134" w:type="dxa"/>
            <w:tcBorders>
              <w:top w:val="nil"/>
              <w:left w:val="nil"/>
              <w:bottom w:val="nil"/>
              <w:right w:val="nil"/>
            </w:tcBorders>
            <w:shd w:val="clear" w:color="auto" w:fill="FFFFFF"/>
            <w:tcMar>
              <w:left w:w="67" w:type="dxa"/>
              <w:right w:w="67" w:type="dxa"/>
            </w:tcMar>
            <w:vAlign w:val="center"/>
          </w:tcPr>
          <w:p w14:paraId="7D22B01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0.0292</w:t>
            </w:r>
          </w:p>
        </w:tc>
        <w:tc>
          <w:tcPr>
            <w:tcW w:w="1134" w:type="dxa"/>
            <w:tcBorders>
              <w:top w:val="nil"/>
              <w:left w:val="nil"/>
              <w:bottom w:val="nil"/>
              <w:right w:val="nil"/>
            </w:tcBorders>
            <w:shd w:val="clear" w:color="auto" w:fill="FFFFFF"/>
            <w:tcMar>
              <w:left w:w="67" w:type="dxa"/>
              <w:right w:w="67" w:type="dxa"/>
            </w:tcMar>
            <w:vAlign w:val="center"/>
          </w:tcPr>
          <w:p w14:paraId="36CA9EF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-0.1051</w:t>
            </w:r>
          </w:p>
        </w:tc>
        <w:tc>
          <w:tcPr>
            <w:tcW w:w="1134" w:type="dxa"/>
            <w:tcBorders>
              <w:top w:val="nil"/>
              <w:left w:val="nil"/>
              <w:bottom w:val="nil"/>
              <w:right w:val="nil"/>
            </w:tcBorders>
            <w:shd w:val="clear" w:color="auto" w:fill="FFFFFF"/>
            <w:tcMar>
              <w:left w:w="67" w:type="dxa"/>
              <w:right w:w="67" w:type="dxa"/>
            </w:tcMar>
            <w:vAlign w:val="center"/>
          </w:tcPr>
          <w:p w14:paraId="1640B17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0.0302</w:t>
            </w:r>
          </w:p>
        </w:tc>
        <w:tc>
          <w:tcPr>
            <w:tcW w:w="1134" w:type="dxa"/>
            <w:tcBorders>
              <w:top w:val="nil"/>
              <w:left w:val="nil"/>
              <w:bottom w:val="nil"/>
              <w:right w:val="nil"/>
            </w:tcBorders>
            <w:shd w:val="clear" w:color="auto" w:fill="FFFFFF"/>
            <w:tcMar>
              <w:left w:w="67" w:type="dxa"/>
              <w:right w:w="67" w:type="dxa"/>
            </w:tcMar>
            <w:vAlign w:val="center"/>
          </w:tcPr>
          <w:p w14:paraId="4AE4C5E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588CDB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C48B2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E0EF70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9B1179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9E3945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ABD965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-0.012343</w:t>
            </w:r>
          </w:p>
        </w:tc>
        <w:tc>
          <w:tcPr>
            <w:tcW w:w="1134" w:type="dxa"/>
            <w:tcBorders>
              <w:top w:val="nil"/>
              <w:left w:val="nil"/>
              <w:bottom w:val="nil"/>
              <w:right w:val="nil"/>
            </w:tcBorders>
            <w:shd w:val="clear" w:color="auto" w:fill="FFFFFF"/>
            <w:tcMar>
              <w:left w:w="67" w:type="dxa"/>
              <w:right w:w="67" w:type="dxa"/>
            </w:tcMar>
            <w:vAlign w:val="center"/>
          </w:tcPr>
          <w:p w14:paraId="163D097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0.0288</w:t>
            </w:r>
          </w:p>
        </w:tc>
        <w:tc>
          <w:tcPr>
            <w:tcW w:w="1134" w:type="dxa"/>
            <w:tcBorders>
              <w:top w:val="nil"/>
              <w:left w:val="nil"/>
              <w:bottom w:val="nil"/>
              <w:right w:val="nil"/>
            </w:tcBorders>
            <w:shd w:val="clear" w:color="auto" w:fill="FFFFFF"/>
            <w:tcMar>
              <w:left w:w="67" w:type="dxa"/>
              <w:right w:w="67" w:type="dxa"/>
            </w:tcMar>
            <w:vAlign w:val="center"/>
          </w:tcPr>
          <w:p w14:paraId="3EA17BE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-0.0790</w:t>
            </w:r>
          </w:p>
        </w:tc>
        <w:tc>
          <w:tcPr>
            <w:tcW w:w="1134" w:type="dxa"/>
            <w:tcBorders>
              <w:top w:val="nil"/>
              <w:left w:val="nil"/>
              <w:bottom w:val="nil"/>
              <w:right w:val="nil"/>
            </w:tcBorders>
            <w:shd w:val="clear" w:color="auto" w:fill="FFFFFF"/>
            <w:tcMar>
              <w:left w:w="67" w:type="dxa"/>
              <w:right w:w="67" w:type="dxa"/>
            </w:tcMar>
            <w:vAlign w:val="center"/>
          </w:tcPr>
          <w:p w14:paraId="541B9DBE"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0.0543</w:t>
            </w:r>
          </w:p>
        </w:tc>
        <w:tc>
          <w:tcPr>
            <w:tcW w:w="1134" w:type="dxa"/>
            <w:tcBorders>
              <w:top w:val="nil"/>
              <w:left w:val="nil"/>
              <w:bottom w:val="nil"/>
              <w:right w:val="nil"/>
            </w:tcBorders>
            <w:shd w:val="clear" w:color="auto" w:fill="FFFFFF"/>
            <w:tcMar>
              <w:left w:w="67" w:type="dxa"/>
              <w:right w:w="67" w:type="dxa"/>
            </w:tcMar>
            <w:vAlign w:val="center"/>
          </w:tcPr>
          <w:p w14:paraId="427F64C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C4A0F9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440F6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E0F0FB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F28560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979667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15CE336"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-0.012853</w:t>
            </w:r>
          </w:p>
        </w:tc>
        <w:tc>
          <w:tcPr>
            <w:tcW w:w="1134" w:type="dxa"/>
            <w:tcBorders>
              <w:top w:val="nil"/>
              <w:left w:val="nil"/>
              <w:bottom w:val="nil"/>
              <w:right w:val="nil"/>
            </w:tcBorders>
            <w:shd w:val="clear" w:color="auto" w:fill="FFFFFF"/>
            <w:tcMar>
              <w:left w:w="67" w:type="dxa"/>
              <w:right w:w="67" w:type="dxa"/>
            </w:tcMar>
            <w:vAlign w:val="center"/>
          </w:tcPr>
          <w:p w14:paraId="53854B6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0.0294</w:t>
            </w:r>
          </w:p>
        </w:tc>
        <w:tc>
          <w:tcPr>
            <w:tcW w:w="1134" w:type="dxa"/>
            <w:tcBorders>
              <w:top w:val="nil"/>
              <w:left w:val="nil"/>
              <w:bottom w:val="nil"/>
              <w:right w:val="nil"/>
            </w:tcBorders>
            <w:shd w:val="clear" w:color="auto" w:fill="FFFFFF"/>
            <w:tcMar>
              <w:left w:w="67" w:type="dxa"/>
              <w:right w:w="67" w:type="dxa"/>
            </w:tcMar>
            <w:vAlign w:val="center"/>
          </w:tcPr>
          <w:p w14:paraId="3BA9D45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-0.0809</w:t>
            </w:r>
          </w:p>
        </w:tc>
        <w:tc>
          <w:tcPr>
            <w:tcW w:w="1134" w:type="dxa"/>
            <w:tcBorders>
              <w:top w:val="nil"/>
              <w:left w:val="nil"/>
              <w:bottom w:val="nil"/>
              <w:right w:val="nil"/>
            </w:tcBorders>
            <w:shd w:val="clear" w:color="auto" w:fill="FFFFFF"/>
            <w:tcMar>
              <w:left w:w="67" w:type="dxa"/>
              <w:right w:w="67" w:type="dxa"/>
            </w:tcMar>
            <w:vAlign w:val="center"/>
          </w:tcPr>
          <w:p w14:paraId="7D4474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0.0552</w:t>
            </w:r>
          </w:p>
        </w:tc>
        <w:tc>
          <w:tcPr>
            <w:tcW w:w="1134" w:type="dxa"/>
            <w:tcBorders>
              <w:top w:val="nil"/>
              <w:left w:val="nil"/>
              <w:bottom w:val="nil"/>
              <w:right w:val="nil"/>
            </w:tcBorders>
            <w:shd w:val="clear" w:color="auto" w:fill="FFFFFF"/>
            <w:tcMar>
              <w:left w:w="67" w:type="dxa"/>
              <w:right w:w="67" w:type="dxa"/>
            </w:tcMar>
            <w:vAlign w:val="center"/>
          </w:tcPr>
          <w:p w14:paraId="46291F36"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29F3E0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21C2DA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3F9A44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2DBC3D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13F4E474"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4ECE55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-0.000793</w:t>
            </w:r>
          </w:p>
        </w:tc>
        <w:tc>
          <w:tcPr>
            <w:tcW w:w="1134" w:type="dxa"/>
            <w:tcBorders>
              <w:top w:val="nil"/>
              <w:left w:val="nil"/>
              <w:bottom w:val="nil"/>
              <w:right w:val="nil"/>
            </w:tcBorders>
            <w:shd w:val="clear" w:color="auto" w:fill="FFFFFF"/>
            <w:tcMar>
              <w:left w:w="67" w:type="dxa"/>
              <w:right w:w="67" w:type="dxa"/>
            </w:tcMar>
            <w:vAlign w:val="center"/>
          </w:tcPr>
          <w:p w14:paraId="7F274B7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0.0009</w:t>
            </w:r>
          </w:p>
        </w:tc>
        <w:tc>
          <w:tcPr>
            <w:tcW w:w="1134" w:type="dxa"/>
            <w:tcBorders>
              <w:top w:val="nil"/>
              <w:left w:val="nil"/>
              <w:bottom w:val="nil"/>
              <w:right w:val="nil"/>
            </w:tcBorders>
            <w:shd w:val="clear" w:color="auto" w:fill="FFFFFF"/>
            <w:tcMar>
              <w:left w:w="67" w:type="dxa"/>
              <w:right w:w="67" w:type="dxa"/>
            </w:tcMar>
            <w:vAlign w:val="center"/>
          </w:tcPr>
          <w:p w14:paraId="21860C2A"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2E8D602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00ADA6A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0.73</w:t>
            </w:r>
          </w:p>
        </w:tc>
        <w:tc>
          <w:tcPr>
            <w:tcW w:w="567" w:type="dxa"/>
            <w:tcBorders>
              <w:top w:val="nil"/>
              <w:left w:val="nil"/>
              <w:bottom w:val="nil"/>
              <w:right w:val="nil"/>
            </w:tcBorders>
            <w:shd w:val="clear" w:color="auto" w:fill="FFFFFF"/>
            <w:tcMar>
              <w:left w:w="67" w:type="dxa"/>
              <w:right w:w="67" w:type="dxa"/>
            </w:tcMar>
            <w:vAlign w:val="center"/>
          </w:tcPr>
          <w:p w14:paraId="20DF5E9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43D6FE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0.3979</w:t>
            </w:r>
          </w:p>
        </w:tc>
      </w:tr>
      <w:tr w:rsidR="00B77EA3" w:rsidRPr="0082484A" w14:paraId="3478D7C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B1F1278"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42142DF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B335C6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0.002331</w:t>
            </w:r>
          </w:p>
        </w:tc>
        <w:tc>
          <w:tcPr>
            <w:tcW w:w="1134" w:type="dxa"/>
            <w:tcBorders>
              <w:top w:val="nil"/>
              <w:left w:val="nil"/>
              <w:bottom w:val="nil"/>
              <w:right w:val="nil"/>
            </w:tcBorders>
            <w:shd w:val="clear" w:color="auto" w:fill="FFFFFF"/>
            <w:tcMar>
              <w:left w:w="67" w:type="dxa"/>
              <w:right w:w="67" w:type="dxa"/>
            </w:tcMar>
            <w:vAlign w:val="center"/>
          </w:tcPr>
          <w:p w14:paraId="1C6D393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253872E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019D0128"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0.0052</w:t>
            </w:r>
          </w:p>
        </w:tc>
        <w:tc>
          <w:tcPr>
            <w:tcW w:w="1134" w:type="dxa"/>
            <w:tcBorders>
              <w:top w:val="nil"/>
              <w:left w:val="nil"/>
              <w:bottom w:val="nil"/>
              <w:right w:val="nil"/>
            </w:tcBorders>
            <w:shd w:val="clear" w:color="auto" w:fill="FFFFFF"/>
            <w:tcMar>
              <w:left w:w="67" w:type="dxa"/>
              <w:right w:w="67" w:type="dxa"/>
            </w:tcMar>
            <w:vAlign w:val="center"/>
          </w:tcPr>
          <w:p w14:paraId="7F420AF5"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3.60</w:t>
            </w:r>
          </w:p>
        </w:tc>
        <w:tc>
          <w:tcPr>
            <w:tcW w:w="567" w:type="dxa"/>
            <w:tcBorders>
              <w:top w:val="nil"/>
              <w:left w:val="nil"/>
              <w:bottom w:val="nil"/>
              <w:right w:val="nil"/>
            </w:tcBorders>
            <w:shd w:val="clear" w:color="auto" w:fill="FFFFFF"/>
            <w:tcMar>
              <w:left w:w="67" w:type="dxa"/>
              <w:right w:w="67" w:type="dxa"/>
            </w:tcMar>
            <w:vAlign w:val="center"/>
          </w:tcPr>
          <w:p w14:paraId="23AB586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F6A84E2"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0.0636</w:t>
            </w:r>
          </w:p>
        </w:tc>
      </w:tr>
      <w:tr w:rsidR="00B77EA3" w:rsidRPr="0082484A" w14:paraId="4E0F420A"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1AFAA292"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C3B7423"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E325ED"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0.000616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832CC51"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FD50364"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-0.0002</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9EFBD23"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0.0014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37CF30"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3.32</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61145ECB"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5858369" w14:textId="77777777" w:rsidR="00B77EA3" w:rsidRPr="0082484A" w:rsidRDefault="00B77EA3" w:rsidP="00B77EA3">
            <w:pPr>
              <w:spacing w:beforeLines="10" w:before="24" w:afterLines="10" w:after="24" w:line="240" w:lineRule="auto"/>
              <w:jc w:val="center"/>
              <w:rPr>
                <w:sz w:val="22"/>
                <w:szCs w:val="22"/>
              </w:rPr>
            </w:pPr>
            <w:r w:rsidRPr="0082484A">
              <w:rPr>
                <w:sz w:val="22"/>
                <w:szCs w:val="22"/>
              </w:rPr>
              <w:t>0.0746</w:t>
            </w:r>
          </w:p>
        </w:tc>
      </w:tr>
    </w:tbl>
    <w:p w14:paraId="3A160580" w14:textId="67968F58" w:rsidR="00B77EA3" w:rsidRPr="0082484A" w:rsidRDefault="00B77EA3" w:rsidP="00B77EA3">
      <w:pPr>
        <w:spacing w:before="0" w:line="240" w:lineRule="auto"/>
        <w:rPr>
          <w:bCs/>
          <w:sz w:val="22"/>
          <w:szCs w:val="22"/>
        </w:rPr>
      </w:pPr>
      <w:bookmarkStart w:id="267" w:name="_Ref502918100"/>
      <w:bookmarkStart w:id="268" w:name="_Toc8728146"/>
      <w:bookmarkStart w:id="269" w:name="_Toc1952680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72</w:t>
      </w:r>
      <w:r w:rsidRPr="0082484A">
        <w:rPr>
          <w:bCs/>
          <w:noProof/>
          <w:sz w:val="22"/>
          <w:szCs w:val="22"/>
        </w:rPr>
        <w:fldChar w:fldCharType="end"/>
      </w:r>
      <w:bookmarkEnd w:id="267"/>
      <w:r w:rsidRPr="0082484A">
        <w:rPr>
          <w:bCs/>
          <w:sz w:val="22"/>
          <w:szCs w:val="22"/>
        </w:rPr>
        <w:t>: Trial 1 practices comparison. Achievement of QOF indicator, ‘The percentage of patients with any or any combination of the following conditions: CHD, PAD, stroke or TIA, hypertension, diabetes, COPD, CKD, asthma, schizophrenia, bipolar affective disorder or other psychoses whose notes record smoking status in the preceding 12 months’ (SMOK002) (WP4a)</w:t>
      </w:r>
      <w:bookmarkEnd w:id="268"/>
      <w:bookmarkEnd w:id="269"/>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388CE783"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9DDD31E"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DF91B03" w14:textId="77777777" w:rsidR="00B77EA3" w:rsidRPr="0082484A" w:rsidRDefault="00B77EA3" w:rsidP="00B77EA3">
            <w:pPr>
              <w:spacing w:beforeLines="10" w:before="24" w:afterLines="10" w:after="24" w:line="240" w:lineRule="auto"/>
              <w:rPr>
                <w:bCs/>
                <w:sz w:val="22"/>
                <w:szCs w:val="22"/>
              </w:rPr>
            </w:pPr>
            <w:r w:rsidRPr="0082484A">
              <w:rPr>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88E1855"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E48515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76555FE"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5A0AD83"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2D7C4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C060CE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F29FAF1"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61B2ABA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09A5F17"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0D3EA84F"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37CBA5F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0.010086</w:t>
            </w:r>
          </w:p>
        </w:tc>
        <w:tc>
          <w:tcPr>
            <w:tcW w:w="1134" w:type="dxa"/>
            <w:tcBorders>
              <w:top w:val="nil"/>
              <w:left w:val="nil"/>
              <w:bottom w:val="nil"/>
              <w:right w:val="nil"/>
            </w:tcBorders>
            <w:shd w:val="clear" w:color="auto" w:fill="FFFFFF"/>
            <w:tcMar>
              <w:left w:w="67" w:type="dxa"/>
              <w:right w:w="67" w:type="dxa"/>
            </w:tcMar>
            <w:vAlign w:val="center"/>
          </w:tcPr>
          <w:p w14:paraId="1AAA77E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0.0060</w:t>
            </w:r>
          </w:p>
        </w:tc>
        <w:tc>
          <w:tcPr>
            <w:tcW w:w="1134" w:type="dxa"/>
            <w:tcBorders>
              <w:top w:val="nil"/>
              <w:left w:val="nil"/>
              <w:bottom w:val="nil"/>
              <w:right w:val="nil"/>
            </w:tcBorders>
            <w:shd w:val="clear" w:color="auto" w:fill="FFFFFF"/>
            <w:tcMar>
              <w:left w:w="67" w:type="dxa"/>
              <w:right w:w="67" w:type="dxa"/>
            </w:tcMar>
            <w:vAlign w:val="center"/>
          </w:tcPr>
          <w:p w14:paraId="18C5BE5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-0.0036</w:t>
            </w:r>
          </w:p>
        </w:tc>
        <w:tc>
          <w:tcPr>
            <w:tcW w:w="1134" w:type="dxa"/>
            <w:tcBorders>
              <w:top w:val="nil"/>
              <w:left w:val="nil"/>
              <w:bottom w:val="nil"/>
              <w:right w:val="nil"/>
            </w:tcBorders>
            <w:shd w:val="clear" w:color="auto" w:fill="FFFFFF"/>
            <w:tcMar>
              <w:left w:w="67" w:type="dxa"/>
              <w:right w:w="67" w:type="dxa"/>
            </w:tcMar>
            <w:vAlign w:val="center"/>
          </w:tcPr>
          <w:p w14:paraId="7523F40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0.0238</w:t>
            </w:r>
          </w:p>
        </w:tc>
        <w:tc>
          <w:tcPr>
            <w:tcW w:w="1134" w:type="dxa"/>
            <w:tcBorders>
              <w:top w:val="nil"/>
              <w:left w:val="nil"/>
              <w:bottom w:val="nil"/>
              <w:right w:val="nil"/>
            </w:tcBorders>
            <w:shd w:val="clear" w:color="auto" w:fill="FFFFFF"/>
            <w:tcMar>
              <w:left w:w="67" w:type="dxa"/>
              <w:right w:w="67" w:type="dxa"/>
            </w:tcMar>
            <w:vAlign w:val="center"/>
          </w:tcPr>
          <w:p w14:paraId="7F54D9D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2.86</w:t>
            </w:r>
          </w:p>
        </w:tc>
        <w:tc>
          <w:tcPr>
            <w:tcW w:w="567" w:type="dxa"/>
            <w:tcBorders>
              <w:top w:val="nil"/>
              <w:left w:val="nil"/>
              <w:bottom w:val="nil"/>
              <w:right w:val="nil"/>
            </w:tcBorders>
            <w:shd w:val="clear" w:color="auto" w:fill="FFFFFF"/>
            <w:tcMar>
              <w:left w:w="67" w:type="dxa"/>
              <w:right w:w="67" w:type="dxa"/>
            </w:tcMar>
            <w:vAlign w:val="center"/>
          </w:tcPr>
          <w:p w14:paraId="7536540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042E75D"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0.0955</w:t>
            </w:r>
          </w:p>
        </w:tc>
      </w:tr>
      <w:tr w:rsidR="00B77EA3" w:rsidRPr="0082484A" w14:paraId="6E8B75E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E6F3F51"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2CDCDB9F"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2FE22A6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-0.000111</w:t>
            </w:r>
          </w:p>
        </w:tc>
        <w:tc>
          <w:tcPr>
            <w:tcW w:w="1134" w:type="dxa"/>
            <w:tcBorders>
              <w:top w:val="nil"/>
              <w:left w:val="nil"/>
              <w:bottom w:val="nil"/>
              <w:right w:val="nil"/>
            </w:tcBorders>
            <w:shd w:val="clear" w:color="auto" w:fill="FFFFFF"/>
            <w:tcMar>
              <w:left w:w="67" w:type="dxa"/>
              <w:right w:w="67" w:type="dxa"/>
            </w:tcMar>
            <w:vAlign w:val="center"/>
          </w:tcPr>
          <w:p w14:paraId="1281310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0143505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0E6E995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43FD4FC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1.37</w:t>
            </w:r>
          </w:p>
        </w:tc>
        <w:tc>
          <w:tcPr>
            <w:tcW w:w="567" w:type="dxa"/>
            <w:tcBorders>
              <w:top w:val="nil"/>
              <w:left w:val="nil"/>
              <w:bottom w:val="nil"/>
              <w:right w:val="nil"/>
            </w:tcBorders>
            <w:shd w:val="clear" w:color="auto" w:fill="FFFFFF"/>
            <w:tcMar>
              <w:left w:w="67" w:type="dxa"/>
              <w:right w:w="67" w:type="dxa"/>
            </w:tcMar>
            <w:vAlign w:val="center"/>
          </w:tcPr>
          <w:p w14:paraId="67E9B0C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B30E9F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0.2464</w:t>
            </w:r>
          </w:p>
        </w:tc>
      </w:tr>
      <w:tr w:rsidR="00B77EA3" w:rsidRPr="0082484A" w14:paraId="251163F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735FC7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D238F9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848616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0.007446</w:t>
            </w:r>
          </w:p>
        </w:tc>
        <w:tc>
          <w:tcPr>
            <w:tcW w:w="1134" w:type="dxa"/>
            <w:tcBorders>
              <w:top w:val="nil"/>
              <w:left w:val="nil"/>
              <w:bottom w:val="nil"/>
              <w:right w:val="nil"/>
            </w:tcBorders>
            <w:shd w:val="clear" w:color="auto" w:fill="FFFFFF"/>
            <w:tcMar>
              <w:left w:w="67" w:type="dxa"/>
              <w:right w:w="67" w:type="dxa"/>
            </w:tcMar>
            <w:vAlign w:val="center"/>
          </w:tcPr>
          <w:p w14:paraId="5BCDAC9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0.0177</w:t>
            </w:r>
          </w:p>
        </w:tc>
        <w:tc>
          <w:tcPr>
            <w:tcW w:w="1134" w:type="dxa"/>
            <w:tcBorders>
              <w:top w:val="nil"/>
              <w:left w:val="nil"/>
              <w:bottom w:val="nil"/>
              <w:right w:val="nil"/>
            </w:tcBorders>
            <w:shd w:val="clear" w:color="auto" w:fill="FFFFFF"/>
            <w:tcMar>
              <w:left w:w="67" w:type="dxa"/>
              <w:right w:w="67" w:type="dxa"/>
            </w:tcMar>
            <w:vAlign w:val="center"/>
          </w:tcPr>
          <w:p w14:paraId="7C64216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-0.0331</w:t>
            </w:r>
          </w:p>
        </w:tc>
        <w:tc>
          <w:tcPr>
            <w:tcW w:w="1134" w:type="dxa"/>
            <w:tcBorders>
              <w:top w:val="nil"/>
              <w:left w:val="nil"/>
              <w:bottom w:val="nil"/>
              <w:right w:val="nil"/>
            </w:tcBorders>
            <w:shd w:val="clear" w:color="auto" w:fill="FFFFFF"/>
            <w:tcMar>
              <w:left w:w="67" w:type="dxa"/>
              <w:right w:w="67" w:type="dxa"/>
            </w:tcMar>
            <w:vAlign w:val="center"/>
          </w:tcPr>
          <w:p w14:paraId="286378B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0.0480</w:t>
            </w:r>
          </w:p>
        </w:tc>
        <w:tc>
          <w:tcPr>
            <w:tcW w:w="1134" w:type="dxa"/>
            <w:tcBorders>
              <w:top w:val="nil"/>
              <w:left w:val="nil"/>
              <w:bottom w:val="nil"/>
              <w:right w:val="nil"/>
            </w:tcBorders>
            <w:shd w:val="clear" w:color="auto" w:fill="FFFFFF"/>
            <w:tcMar>
              <w:left w:w="67" w:type="dxa"/>
              <w:right w:w="67" w:type="dxa"/>
            </w:tcMar>
            <w:vAlign w:val="center"/>
          </w:tcPr>
          <w:p w14:paraId="0B1AD2C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1.05</w:t>
            </w:r>
          </w:p>
        </w:tc>
        <w:tc>
          <w:tcPr>
            <w:tcW w:w="567" w:type="dxa"/>
            <w:tcBorders>
              <w:top w:val="nil"/>
              <w:left w:val="nil"/>
              <w:bottom w:val="nil"/>
              <w:right w:val="nil"/>
            </w:tcBorders>
            <w:shd w:val="clear" w:color="auto" w:fill="FFFFFF"/>
            <w:tcMar>
              <w:left w:w="67" w:type="dxa"/>
              <w:right w:w="67" w:type="dxa"/>
            </w:tcMar>
            <w:vAlign w:val="center"/>
          </w:tcPr>
          <w:p w14:paraId="1F15156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6E1F21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0.4150</w:t>
            </w:r>
          </w:p>
        </w:tc>
      </w:tr>
      <w:tr w:rsidR="00B77EA3" w:rsidRPr="0082484A" w14:paraId="626729D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7353ED2"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0B7BF5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433C67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0.024762</w:t>
            </w:r>
          </w:p>
        </w:tc>
        <w:tc>
          <w:tcPr>
            <w:tcW w:w="1134" w:type="dxa"/>
            <w:tcBorders>
              <w:top w:val="nil"/>
              <w:left w:val="nil"/>
              <w:bottom w:val="nil"/>
              <w:right w:val="nil"/>
            </w:tcBorders>
            <w:shd w:val="clear" w:color="auto" w:fill="FFFFFF"/>
            <w:tcMar>
              <w:left w:w="67" w:type="dxa"/>
              <w:right w:w="67" w:type="dxa"/>
            </w:tcMar>
            <w:vAlign w:val="center"/>
          </w:tcPr>
          <w:p w14:paraId="3151B1F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0.0142</w:t>
            </w:r>
          </w:p>
        </w:tc>
        <w:tc>
          <w:tcPr>
            <w:tcW w:w="1134" w:type="dxa"/>
            <w:tcBorders>
              <w:top w:val="nil"/>
              <w:left w:val="nil"/>
              <w:bottom w:val="nil"/>
              <w:right w:val="nil"/>
            </w:tcBorders>
            <w:shd w:val="clear" w:color="auto" w:fill="FFFFFF"/>
            <w:tcMar>
              <w:left w:w="67" w:type="dxa"/>
              <w:right w:w="67" w:type="dxa"/>
            </w:tcMar>
            <w:vAlign w:val="center"/>
          </w:tcPr>
          <w:p w14:paraId="2625892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-0.0079</w:t>
            </w:r>
          </w:p>
        </w:tc>
        <w:tc>
          <w:tcPr>
            <w:tcW w:w="1134" w:type="dxa"/>
            <w:tcBorders>
              <w:top w:val="nil"/>
              <w:left w:val="nil"/>
              <w:bottom w:val="nil"/>
              <w:right w:val="nil"/>
            </w:tcBorders>
            <w:shd w:val="clear" w:color="auto" w:fill="FFFFFF"/>
            <w:tcMar>
              <w:left w:w="67" w:type="dxa"/>
              <w:right w:w="67" w:type="dxa"/>
            </w:tcMar>
            <w:vAlign w:val="center"/>
          </w:tcPr>
          <w:p w14:paraId="090A918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0.0574</w:t>
            </w:r>
          </w:p>
        </w:tc>
        <w:tc>
          <w:tcPr>
            <w:tcW w:w="1134" w:type="dxa"/>
            <w:tcBorders>
              <w:top w:val="nil"/>
              <w:left w:val="nil"/>
              <w:bottom w:val="nil"/>
              <w:right w:val="nil"/>
            </w:tcBorders>
            <w:shd w:val="clear" w:color="auto" w:fill="FFFFFF"/>
            <w:tcMar>
              <w:left w:w="67" w:type="dxa"/>
              <w:right w:w="67" w:type="dxa"/>
            </w:tcMar>
            <w:vAlign w:val="center"/>
          </w:tcPr>
          <w:p w14:paraId="757CC58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EB2805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0F281B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F3BB460"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ABCE736"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BFECEB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94E3DD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0.013304</w:t>
            </w:r>
          </w:p>
        </w:tc>
        <w:tc>
          <w:tcPr>
            <w:tcW w:w="1134" w:type="dxa"/>
            <w:tcBorders>
              <w:top w:val="nil"/>
              <w:left w:val="nil"/>
              <w:bottom w:val="nil"/>
              <w:right w:val="nil"/>
            </w:tcBorders>
            <w:shd w:val="clear" w:color="auto" w:fill="FFFFFF"/>
            <w:tcMar>
              <w:left w:w="67" w:type="dxa"/>
              <w:right w:w="67" w:type="dxa"/>
            </w:tcMar>
            <w:vAlign w:val="center"/>
          </w:tcPr>
          <w:p w14:paraId="79A753B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0.0111</w:t>
            </w:r>
          </w:p>
        </w:tc>
        <w:tc>
          <w:tcPr>
            <w:tcW w:w="1134" w:type="dxa"/>
            <w:tcBorders>
              <w:top w:val="nil"/>
              <w:left w:val="nil"/>
              <w:bottom w:val="nil"/>
              <w:right w:val="nil"/>
            </w:tcBorders>
            <w:shd w:val="clear" w:color="auto" w:fill="FFFFFF"/>
            <w:tcMar>
              <w:left w:w="67" w:type="dxa"/>
              <w:right w:w="67" w:type="dxa"/>
            </w:tcMar>
            <w:vAlign w:val="center"/>
          </w:tcPr>
          <w:p w14:paraId="23449CC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-0.0121</w:t>
            </w:r>
          </w:p>
        </w:tc>
        <w:tc>
          <w:tcPr>
            <w:tcW w:w="1134" w:type="dxa"/>
            <w:tcBorders>
              <w:top w:val="nil"/>
              <w:left w:val="nil"/>
              <w:bottom w:val="nil"/>
              <w:right w:val="nil"/>
            </w:tcBorders>
            <w:shd w:val="clear" w:color="auto" w:fill="FFFFFF"/>
            <w:tcMar>
              <w:left w:w="67" w:type="dxa"/>
              <w:right w:w="67" w:type="dxa"/>
            </w:tcMar>
            <w:vAlign w:val="center"/>
          </w:tcPr>
          <w:p w14:paraId="1A3F68C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0.0387</w:t>
            </w:r>
          </w:p>
        </w:tc>
        <w:tc>
          <w:tcPr>
            <w:tcW w:w="1134" w:type="dxa"/>
            <w:tcBorders>
              <w:top w:val="nil"/>
              <w:left w:val="nil"/>
              <w:bottom w:val="nil"/>
              <w:right w:val="nil"/>
            </w:tcBorders>
            <w:shd w:val="clear" w:color="auto" w:fill="FFFFFF"/>
            <w:tcMar>
              <w:left w:w="67" w:type="dxa"/>
              <w:right w:w="67" w:type="dxa"/>
            </w:tcMar>
            <w:vAlign w:val="center"/>
          </w:tcPr>
          <w:p w14:paraId="0DA3055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0FAD4C"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E78114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899E456"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08389C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149C5BA"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633450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0.009568</w:t>
            </w:r>
          </w:p>
        </w:tc>
        <w:tc>
          <w:tcPr>
            <w:tcW w:w="1134" w:type="dxa"/>
            <w:tcBorders>
              <w:top w:val="nil"/>
              <w:left w:val="nil"/>
              <w:bottom w:val="nil"/>
              <w:right w:val="nil"/>
            </w:tcBorders>
            <w:shd w:val="clear" w:color="auto" w:fill="FFFFFF"/>
            <w:tcMar>
              <w:left w:w="67" w:type="dxa"/>
              <w:right w:w="67" w:type="dxa"/>
            </w:tcMar>
            <w:vAlign w:val="center"/>
          </w:tcPr>
          <w:p w14:paraId="47EB849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0.0149</w:t>
            </w:r>
          </w:p>
        </w:tc>
        <w:tc>
          <w:tcPr>
            <w:tcW w:w="1134" w:type="dxa"/>
            <w:tcBorders>
              <w:top w:val="nil"/>
              <w:left w:val="nil"/>
              <w:bottom w:val="nil"/>
              <w:right w:val="nil"/>
            </w:tcBorders>
            <w:shd w:val="clear" w:color="auto" w:fill="FFFFFF"/>
            <w:tcMar>
              <w:left w:w="67" w:type="dxa"/>
              <w:right w:w="67" w:type="dxa"/>
            </w:tcMar>
            <w:vAlign w:val="center"/>
          </w:tcPr>
          <w:p w14:paraId="314A826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-0.0246</w:t>
            </w:r>
          </w:p>
        </w:tc>
        <w:tc>
          <w:tcPr>
            <w:tcW w:w="1134" w:type="dxa"/>
            <w:tcBorders>
              <w:top w:val="nil"/>
              <w:left w:val="nil"/>
              <w:bottom w:val="nil"/>
              <w:right w:val="nil"/>
            </w:tcBorders>
            <w:shd w:val="clear" w:color="auto" w:fill="FFFFFF"/>
            <w:tcMar>
              <w:left w:w="67" w:type="dxa"/>
              <w:right w:w="67" w:type="dxa"/>
            </w:tcMar>
            <w:vAlign w:val="center"/>
          </w:tcPr>
          <w:p w14:paraId="1279725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0.0437</w:t>
            </w:r>
          </w:p>
        </w:tc>
        <w:tc>
          <w:tcPr>
            <w:tcW w:w="1134" w:type="dxa"/>
            <w:tcBorders>
              <w:top w:val="nil"/>
              <w:left w:val="nil"/>
              <w:bottom w:val="nil"/>
              <w:right w:val="nil"/>
            </w:tcBorders>
            <w:shd w:val="clear" w:color="auto" w:fill="FFFFFF"/>
            <w:tcMar>
              <w:left w:w="67" w:type="dxa"/>
              <w:right w:w="67" w:type="dxa"/>
            </w:tcMar>
            <w:vAlign w:val="center"/>
          </w:tcPr>
          <w:p w14:paraId="5823A9E0"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B38DA6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F1F8E0F"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53A48C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2D9A011"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31DE8A8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174915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-0.009449</w:t>
            </w:r>
          </w:p>
        </w:tc>
        <w:tc>
          <w:tcPr>
            <w:tcW w:w="1134" w:type="dxa"/>
            <w:tcBorders>
              <w:top w:val="nil"/>
              <w:left w:val="nil"/>
              <w:bottom w:val="nil"/>
              <w:right w:val="nil"/>
            </w:tcBorders>
            <w:shd w:val="clear" w:color="auto" w:fill="FFFFFF"/>
            <w:tcMar>
              <w:left w:w="67" w:type="dxa"/>
              <w:right w:w="67" w:type="dxa"/>
            </w:tcMar>
            <w:vAlign w:val="center"/>
          </w:tcPr>
          <w:p w14:paraId="2FF98B7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0.0139</w:t>
            </w:r>
          </w:p>
        </w:tc>
        <w:tc>
          <w:tcPr>
            <w:tcW w:w="1134" w:type="dxa"/>
            <w:tcBorders>
              <w:top w:val="nil"/>
              <w:left w:val="nil"/>
              <w:bottom w:val="nil"/>
              <w:right w:val="nil"/>
            </w:tcBorders>
            <w:shd w:val="clear" w:color="auto" w:fill="FFFFFF"/>
            <w:tcMar>
              <w:left w:w="67" w:type="dxa"/>
              <w:right w:w="67" w:type="dxa"/>
            </w:tcMar>
            <w:vAlign w:val="center"/>
          </w:tcPr>
          <w:p w14:paraId="1367C5D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-0.0413</w:t>
            </w:r>
          </w:p>
        </w:tc>
        <w:tc>
          <w:tcPr>
            <w:tcW w:w="1134" w:type="dxa"/>
            <w:tcBorders>
              <w:top w:val="nil"/>
              <w:left w:val="nil"/>
              <w:bottom w:val="nil"/>
              <w:right w:val="nil"/>
            </w:tcBorders>
            <w:shd w:val="clear" w:color="auto" w:fill="FFFFFF"/>
            <w:tcMar>
              <w:left w:w="67" w:type="dxa"/>
              <w:right w:w="67" w:type="dxa"/>
            </w:tcMar>
            <w:vAlign w:val="center"/>
          </w:tcPr>
          <w:p w14:paraId="0F1DCE1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0.0224</w:t>
            </w:r>
          </w:p>
        </w:tc>
        <w:tc>
          <w:tcPr>
            <w:tcW w:w="1134" w:type="dxa"/>
            <w:tcBorders>
              <w:top w:val="nil"/>
              <w:left w:val="nil"/>
              <w:bottom w:val="nil"/>
              <w:right w:val="nil"/>
            </w:tcBorders>
            <w:shd w:val="clear" w:color="auto" w:fill="FFFFFF"/>
            <w:tcMar>
              <w:left w:w="67" w:type="dxa"/>
              <w:right w:w="67" w:type="dxa"/>
            </w:tcMar>
            <w:vAlign w:val="center"/>
          </w:tcPr>
          <w:p w14:paraId="0578A519"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06267E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A38EF1E"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AE7FB1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081F8A"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AAED204"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BBB7F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0.017449</w:t>
            </w:r>
          </w:p>
        </w:tc>
        <w:tc>
          <w:tcPr>
            <w:tcW w:w="1134" w:type="dxa"/>
            <w:tcBorders>
              <w:top w:val="nil"/>
              <w:left w:val="nil"/>
              <w:bottom w:val="nil"/>
              <w:right w:val="nil"/>
            </w:tcBorders>
            <w:shd w:val="clear" w:color="auto" w:fill="FFFFFF"/>
            <w:tcMar>
              <w:left w:w="67" w:type="dxa"/>
              <w:right w:w="67" w:type="dxa"/>
            </w:tcMar>
            <w:vAlign w:val="center"/>
          </w:tcPr>
          <w:p w14:paraId="2F8DA11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0.0152</w:t>
            </w:r>
          </w:p>
        </w:tc>
        <w:tc>
          <w:tcPr>
            <w:tcW w:w="1134" w:type="dxa"/>
            <w:tcBorders>
              <w:top w:val="nil"/>
              <w:left w:val="nil"/>
              <w:bottom w:val="nil"/>
              <w:right w:val="nil"/>
            </w:tcBorders>
            <w:shd w:val="clear" w:color="auto" w:fill="FFFFFF"/>
            <w:tcMar>
              <w:left w:w="67" w:type="dxa"/>
              <w:right w:w="67" w:type="dxa"/>
            </w:tcMar>
            <w:vAlign w:val="center"/>
          </w:tcPr>
          <w:p w14:paraId="676A2D8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-0.0175</w:t>
            </w:r>
          </w:p>
        </w:tc>
        <w:tc>
          <w:tcPr>
            <w:tcW w:w="1134" w:type="dxa"/>
            <w:tcBorders>
              <w:top w:val="nil"/>
              <w:left w:val="nil"/>
              <w:bottom w:val="nil"/>
              <w:right w:val="nil"/>
            </w:tcBorders>
            <w:shd w:val="clear" w:color="auto" w:fill="FFFFFF"/>
            <w:tcMar>
              <w:left w:w="67" w:type="dxa"/>
              <w:right w:w="67" w:type="dxa"/>
            </w:tcMar>
            <w:vAlign w:val="center"/>
          </w:tcPr>
          <w:p w14:paraId="6F6147A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0.0524</w:t>
            </w:r>
          </w:p>
        </w:tc>
        <w:tc>
          <w:tcPr>
            <w:tcW w:w="1134" w:type="dxa"/>
            <w:tcBorders>
              <w:top w:val="nil"/>
              <w:left w:val="nil"/>
              <w:bottom w:val="nil"/>
              <w:right w:val="nil"/>
            </w:tcBorders>
            <w:shd w:val="clear" w:color="auto" w:fill="FFFFFF"/>
            <w:tcMar>
              <w:left w:w="67" w:type="dxa"/>
              <w:right w:w="67" w:type="dxa"/>
            </w:tcMar>
            <w:vAlign w:val="center"/>
          </w:tcPr>
          <w:p w14:paraId="02074ABC"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CCAB91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82B299B"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7B11777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098B51D"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68FADE"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F6CEE9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0.008056</w:t>
            </w:r>
          </w:p>
        </w:tc>
        <w:tc>
          <w:tcPr>
            <w:tcW w:w="1134" w:type="dxa"/>
            <w:tcBorders>
              <w:top w:val="nil"/>
              <w:left w:val="nil"/>
              <w:bottom w:val="nil"/>
              <w:right w:val="nil"/>
            </w:tcBorders>
            <w:shd w:val="clear" w:color="auto" w:fill="FFFFFF"/>
            <w:tcMar>
              <w:left w:w="67" w:type="dxa"/>
              <w:right w:w="67" w:type="dxa"/>
            </w:tcMar>
            <w:vAlign w:val="center"/>
          </w:tcPr>
          <w:p w14:paraId="310AE05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0.0131</w:t>
            </w:r>
          </w:p>
        </w:tc>
        <w:tc>
          <w:tcPr>
            <w:tcW w:w="1134" w:type="dxa"/>
            <w:tcBorders>
              <w:top w:val="nil"/>
              <w:left w:val="nil"/>
              <w:bottom w:val="nil"/>
              <w:right w:val="nil"/>
            </w:tcBorders>
            <w:shd w:val="clear" w:color="auto" w:fill="FFFFFF"/>
            <w:tcMar>
              <w:left w:w="67" w:type="dxa"/>
              <w:right w:w="67" w:type="dxa"/>
            </w:tcMar>
            <w:vAlign w:val="center"/>
          </w:tcPr>
          <w:p w14:paraId="094C50C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-0.0219</w:t>
            </w:r>
          </w:p>
        </w:tc>
        <w:tc>
          <w:tcPr>
            <w:tcW w:w="1134" w:type="dxa"/>
            <w:tcBorders>
              <w:top w:val="nil"/>
              <w:left w:val="nil"/>
              <w:bottom w:val="nil"/>
              <w:right w:val="nil"/>
            </w:tcBorders>
            <w:shd w:val="clear" w:color="auto" w:fill="FFFFFF"/>
            <w:tcMar>
              <w:left w:w="67" w:type="dxa"/>
              <w:right w:w="67" w:type="dxa"/>
            </w:tcMar>
            <w:vAlign w:val="center"/>
          </w:tcPr>
          <w:p w14:paraId="4FC2C0F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0.0381</w:t>
            </w:r>
          </w:p>
        </w:tc>
        <w:tc>
          <w:tcPr>
            <w:tcW w:w="1134" w:type="dxa"/>
            <w:tcBorders>
              <w:top w:val="nil"/>
              <w:left w:val="nil"/>
              <w:bottom w:val="nil"/>
              <w:right w:val="nil"/>
            </w:tcBorders>
            <w:shd w:val="clear" w:color="auto" w:fill="FFFFFF"/>
            <w:tcMar>
              <w:left w:w="67" w:type="dxa"/>
              <w:right w:w="67" w:type="dxa"/>
            </w:tcMar>
            <w:vAlign w:val="center"/>
          </w:tcPr>
          <w:p w14:paraId="7D71E78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CBDC12"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8C650A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36CF6D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82073FB"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00E521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0709B3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0.007469</w:t>
            </w:r>
          </w:p>
        </w:tc>
        <w:tc>
          <w:tcPr>
            <w:tcW w:w="1134" w:type="dxa"/>
            <w:tcBorders>
              <w:top w:val="nil"/>
              <w:left w:val="nil"/>
              <w:bottom w:val="nil"/>
              <w:right w:val="nil"/>
            </w:tcBorders>
            <w:shd w:val="clear" w:color="auto" w:fill="FFFFFF"/>
            <w:tcMar>
              <w:left w:w="67" w:type="dxa"/>
              <w:right w:w="67" w:type="dxa"/>
            </w:tcMar>
            <w:vAlign w:val="center"/>
          </w:tcPr>
          <w:p w14:paraId="7AFE884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0.0135</w:t>
            </w:r>
          </w:p>
        </w:tc>
        <w:tc>
          <w:tcPr>
            <w:tcW w:w="1134" w:type="dxa"/>
            <w:tcBorders>
              <w:top w:val="nil"/>
              <w:left w:val="nil"/>
              <w:bottom w:val="nil"/>
              <w:right w:val="nil"/>
            </w:tcBorders>
            <w:shd w:val="clear" w:color="auto" w:fill="FFFFFF"/>
            <w:tcMar>
              <w:left w:w="67" w:type="dxa"/>
              <w:right w:w="67" w:type="dxa"/>
            </w:tcMar>
            <w:vAlign w:val="center"/>
          </w:tcPr>
          <w:p w14:paraId="11BF181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-0.0236</w:t>
            </w:r>
          </w:p>
        </w:tc>
        <w:tc>
          <w:tcPr>
            <w:tcW w:w="1134" w:type="dxa"/>
            <w:tcBorders>
              <w:top w:val="nil"/>
              <w:left w:val="nil"/>
              <w:bottom w:val="nil"/>
              <w:right w:val="nil"/>
            </w:tcBorders>
            <w:shd w:val="clear" w:color="auto" w:fill="FFFFFF"/>
            <w:tcMar>
              <w:left w:w="67" w:type="dxa"/>
              <w:right w:w="67" w:type="dxa"/>
            </w:tcMar>
            <w:vAlign w:val="center"/>
          </w:tcPr>
          <w:p w14:paraId="6B0ADE06"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0.0385</w:t>
            </w:r>
          </w:p>
        </w:tc>
        <w:tc>
          <w:tcPr>
            <w:tcW w:w="1134" w:type="dxa"/>
            <w:tcBorders>
              <w:top w:val="nil"/>
              <w:left w:val="nil"/>
              <w:bottom w:val="nil"/>
              <w:right w:val="nil"/>
            </w:tcBorders>
            <w:shd w:val="clear" w:color="auto" w:fill="FFFFFF"/>
            <w:tcMar>
              <w:left w:w="67" w:type="dxa"/>
              <w:right w:w="67" w:type="dxa"/>
            </w:tcMar>
            <w:vAlign w:val="center"/>
          </w:tcPr>
          <w:p w14:paraId="1AF47F92"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0CED364"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90648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3FAAA2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6467C9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92732B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FD2036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0.018540</w:t>
            </w:r>
          </w:p>
        </w:tc>
        <w:tc>
          <w:tcPr>
            <w:tcW w:w="1134" w:type="dxa"/>
            <w:tcBorders>
              <w:top w:val="nil"/>
              <w:left w:val="nil"/>
              <w:bottom w:val="nil"/>
              <w:right w:val="nil"/>
            </w:tcBorders>
            <w:shd w:val="clear" w:color="auto" w:fill="FFFFFF"/>
            <w:tcMar>
              <w:left w:w="67" w:type="dxa"/>
              <w:right w:w="67" w:type="dxa"/>
            </w:tcMar>
            <w:vAlign w:val="center"/>
          </w:tcPr>
          <w:p w14:paraId="46D96D9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0.0138</w:t>
            </w:r>
          </w:p>
        </w:tc>
        <w:tc>
          <w:tcPr>
            <w:tcW w:w="1134" w:type="dxa"/>
            <w:tcBorders>
              <w:top w:val="nil"/>
              <w:left w:val="nil"/>
              <w:bottom w:val="nil"/>
              <w:right w:val="nil"/>
            </w:tcBorders>
            <w:shd w:val="clear" w:color="auto" w:fill="FFFFFF"/>
            <w:tcMar>
              <w:left w:w="67" w:type="dxa"/>
              <w:right w:w="67" w:type="dxa"/>
            </w:tcMar>
            <w:vAlign w:val="center"/>
          </w:tcPr>
          <w:p w14:paraId="1E4E3EA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-0.0131</w:t>
            </w:r>
          </w:p>
        </w:tc>
        <w:tc>
          <w:tcPr>
            <w:tcW w:w="1134" w:type="dxa"/>
            <w:tcBorders>
              <w:top w:val="nil"/>
              <w:left w:val="nil"/>
              <w:bottom w:val="nil"/>
              <w:right w:val="nil"/>
            </w:tcBorders>
            <w:shd w:val="clear" w:color="auto" w:fill="FFFFFF"/>
            <w:tcMar>
              <w:left w:w="67" w:type="dxa"/>
              <w:right w:w="67" w:type="dxa"/>
            </w:tcMar>
            <w:vAlign w:val="center"/>
          </w:tcPr>
          <w:p w14:paraId="3AC57B3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0.0502</w:t>
            </w:r>
          </w:p>
        </w:tc>
        <w:tc>
          <w:tcPr>
            <w:tcW w:w="1134" w:type="dxa"/>
            <w:tcBorders>
              <w:top w:val="nil"/>
              <w:left w:val="nil"/>
              <w:bottom w:val="nil"/>
              <w:right w:val="nil"/>
            </w:tcBorders>
            <w:shd w:val="clear" w:color="auto" w:fill="FFFFFF"/>
            <w:tcMar>
              <w:left w:w="67" w:type="dxa"/>
              <w:right w:w="67" w:type="dxa"/>
            </w:tcMar>
            <w:vAlign w:val="center"/>
          </w:tcPr>
          <w:p w14:paraId="451570F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9C3243"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D410F75"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7BF108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225FAD22"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4B81C5F2"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C93B186"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0.001490</w:t>
            </w:r>
          </w:p>
        </w:tc>
        <w:tc>
          <w:tcPr>
            <w:tcW w:w="1134" w:type="dxa"/>
            <w:tcBorders>
              <w:top w:val="nil"/>
              <w:left w:val="nil"/>
              <w:bottom w:val="nil"/>
              <w:right w:val="nil"/>
            </w:tcBorders>
            <w:shd w:val="clear" w:color="auto" w:fill="FFFFFF"/>
            <w:tcMar>
              <w:left w:w="67" w:type="dxa"/>
              <w:right w:w="67" w:type="dxa"/>
            </w:tcMar>
            <w:vAlign w:val="center"/>
          </w:tcPr>
          <w:p w14:paraId="590E4F0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14F98D5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-0.0002</w:t>
            </w:r>
          </w:p>
        </w:tc>
        <w:tc>
          <w:tcPr>
            <w:tcW w:w="1134" w:type="dxa"/>
            <w:tcBorders>
              <w:top w:val="nil"/>
              <w:left w:val="nil"/>
              <w:bottom w:val="nil"/>
              <w:right w:val="nil"/>
            </w:tcBorders>
            <w:shd w:val="clear" w:color="auto" w:fill="FFFFFF"/>
            <w:tcMar>
              <w:left w:w="67" w:type="dxa"/>
              <w:right w:w="67" w:type="dxa"/>
            </w:tcMar>
            <w:vAlign w:val="center"/>
          </w:tcPr>
          <w:p w14:paraId="44B104D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0.0032</w:t>
            </w:r>
          </w:p>
        </w:tc>
        <w:tc>
          <w:tcPr>
            <w:tcW w:w="1134" w:type="dxa"/>
            <w:tcBorders>
              <w:top w:val="nil"/>
              <w:left w:val="nil"/>
              <w:bottom w:val="nil"/>
              <w:right w:val="nil"/>
            </w:tcBorders>
            <w:shd w:val="clear" w:color="auto" w:fill="FFFFFF"/>
            <w:tcMar>
              <w:left w:w="67" w:type="dxa"/>
              <w:right w:w="67" w:type="dxa"/>
            </w:tcMar>
            <w:vAlign w:val="center"/>
          </w:tcPr>
          <w:p w14:paraId="5614C1E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4.23</w:t>
            </w:r>
          </w:p>
        </w:tc>
        <w:tc>
          <w:tcPr>
            <w:tcW w:w="567" w:type="dxa"/>
            <w:tcBorders>
              <w:top w:val="nil"/>
              <w:left w:val="nil"/>
              <w:bottom w:val="nil"/>
              <w:right w:val="nil"/>
            </w:tcBorders>
            <w:shd w:val="clear" w:color="auto" w:fill="FFFFFF"/>
            <w:tcMar>
              <w:left w:w="67" w:type="dxa"/>
              <w:right w:w="67" w:type="dxa"/>
            </w:tcMar>
            <w:vAlign w:val="center"/>
          </w:tcPr>
          <w:p w14:paraId="7560253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80AED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0.0438</w:t>
            </w:r>
          </w:p>
        </w:tc>
      </w:tr>
      <w:tr w:rsidR="00B77EA3" w:rsidRPr="0082484A" w14:paraId="2EE28D92"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7EA7A10"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5959A249"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EB3A8A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0.000503</w:t>
            </w:r>
          </w:p>
        </w:tc>
        <w:tc>
          <w:tcPr>
            <w:tcW w:w="1134" w:type="dxa"/>
            <w:tcBorders>
              <w:top w:val="nil"/>
              <w:left w:val="nil"/>
              <w:bottom w:val="nil"/>
              <w:right w:val="nil"/>
            </w:tcBorders>
            <w:shd w:val="clear" w:color="auto" w:fill="FFFFFF"/>
            <w:tcMar>
              <w:left w:w="67" w:type="dxa"/>
              <w:right w:w="67" w:type="dxa"/>
            </w:tcMar>
            <w:vAlign w:val="center"/>
          </w:tcPr>
          <w:p w14:paraId="2D5907B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4B8A18E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-0.0006</w:t>
            </w:r>
          </w:p>
        </w:tc>
        <w:tc>
          <w:tcPr>
            <w:tcW w:w="1134" w:type="dxa"/>
            <w:tcBorders>
              <w:top w:val="nil"/>
              <w:left w:val="nil"/>
              <w:bottom w:val="nil"/>
              <w:right w:val="nil"/>
            </w:tcBorders>
            <w:shd w:val="clear" w:color="auto" w:fill="FFFFFF"/>
            <w:tcMar>
              <w:left w:w="67" w:type="dxa"/>
              <w:right w:w="67" w:type="dxa"/>
            </w:tcMar>
            <w:vAlign w:val="center"/>
          </w:tcPr>
          <w:p w14:paraId="0BE92CF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0B6E75D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1.16</w:t>
            </w:r>
          </w:p>
        </w:tc>
        <w:tc>
          <w:tcPr>
            <w:tcW w:w="567" w:type="dxa"/>
            <w:tcBorders>
              <w:top w:val="nil"/>
              <w:left w:val="nil"/>
              <w:bottom w:val="nil"/>
              <w:right w:val="nil"/>
            </w:tcBorders>
            <w:shd w:val="clear" w:color="auto" w:fill="FFFFFF"/>
            <w:tcMar>
              <w:left w:w="67" w:type="dxa"/>
              <w:right w:w="67" w:type="dxa"/>
            </w:tcMar>
            <w:vAlign w:val="center"/>
          </w:tcPr>
          <w:p w14:paraId="27AB93D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C539E0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0.2854</w:t>
            </w:r>
          </w:p>
        </w:tc>
      </w:tr>
      <w:tr w:rsidR="00B77EA3" w:rsidRPr="0082484A" w14:paraId="3125A417"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445DECD6"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62539C91"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CAA43D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0.000179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AF853E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53B8DBB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5D1672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D6FFA9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3.11</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BEC88F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C4FEC36"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0.0826</w:t>
            </w:r>
          </w:p>
        </w:tc>
      </w:tr>
    </w:tbl>
    <w:p w14:paraId="0C14E358" w14:textId="77777777" w:rsidR="00B77EA3" w:rsidRPr="0082484A" w:rsidRDefault="00B77EA3" w:rsidP="00B77EA3">
      <w:pPr>
        <w:spacing w:before="0" w:line="240" w:lineRule="auto"/>
        <w:rPr>
          <w:bCs/>
          <w:sz w:val="22"/>
          <w:szCs w:val="22"/>
        </w:rPr>
      </w:pPr>
    </w:p>
    <w:p w14:paraId="18626A68" w14:textId="77777777" w:rsidR="00B77EA3" w:rsidRPr="0082484A" w:rsidRDefault="00B77EA3" w:rsidP="00B77EA3">
      <w:pPr>
        <w:spacing w:before="0" w:line="240" w:lineRule="auto"/>
        <w:rPr>
          <w:bCs/>
          <w:sz w:val="22"/>
          <w:szCs w:val="22"/>
        </w:rPr>
      </w:pPr>
    </w:p>
    <w:p w14:paraId="1298DD8B" w14:textId="77777777" w:rsidR="00B77EA3" w:rsidRPr="0082484A" w:rsidRDefault="00B77EA3" w:rsidP="00B77EA3">
      <w:pPr>
        <w:spacing w:before="0" w:line="240" w:lineRule="auto"/>
        <w:contextualSpacing/>
        <w:rPr>
          <w:rFonts w:eastAsia="Calibri"/>
          <w:sz w:val="22"/>
          <w:szCs w:val="22"/>
        </w:rPr>
      </w:pPr>
      <w:bookmarkStart w:id="270" w:name="IDX71"/>
      <w:bookmarkEnd w:id="270"/>
    </w:p>
    <w:p w14:paraId="0D77D519" w14:textId="77777777" w:rsidR="00B77EA3" w:rsidRPr="0082484A" w:rsidRDefault="00B77EA3" w:rsidP="00B77EA3">
      <w:pPr>
        <w:spacing w:before="0" w:line="240" w:lineRule="auto"/>
        <w:rPr>
          <w:rFonts w:eastAsia="Calibri"/>
          <w:color w:val="FF0000"/>
          <w:sz w:val="22"/>
          <w:szCs w:val="22"/>
        </w:rPr>
      </w:pPr>
      <w:r w:rsidRPr="0082484A">
        <w:rPr>
          <w:rFonts w:eastAsia="Calibri"/>
          <w:color w:val="FF0000"/>
          <w:sz w:val="22"/>
          <w:szCs w:val="22"/>
        </w:rPr>
        <w:br w:type="page"/>
      </w:r>
    </w:p>
    <w:p w14:paraId="4936CB04" w14:textId="319F9D40" w:rsidR="00B77EA3" w:rsidRPr="0082484A" w:rsidRDefault="00B77EA3" w:rsidP="00B77EA3">
      <w:pPr>
        <w:spacing w:before="0" w:line="240" w:lineRule="auto"/>
        <w:rPr>
          <w:bCs/>
          <w:sz w:val="22"/>
          <w:szCs w:val="22"/>
        </w:rPr>
      </w:pPr>
      <w:bookmarkStart w:id="271" w:name="_Ref502918103"/>
      <w:bookmarkStart w:id="272" w:name="_Toc8728147"/>
      <w:bookmarkStart w:id="273" w:name="_Toc19526802"/>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73</w:t>
      </w:r>
      <w:r w:rsidRPr="0082484A">
        <w:rPr>
          <w:bCs/>
          <w:noProof/>
          <w:sz w:val="22"/>
          <w:szCs w:val="22"/>
        </w:rPr>
        <w:fldChar w:fldCharType="end"/>
      </w:r>
      <w:bookmarkEnd w:id="271"/>
      <w:r w:rsidRPr="0082484A">
        <w:rPr>
          <w:bCs/>
          <w:sz w:val="22"/>
          <w:szCs w:val="22"/>
        </w:rPr>
        <w:t>: Trial 2 practices comparison. Achievement of QOF indicator, ‘The percentage of patients with any or any combination of the following conditions: CHD, PAD, stroke or TIA, hypertension, diabetes, COPD, CKD, asthma, schizophrenia, bipolar affective disorder or other psychoses whose notes record smoking status in the preceding 12 months’ (SMOK002) (WP4a)</w:t>
      </w:r>
      <w:bookmarkEnd w:id="272"/>
      <w:bookmarkEnd w:id="273"/>
    </w:p>
    <w:tbl>
      <w:tblPr>
        <w:tblW w:w="14458"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567"/>
        <w:gridCol w:w="1134"/>
      </w:tblGrid>
      <w:tr w:rsidR="00B77EA3" w:rsidRPr="0082484A" w14:paraId="2C87FE92"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617355D" w14:textId="77777777" w:rsidR="00B77EA3" w:rsidRPr="0082484A" w:rsidRDefault="00B77EA3" w:rsidP="00B77EA3">
            <w:pPr>
              <w:spacing w:beforeLines="10" w:before="24" w:afterLines="10" w:after="24" w:line="240" w:lineRule="auto"/>
              <w:rPr>
                <w:rFonts w:eastAsia="Calibri"/>
                <w:bCs/>
                <w:sz w:val="22"/>
                <w:szCs w:val="22"/>
              </w:rPr>
            </w:pPr>
            <w:r w:rsidRPr="0082484A">
              <w:rPr>
                <w:rFonts w:eastAsia="Calibri"/>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367139D" w14:textId="77777777" w:rsidR="00B77EA3" w:rsidRPr="0082484A" w:rsidRDefault="00B77EA3" w:rsidP="00B77EA3">
            <w:pPr>
              <w:spacing w:beforeLines="10" w:before="24" w:afterLines="10" w:after="24" w:line="240" w:lineRule="auto"/>
              <w:rPr>
                <w:bCs/>
                <w:sz w:val="22"/>
                <w:szCs w:val="22"/>
              </w:rPr>
            </w:pPr>
            <w:r w:rsidRPr="0082484A">
              <w:rPr>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4685E47"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2F5A761"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523090F"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C1F4F9A"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83DA7E8"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05F248E"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D0A3B0C"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P-value</w:t>
            </w:r>
          </w:p>
        </w:tc>
      </w:tr>
      <w:tr w:rsidR="00B77EA3" w:rsidRPr="0082484A" w14:paraId="0B00C10A"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83DFE41"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7D4FEDEF"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7E67E06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0.000901</w:t>
            </w:r>
          </w:p>
        </w:tc>
        <w:tc>
          <w:tcPr>
            <w:tcW w:w="1134" w:type="dxa"/>
            <w:tcBorders>
              <w:top w:val="nil"/>
              <w:left w:val="nil"/>
              <w:bottom w:val="nil"/>
              <w:right w:val="nil"/>
            </w:tcBorders>
            <w:shd w:val="clear" w:color="auto" w:fill="FFFFFF"/>
            <w:tcMar>
              <w:left w:w="67" w:type="dxa"/>
              <w:right w:w="67" w:type="dxa"/>
            </w:tcMar>
            <w:vAlign w:val="center"/>
          </w:tcPr>
          <w:p w14:paraId="7219F0D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0.0058</w:t>
            </w:r>
          </w:p>
        </w:tc>
        <w:tc>
          <w:tcPr>
            <w:tcW w:w="1134" w:type="dxa"/>
            <w:tcBorders>
              <w:top w:val="nil"/>
              <w:left w:val="nil"/>
              <w:bottom w:val="nil"/>
              <w:right w:val="nil"/>
            </w:tcBorders>
            <w:shd w:val="clear" w:color="auto" w:fill="FFFFFF"/>
            <w:tcMar>
              <w:left w:w="67" w:type="dxa"/>
              <w:right w:w="67" w:type="dxa"/>
            </w:tcMar>
            <w:vAlign w:val="center"/>
          </w:tcPr>
          <w:p w14:paraId="6839654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-0.0126</w:t>
            </w:r>
          </w:p>
        </w:tc>
        <w:tc>
          <w:tcPr>
            <w:tcW w:w="1134" w:type="dxa"/>
            <w:tcBorders>
              <w:top w:val="nil"/>
              <w:left w:val="nil"/>
              <w:bottom w:val="nil"/>
              <w:right w:val="nil"/>
            </w:tcBorders>
            <w:shd w:val="clear" w:color="auto" w:fill="FFFFFF"/>
            <w:tcMar>
              <w:left w:w="67" w:type="dxa"/>
              <w:right w:w="67" w:type="dxa"/>
            </w:tcMar>
            <w:vAlign w:val="center"/>
          </w:tcPr>
          <w:p w14:paraId="7CF0759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0.0144</w:t>
            </w:r>
          </w:p>
        </w:tc>
        <w:tc>
          <w:tcPr>
            <w:tcW w:w="1134" w:type="dxa"/>
            <w:tcBorders>
              <w:top w:val="nil"/>
              <w:left w:val="nil"/>
              <w:bottom w:val="nil"/>
              <w:right w:val="nil"/>
            </w:tcBorders>
            <w:shd w:val="clear" w:color="auto" w:fill="FFFFFF"/>
            <w:tcMar>
              <w:left w:w="67" w:type="dxa"/>
              <w:right w:w="67" w:type="dxa"/>
            </w:tcMar>
            <w:vAlign w:val="center"/>
          </w:tcPr>
          <w:p w14:paraId="2FDD1A2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w:t>
            </w:r>
          </w:p>
        </w:tc>
        <w:tc>
          <w:tcPr>
            <w:tcW w:w="567" w:type="dxa"/>
            <w:tcBorders>
              <w:top w:val="nil"/>
              <w:left w:val="nil"/>
              <w:bottom w:val="nil"/>
              <w:right w:val="nil"/>
            </w:tcBorders>
            <w:shd w:val="clear" w:color="auto" w:fill="FFFFFF"/>
            <w:tcMar>
              <w:left w:w="67" w:type="dxa"/>
              <w:right w:w="67" w:type="dxa"/>
            </w:tcMar>
            <w:vAlign w:val="center"/>
          </w:tcPr>
          <w:p w14:paraId="5040DF1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3BAA96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0.8781</w:t>
            </w:r>
          </w:p>
        </w:tc>
      </w:tr>
      <w:tr w:rsidR="00B77EA3" w:rsidRPr="0082484A" w14:paraId="50E5A87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6FA4518" w14:textId="77777777" w:rsidR="00B77EA3" w:rsidRPr="0082484A" w:rsidRDefault="00B77EA3" w:rsidP="00B77EA3">
            <w:pPr>
              <w:spacing w:beforeLines="10" w:before="24" w:afterLines="10" w:after="24" w:line="240" w:lineRule="auto"/>
              <w:rPr>
                <w:rFonts w:eastAsia="Calibri"/>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3A3986DB"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BF750E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-0.000285</w:t>
            </w:r>
          </w:p>
        </w:tc>
        <w:tc>
          <w:tcPr>
            <w:tcW w:w="1134" w:type="dxa"/>
            <w:tcBorders>
              <w:top w:val="nil"/>
              <w:left w:val="nil"/>
              <w:bottom w:val="nil"/>
              <w:right w:val="nil"/>
            </w:tcBorders>
            <w:shd w:val="clear" w:color="auto" w:fill="FFFFFF"/>
            <w:tcMar>
              <w:left w:w="67" w:type="dxa"/>
              <w:right w:w="67" w:type="dxa"/>
            </w:tcMar>
            <w:vAlign w:val="center"/>
          </w:tcPr>
          <w:p w14:paraId="69E89E5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1C0F4E5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123C43A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-0.0001</w:t>
            </w:r>
          </w:p>
        </w:tc>
        <w:tc>
          <w:tcPr>
            <w:tcW w:w="1134" w:type="dxa"/>
            <w:tcBorders>
              <w:top w:val="nil"/>
              <w:left w:val="nil"/>
              <w:bottom w:val="nil"/>
              <w:right w:val="nil"/>
            </w:tcBorders>
            <w:shd w:val="clear" w:color="auto" w:fill="FFFFFF"/>
            <w:tcMar>
              <w:left w:w="67" w:type="dxa"/>
              <w:right w:w="67" w:type="dxa"/>
            </w:tcMar>
            <w:vAlign w:val="center"/>
          </w:tcPr>
          <w:p w14:paraId="2CFD444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13.51</w:t>
            </w:r>
          </w:p>
        </w:tc>
        <w:tc>
          <w:tcPr>
            <w:tcW w:w="567" w:type="dxa"/>
            <w:tcBorders>
              <w:top w:val="nil"/>
              <w:left w:val="nil"/>
              <w:bottom w:val="nil"/>
              <w:right w:val="nil"/>
            </w:tcBorders>
            <w:shd w:val="clear" w:color="auto" w:fill="FFFFFF"/>
            <w:tcMar>
              <w:left w:w="67" w:type="dxa"/>
              <w:right w:w="67" w:type="dxa"/>
            </w:tcMar>
            <w:vAlign w:val="center"/>
          </w:tcPr>
          <w:p w14:paraId="0B31180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572D1C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0.0006</w:t>
            </w:r>
          </w:p>
        </w:tc>
      </w:tr>
      <w:tr w:rsidR="00B77EA3" w:rsidRPr="0082484A" w14:paraId="7AF70CE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57C9E7F"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8D929A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E1EE7D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-0.018527</w:t>
            </w:r>
          </w:p>
        </w:tc>
        <w:tc>
          <w:tcPr>
            <w:tcW w:w="1134" w:type="dxa"/>
            <w:tcBorders>
              <w:top w:val="nil"/>
              <w:left w:val="nil"/>
              <w:bottom w:val="nil"/>
              <w:right w:val="nil"/>
            </w:tcBorders>
            <w:shd w:val="clear" w:color="auto" w:fill="FFFFFF"/>
            <w:tcMar>
              <w:left w:w="67" w:type="dxa"/>
              <w:right w:w="67" w:type="dxa"/>
            </w:tcMar>
            <w:vAlign w:val="center"/>
          </w:tcPr>
          <w:p w14:paraId="32B21C7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0.0138</w:t>
            </w:r>
          </w:p>
        </w:tc>
        <w:tc>
          <w:tcPr>
            <w:tcW w:w="1134" w:type="dxa"/>
            <w:tcBorders>
              <w:top w:val="nil"/>
              <w:left w:val="nil"/>
              <w:bottom w:val="nil"/>
              <w:right w:val="nil"/>
            </w:tcBorders>
            <w:shd w:val="clear" w:color="auto" w:fill="FFFFFF"/>
            <w:tcMar>
              <w:left w:w="67" w:type="dxa"/>
              <w:right w:w="67" w:type="dxa"/>
            </w:tcMar>
            <w:vAlign w:val="center"/>
          </w:tcPr>
          <w:p w14:paraId="75FA115C"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-0.0504</w:t>
            </w:r>
          </w:p>
        </w:tc>
        <w:tc>
          <w:tcPr>
            <w:tcW w:w="1134" w:type="dxa"/>
            <w:tcBorders>
              <w:top w:val="nil"/>
              <w:left w:val="nil"/>
              <w:bottom w:val="nil"/>
              <w:right w:val="nil"/>
            </w:tcBorders>
            <w:shd w:val="clear" w:color="auto" w:fill="FFFFFF"/>
            <w:tcMar>
              <w:left w:w="67" w:type="dxa"/>
              <w:right w:w="67" w:type="dxa"/>
            </w:tcMar>
            <w:vAlign w:val="center"/>
          </w:tcPr>
          <w:p w14:paraId="1578EF5C"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0.0134</w:t>
            </w:r>
          </w:p>
        </w:tc>
        <w:tc>
          <w:tcPr>
            <w:tcW w:w="1134" w:type="dxa"/>
            <w:tcBorders>
              <w:top w:val="nil"/>
              <w:left w:val="nil"/>
              <w:bottom w:val="nil"/>
              <w:right w:val="nil"/>
            </w:tcBorders>
            <w:shd w:val="clear" w:color="auto" w:fill="FFFFFF"/>
            <w:tcMar>
              <w:left w:w="67" w:type="dxa"/>
              <w:right w:w="67" w:type="dxa"/>
            </w:tcMar>
            <w:vAlign w:val="center"/>
          </w:tcPr>
          <w:p w14:paraId="5B83567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2.39</w:t>
            </w:r>
          </w:p>
        </w:tc>
        <w:tc>
          <w:tcPr>
            <w:tcW w:w="567" w:type="dxa"/>
            <w:tcBorders>
              <w:top w:val="nil"/>
              <w:left w:val="nil"/>
              <w:bottom w:val="nil"/>
              <w:right w:val="nil"/>
            </w:tcBorders>
            <w:shd w:val="clear" w:color="auto" w:fill="FFFFFF"/>
            <w:tcMar>
              <w:left w:w="67" w:type="dxa"/>
              <w:right w:w="67" w:type="dxa"/>
            </w:tcMar>
            <w:vAlign w:val="center"/>
          </w:tcPr>
          <w:p w14:paraId="5899F0D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4B97CD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0.0294</w:t>
            </w:r>
          </w:p>
        </w:tc>
      </w:tr>
      <w:tr w:rsidR="00B77EA3" w:rsidRPr="0082484A" w14:paraId="43FFEF6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2B81BF1"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C14D4C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633A33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0.000847</w:t>
            </w:r>
          </w:p>
        </w:tc>
        <w:tc>
          <w:tcPr>
            <w:tcW w:w="1134" w:type="dxa"/>
            <w:tcBorders>
              <w:top w:val="nil"/>
              <w:left w:val="nil"/>
              <w:bottom w:val="nil"/>
              <w:right w:val="nil"/>
            </w:tcBorders>
            <w:shd w:val="clear" w:color="auto" w:fill="FFFFFF"/>
            <w:tcMar>
              <w:left w:w="67" w:type="dxa"/>
              <w:right w:w="67" w:type="dxa"/>
            </w:tcMar>
            <w:vAlign w:val="center"/>
          </w:tcPr>
          <w:p w14:paraId="660A704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0.0117</w:t>
            </w:r>
          </w:p>
        </w:tc>
        <w:tc>
          <w:tcPr>
            <w:tcW w:w="1134" w:type="dxa"/>
            <w:tcBorders>
              <w:top w:val="nil"/>
              <w:left w:val="nil"/>
              <w:bottom w:val="nil"/>
              <w:right w:val="nil"/>
            </w:tcBorders>
            <w:shd w:val="clear" w:color="auto" w:fill="FFFFFF"/>
            <w:tcMar>
              <w:left w:w="67" w:type="dxa"/>
              <w:right w:w="67" w:type="dxa"/>
            </w:tcMar>
            <w:vAlign w:val="center"/>
          </w:tcPr>
          <w:p w14:paraId="3981CC6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-0.0262</w:t>
            </w:r>
          </w:p>
        </w:tc>
        <w:tc>
          <w:tcPr>
            <w:tcW w:w="1134" w:type="dxa"/>
            <w:tcBorders>
              <w:top w:val="nil"/>
              <w:left w:val="nil"/>
              <w:bottom w:val="nil"/>
              <w:right w:val="nil"/>
            </w:tcBorders>
            <w:shd w:val="clear" w:color="auto" w:fill="FFFFFF"/>
            <w:tcMar>
              <w:left w:w="67" w:type="dxa"/>
              <w:right w:w="67" w:type="dxa"/>
            </w:tcMar>
            <w:vAlign w:val="center"/>
          </w:tcPr>
          <w:p w14:paraId="438A596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0.0278</w:t>
            </w:r>
          </w:p>
        </w:tc>
        <w:tc>
          <w:tcPr>
            <w:tcW w:w="1134" w:type="dxa"/>
            <w:tcBorders>
              <w:top w:val="nil"/>
              <w:left w:val="nil"/>
              <w:bottom w:val="nil"/>
              <w:right w:val="nil"/>
            </w:tcBorders>
            <w:shd w:val="clear" w:color="auto" w:fill="FFFFFF"/>
            <w:tcMar>
              <w:left w:w="67" w:type="dxa"/>
              <w:right w:w="67" w:type="dxa"/>
            </w:tcMar>
            <w:vAlign w:val="center"/>
          </w:tcPr>
          <w:p w14:paraId="2D9414FD"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4F60893"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B3C101"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4ACEF29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C90D495"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B382381"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3B701B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0.005877</w:t>
            </w:r>
          </w:p>
        </w:tc>
        <w:tc>
          <w:tcPr>
            <w:tcW w:w="1134" w:type="dxa"/>
            <w:tcBorders>
              <w:top w:val="nil"/>
              <w:left w:val="nil"/>
              <w:bottom w:val="nil"/>
              <w:right w:val="nil"/>
            </w:tcBorders>
            <w:shd w:val="clear" w:color="auto" w:fill="FFFFFF"/>
            <w:tcMar>
              <w:left w:w="67" w:type="dxa"/>
              <w:right w:w="67" w:type="dxa"/>
            </w:tcMar>
            <w:vAlign w:val="center"/>
          </w:tcPr>
          <w:p w14:paraId="7ECA0BC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0.0126</w:t>
            </w:r>
          </w:p>
        </w:tc>
        <w:tc>
          <w:tcPr>
            <w:tcW w:w="1134" w:type="dxa"/>
            <w:tcBorders>
              <w:top w:val="nil"/>
              <w:left w:val="nil"/>
              <w:bottom w:val="nil"/>
              <w:right w:val="nil"/>
            </w:tcBorders>
            <w:shd w:val="clear" w:color="auto" w:fill="FFFFFF"/>
            <w:tcMar>
              <w:left w:w="67" w:type="dxa"/>
              <w:right w:w="67" w:type="dxa"/>
            </w:tcMar>
            <w:vAlign w:val="center"/>
          </w:tcPr>
          <w:p w14:paraId="28325E2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-0.0234</w:t>
            </w:r>
          </w:p>
        </w:tc>
        <w:tc>
          <w:tcPr>
            <w:tcW w:w="1134" w:type="dxa"/>
            <w:tcBorders>
              <w:top w:val="nil"/>
              <w:left w:val="nil"/>
              <w:bottom w:val="nil"/>
              <w:right w:val="nil"/>
            </w:tcBorders>
            <w:shd w:val="clear" w:color="auto" w:fill="FFFFFF"/>
            <w:tcMar>
              <w:left w:w="67" w:type="dxa"/>
              <w:right w:w="67" w:type="dxa"/>
            </w:tcMar>
            <w:vAlign w:val="center"/>
          </w:tcPr>
          <w:p w14:paraId="2F53EDD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0.0351</w:t>
            </w:r>
          </w:p>
        </w:tc>
        <w:tc>
          <w:tcPr>
            <w:tcW w:w="1134" w:type="dxa"/>
            <w:tcBorders>
              <w:top w:val="nil"/>
              <w:left w:val="nil"/>
              <w:bottom w:val="nil"/>
              <w:right w:val="nil"/>
            </w:tcBorders>
            <w:shd w:val="clear" w:color="auto" w:fill="FFFFFF"/>
            <w:tcMar>
              <w:left w:w="67" w:type="dxa"/>
              <w:right w:w="67" w:type="dxa"/>
            </w:tcMar>
            <w:vAlign w:val="center"/>
          </w:tcPr>
          <w:p w14:paraId="41D836DC"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BD6307"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28CB37F"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6652C5F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03C7FF1"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C04FD2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671327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-0.018769</w:t>
            </w:r>
          </w:p>
        </w:tc>
        <w:tc>
          <w:tcPr>
            <w:tcW w:w="1134" w:type="dxa"/>
            <w:tcBorders>
              <w:top w:val="nil"/>
              <w:left w:val="nil"/>
              <w:bottom w:val="nil"/>
              <w:right w:val="nil"/>
            </w:tcBorders>
            <w:shd w:val="clear" w:color="auto" w:fill="FFFFFF"/>
            <w:tcMar>
              <w:left w:w="67" w:type="dxa"/>
              <w:right w:w="67" w:type="dxa"/>
            </w:tcMar>
            <w:vAlign w:val="center"/>
          </w:tcPr>
          <w:p w14:paraId="4FA8D66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0.0120</w:t>
            </w:r>
          </w:p>
        </w:tc>
        <w:tc>
          <w:tcPr>
            <w:tcW w:w="1134" w:type="dxa"/>
            <w:tcBorders>
              <w:top w:val="nil"/>
              <w:left w:val="nil"/>
              <w:bottom w:val="nil"/>
              <w:right w:val="nil"/>
            </w:tcBorders>
            <w:shd w:val="clear" w:color="auto" w:fill="FFFFFF"/>
            <w:tcMar>
              <w:left w:w="67" w:type="dxa"/>
              <w:right w:w="67" w:type="dxa"/>
            </w:tcMar>
            <w:vAlign w:val="center"/>
          </w:tcPr>
          <w:p w14:paraId="1B3697A5"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-0.0466</w:t>
            </w:r>
          </w:p>
        </w:tc>
        <w:tc>
          <w:tcPr>
            <w:tcW w:w="1134" w:type="dxa"/>
            <w:tcBorders>
              <w:top w:val="nil"/>
              <w:left w:val="nil"/>
              <w:bottom w:val="nil"/>
              <w:right w:val="nil"/>
            </w:tcBorders>
            <w:shd w:val="clear" w:color="auto" w:fill="FFFFFF"/>
            <w:tcMar>
              <w:left w:w="67" w:type="dxa"/>
              <w:right w:w="67" w:type="dxa"/>
            </w:tcMar>
            <w:vAlign w:val="center"/>
          </w:tcPr>
          <w:p w14:paraId="1864677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0.0090</w:t>
            </w:r>
          </w:p>
        </w:tc>
        <w:tc>
          <w:tcPr>
            <w:tcW w:w="1134" w:type="dxa"/>
            <w:tcBorders>
              <w:top w:val="nil"/>
              <w:left w:val="nil"/>
              <w:bottom w:val="nil"/>
              <w:right w:val="nil"/>
            </w:tcBorders>
            <w:shd w:val="clear" w:color="auto" w:fill="FFFFFF"/>
            <w:tcMar>
              <w:left w:w="67" w:type="dxa"/>
              <w:right w:w="67" w:type="dxa"/>
            </w:tcMar>
            <w:vAlign w:val="center"/>
          </w:tcPr>
          <w:p w14:paraId="5EE10D00"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ABCA69E"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250F1A3"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2513F01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0818713"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4279E6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EF569C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0.028661</w:t>
            </w:r>
          </w:p>
        </w:tc>
        <w:tc>
          <w:tcPr>
            <w:tcW w:w="1134" w:type="dxa"/>
            <w:tcBorders>
              <w:top w:val="nil"/>
              <w:left w:val="nil"/>
              <w:bottom w:val="nil"/>
              <w:right w:val="nil"/>
            </w:tcBorders>
            <w:shd w:val="clear" w:color="auto" w:fill="FFFFFF"/>
            <w:tcMar>
              <w:left w:w="67" w:type="dxa"/>
              <w:right w:w="67" w:type="dxa"/>
            </w:tcMar>
            <w:vAlign w:val="center"/>
          </w:tcPr>
          <w:p w14:paraId="77E6E6C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0.0145</w:t>
            </w:r>
          </w:p>
        </w:tc>
        <w:tc>
          <w:tcPr>
            <w:tcW w:w="1134" w:type="dxa"/>
            <w:tcBorders>
              <w:top w:val="nil"/>
              <w:left w:val="nil"/>
              <w:bottom w:val="nil"/>
              <w:right w:val="nil"/>
            </w:tcBorders>
            <w:shd w:val="clear" w:color="auto" w:fill="FFFFFF"/>
            <w:tcMar>
              <w:left w:w="67" w:type="dxa"/>
              <w:right w:w="67" w:type="dxa"/>
            </w:tcMar>
            <w:vAlign w:val="center"/>
          </w:tcPr>
          <w:p w14:paraId="702F6B8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-0.0049</w:t>
            </w:r>
          </w:p>
        </w:tc>
        <w:tc>
          <w:tcPr>
            <w:tcW w:w="1134" w:type="dxa"/>
            <w:tcBorders>
              <w:top w:val="nil"/>
              <w:left w:val="nil"/>
              <w:bottom w:val="nil"/>
              <w:right w:val="nil"/>
            </w:tcBorders>
            <w:shd w:val="clear" w:color="auto" w:fill="FFFFFF"/>
            <w:tcMar>
              <w:left w:w="67" w:type="dxa"/>
              <w:right w:w="67" w:type="dxa"/>
            </w:tcMar>
            <w:vAlign w:val="center"/>
          </w:tcPr>
          <w:p w14:paraId="663E00B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0.0622</w:t>
            </w:r>
          </w:p>
        </w:tc>
        <w:tc>
          <w:tcPr>
            <w:tcW w:w="1134" w:type="dxa"/>
            <w:tcBorders>
              <w:top w:val="nil"/>
              <w:left w:val="nil"/>
              <w:bottom w:val="nil"/>
              <w:right w:val="nil"/>
            </w:tcBorders>
            <w:shd w:val="clear" w:color="auto" w:fill="FFFFFF"/>
            <w:tcMar>
              <w:left w:w="67" w:type="dxa"/>
              <w:right w:w="67" w:type="dxa"/>
            </w:tcMar>
            <w:vAlign w:val="center"/>
          </w:tcPr>
          <w:p w14:paraId="73AEA6D3"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E42E2E4"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7071095"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4B0D8B6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8EF1CB2"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82C86D2"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F3CFBE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-0.001779</w:t>
            </w:r>
          </w:p>
        </w:tc>
        <w:tc>
          <w:tcPr>
            <w:tcW w:w="1134" w:type="dxa"/>
            <w:tcBorders>
              <w:top w:val="nil"/>
              <w:left w:val="nil"/>
              <w:bottom w:val="nil"/>
              <w:right w:val="nil"/>
            </w:tcBorders>
            <w:shd w:val="clear" w:color="auto" w:fill="FFFFFF"/>
            <w:tcMar>
              <w:left w:w="67" w:type="dxa"/>
              <w:right w:w="67" w:type="dxa"/>
            </w:tcMar>
            <w:vAlign w:val="center"/>
          </w:tcPr>
          <w:p w14:paraId="2199CAE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0.0114</w:t>
            </w:r>
          </w:p>
        </w:tc>
        <w:tc>
          <w:tcPr>
            <w:tcW w:w="1134" w:type="dxa"/>
            <w:tcBorders>
              <w:top w:val="nil"/>
              <w:left w:val="nil"/>
              <w:bottom w:val="nil"/>
              <w:right w:val="nil"/>
            </w:tcBorders>
            <w:shd w:val="clear" w:color="auto" w:fill="FFFFFF"/>
            <w:tcMar>
              <w:left w:w="67" w:type="dxa"/>
              <w:right w:w="67" w:type="dxa"/>
            </w:tcMar>
            <w:vAlign w:val="center"/>
          </w:tcPr>
          <w:p w14:paraId="2409D9E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-0.0283</w:t>
            </w:r>
          </w:p>
        </w:tc>
        <w:tc>
          <w:tcPr>
            <w:tcW w:w="1134" w:type="dxa"/>
            <w:tcBorders>
              <w:top w:val="nil"/>
              <w:left w:val="nil"/>
              <w:bottom w:val="nil"/>
              <w:right w:val="nil"/>
            </w:tcBorders>
            <w:shd w:val="clear" w:color="auto" w:fill="FFFFFF"/>
            <w:tcMar>
              <w:left w:w="67" w:type="dxa"/>
              <w:right w:w="67" w:type="dxa"/>
            </w:tcMar>
            <w:vAlign w:val="center"/>
          </w:tcPr>
          <w:p w14:paraId="28F978E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0.0247</w:t>
            </w:r>
          </w:p>
        </w:tc>
        <w:tc>
          <w:tcPr>
            <w:tcW w:w="1134" w:type="dxa"/>
            <w:tcBorders>
              <w:top w:val="nil"/>
              <w:left w:val="nil"/>
              <w:bottom w:val="nil"/>
              <w:right w:val="nil"/>
            </w:tcBorders>
            <w:shd w:val="clear" w:color="auto" w:fill="FFFFFF"/>
            <w:tcMar>
              <w:left w:w="67" w:type="dxa"/>
              <w:right w:w="67" w:type="dxa"/>
            </w:tcMar>
            <w:vAlign w:val="center"/>
          </w:tcPr>
          <w:p w14:paraId="059F93FB"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5FCACCB"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97DD2D1"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35491F0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AA6C80"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6211422A"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B24330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-0.003714</w:t>
            </w:r>
          </w:p>
        </w:tc>
        <w:tc>
          <w:tcPr>
            <w:tcW w:w="1134" w:type="dxa"/>
            <w:tcBorders>
              <w:top w:val="nil"/>
              <w:left w:val="nil"/>
              <w:bottom w:val="nil"/>
              <w:right w:val="nil"/>
            </w:tcBorders>
            <w:shd w:val="clear" w:color="auto" w:fill="FFFFFF"/>
            <w:tcMar>
              <w:left w:w="67" w:type="dxa"/>
              <w:right w:w="67" w:type="dxa"/>
            </w:tcMar>
            <w:vAlign w:val="center"/>
          </w:tcPr>
          <w:p w14:paraId="46C6715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0.0113</w:t>
            </w:r>
          </w:p>
        </w:tc>
        <w:tc>
          <w:tcPr>
            <w:tcW w:w="1134" w:type="dxa"/>
            <w:tcBorders>
              <w:top w:val="nil"/>
              <w:left w:val="nil"/>
              <w:bottom w:val="nil"/>
              <w:right w:val="nil"/>
            </w:tcBorders>
            <w:shd w:val="clear" w:color="auto" w:fill="FFFFFF"/>
            <w:tcMar>
              <w:left w:w="67" w:type="dxa"/>
              <w:right w:w="67" w:type="dxa"/>
            </w:tcMar>
            <w:vAlign w:val="center"/>
          </w:tcPr>
          <w:p w14:paraId="45F7736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-0.0298</w:t>
            </w:r>
          </w:p>
        </w:tc>
        <w:tc>
          <w:tcPr>
            <w:tcW w:w="1134" w:type="dxa"/>
            <w:tcBorders>
              <w:top w:val="nil"/>
              <w:left w:val="nil"/>
              <w:bottom w:val="nil"/>
              <w:right w:val="nil"/>
            </w:tcBorders>
            <w:shd w:val="clear" w:color="auto" w:fill="FFFFFF"/>
            <w:tcMar>
              <w:left w:w="67" w:type="dxa"/>
              <w:right w:w="67" w:type="dxa"/>
            </w:tcMar>
            <w:vAlign w:val="center"/>
          </w:tcPr>
          <w:p w14:paraId="4113B50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0.0224</w:t>
            </w:r>
          </w:p>
        </w:tc>
        <w:tc>
          <w:tcPr>
            <w:tcW w:w="1134" w:type="dxa"/>
            <w:tcBorders>
              <w:top w:val="nil"/>
              <w:left w:val="nil"/>
              <w:bottom w:val="nil"/>
              <w:right w:val="nil"/>
            </w:tcBorders>
            <w:shd w:val="clear" w:color="auto" w:fill="FFFFFF"/>
            <w:tcMar>
              <w:left w:w="67" w:type="dxa"/>
              <w:right w:w="67" w:type="dxa"/>
            </w:tcMar>
            <w:vAlign w:val="center"/>
          </w:tcPr>
          <w:p w14:paraId="2C148943"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2AE2A044"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32B0AC6"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2DEAABA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137315E"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D6DD25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2B42B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0.016976</w:t>
            </w:r>
          </w:p>
        </w:tc>
        <w:tc>
          <w:tcPr>
            <w:tcW w:w="1134" w:type="dxa"/>
            <w:tcBorders>
              <w:top w:val="nil"/>
              <w:left w:val="nil"/>
              <w:bottom w:val="nil"/>
              <w:right w:val="nil"/>
            </w:tcBorders>
            <w:shd w:val="clear" w:color="auto" w:fill="FFFFFF"/>
            <w:tcMar>
              <w:left w:w="67" w:type="dxa"/>
              <w:right w:w="67" w:type="dxa"/>
            </w:tcMar>
            <w:vAlign w:val="center"/>
          </w:tcPr>
          <w:p w14:paraId="5BAB9B5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0.0115</w:t>
            </w:r>
          </w:p>
        </w:tc>
        <w:tc>
          <w:tcPr>
            <w:tcW w:w="1134" w:type="dxa"/>
            <w:tcBorders>
              <w:top w:val="nil"/>
              <w:left w:val="nil"/>
              <w:bottom w:val="nil"/>
              <w:right w:val="nil"/>
            </w:tcBorders>
            <w:shd w:val="clear" w:color="auto" w:fill="FFFFFF"/>
            <w:tcMar>
              <w:left w:w="67" w:type="dxa"/>
              <w:right w:w="67" w:type="dxa"/>
            </w:tcMar>
            <w:vAlign w:val="center"/>
          </w:tcPr>
          <w:p w14:paraId="6173DE5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-0.0096</w:t>
            </w:r>
          </w:p>
        </w:tc>
        <w:tc>
          <w:tcPr>
            <w:tcW w:w="1134" w:type="dxa"/>
            <w:tcBorders>
              <w:top w:val="nil"/>
              <w:left w:val="nil"/>
              <w:bottom w:val="nil"/>
              <w:right w:val="nil"/>
            </w:tcBorders>
            <w:shd w:val="clear" w:color="auto" w:fill="FFFFFF"/>
            <w:tcMar>
              <w:left w:w="67" w:type="dxa"/>
              <w:right w:w="67" w:type="dxa"/>
            </w:tcMar>
            <w:vAlign w:val="center"/>
          </w:tcPr>
          <w:p w14:paraId="3525286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0.0436</w:t>
            </w:r>
          </w:p>
        </w:tc>
        <w:tc>
          <w:tcPr>
            <w:tcW w:w="1134" w:type="dxa"/>
            <w:tcBorders>
              <w:top w:val="nil"/>
              <w:left w:val="nil"/>
              <w:bottom w:val="nil"/>
              <w:right w:val="nil"/>
            </w:tcBorders>
            <w:shd w:val="clear" w:color="auto" w:fill="FFFFFF"/>
            <w:tcMar>
              <w:left w:w="67" w:type="dxa"/>
              <w:right w:w="67" w:type="dxa"/>
            </w:tcMar>
            <w:vAlign w:val="center"/>
          </w:tcPr>
          <w:p w14:paraId="6D8C338F"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36A2F8F9"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5364465"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12CE089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EC84B7D"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0504ACC4"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1F64911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-0.000171</w:t>
            </w:r>
          </w:p>
        </w:tc>
        <w:tc>
          <w:tcPr>
            <w:tcW w:w="1134" w:type="dxa"/>
            <w:tcBorders>
              <w:top w:val="nil"/>
              <w:left w:val="nil"/>
              <w:bottom w:val="nil"/>
              <w:right w:val="nil"/>
            </w:tcBorders>
            <w:shd w:val="clear" w:color="auto" w:fill="FFFFFF"/>
            <w:tcMar>
              <w:left w:w="67" w:type="dxa"/>
              <w:right w:w="67" w:type="dxa"/>
            </w:tcMar>
            <w:vAlign w:val="center"/>
          </w:tcPr>
          <w:p w14:paraId="701E76B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5BBE45F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2D8FFB9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07B2986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0.22</w:t>
            </w:r>
          </w:p>
        </w:tc>
        <w:tc>
          <w:tcPr>
            <w:tcW w:w="567" w:type="dxa"/>
            <w:tcBorders>
              <w:top w:val="nil"/>
              <w:left w:val="nil"/>
              <w:bottom w:val="nil"/>
              <w:right w:val="nil"/>
            </w:tcBorders>
            <w:shd w:val="clear" w:color="auto" w:fill="FFFFFF"/>
            <w:tcMar>
              <w:left w:w="67" w:type="dxa"/>
              <w:right w:w="67" w:type="dxa"/>
            </w:tcMar>
            <w:vAlign w:val="center"/>
          </w:tcPr>
          <w:p w14:paraId="698E9AFC"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DCAC6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0.6416</w:t>
            </w:r>
          </w:p>
        </w:tc>
      </w:tr>
      <w:tr w:rsidR="00B77EA3" w:rsidRPr="0082484A" w14:paraId="61D97DB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52C4C4B"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0F779F02"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7B1BC75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0.001777</w:t>
            </w:r>
          </w:p>
        </w:tc>
        <w:tc>
          <w:tcPr>
            <w:tcW w:w="1134" w:type="dxa"/>
            <w:tcBorders>
              <w:top w:val="nil"/>
              <w:left w:val="nil"/>
              <w:bottom w:val="nil"/>
              <w:right w:val="nil"/>
            </w:tcBorders>
            <w:shd w:val="clear" w:color="auto" w:fill="FFFFFF"/>
            <w:tcMar>
              <w:left w:w="67" w:type="dxa"/>
              <w:right w:w="67" w:type="dxa"/>
            </w:tcMar>
            <w:vAlign w:val="center"/>
          </w:tcPr>
          <w:p w14:paraId="73BA8C7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0.0005</w:t>
            </w:r>
          </w:p>
        </w:tc>
        <w:tc>
          <w:tcPr>
            <w:tcW w:w="1134" w:type="dxa"/>
            <w:tcBorders>
              <w:top w:val="nil"/>
              <w:left w:val="nil"/>
              <w:bottom w:val="nil"/>
              <w:right w:val="nil"/>
            </w:tcBorders>
            <w:shd w:val="clear" w:color="auto" w:fill="FFFFFF"/>
            <w:tcMar>
              <w:left w:w="67" w:type="dxa"/>
              <w:right w:w="67" w:type="dxa"/>
            </w:tcMar>
            <w:vAlign w:val="center"/>
          </w:tcPr>
          <w:p w14:paraId="56AAF4C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0.0007</w:t>
            </w:r>
          </w:p>
        </w:tc>
        <w:tc>
          <w:tcPr>
            <w:tcW w:w="1134" w:type="dxa"/>
            <w:tcBorders>
              <w:top w:val="nil"/>
              <w:left w:val="nil"/>
              <w:bottom w:val="nil"/>
              <w:right w:val="nil"/>
            </w:tcBorders>
            <w:shd w:val="clear" w:color="auto" w:fill="FFFFFF"/>
            <w:tcMar>
              <w:left w:w="67" w:type="dxa"/>
              <w:right w:w="67" w:type="dxa"/>
            </w:tcMar>
            <w:vAlign w:val="center"/>
          </w:tcPr>
          <w:p w14:paraId="777CC6B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08E0273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13.67</w:t>
            </w:r>
          </w:p>
        </w:tc>
        <w:tc>
          <w:tcPr>
            <w:tcW w:w="567" w:type="dxa"/>
            <w:tcBorders>
              <w:top w:val="nil"/>
              <w:left w:val="nil"/>
              <w:bottom w:val="nil"/>
              <w:right w:val="nil"/>
            </w:tcBorders>
            <w:shd w:val="clear" w:color="auto" w:fill="FFFFFF"/>
            <w:tcMar>
              <w:left w:w="67" w:type="dxa"/>
              <w:right w:w="67" w:type="dxa"/>
            </w:tcMar>
            <w:vAlign w:val="center"/>
          </w:tcPr>
          <w:p w14:paraId="1A4CF61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589C865"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0.0006</w:t>
            </w:r>
          </w:p>
        </w:tc>
      </w:tr>
      <w:tr w:rsidR="00B77EA3" w:rsidRPr="0082484A" w14:paraId="77FE725B"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6FB8CA11"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1F2CE04B"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7A5694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0.000316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FC5707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0.0001</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4782F45"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0.0000</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1BA19B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0.0006</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7995C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5.70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4273459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5B416CF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0.0209</w:t>
            </w:r>
          </w:p>
        </w:tc>
      </w:tr>
    </w:tbl>
    <w:p w14:paraId="61B5EBAC" w14:textId="77777777" w:rsidR="00B77EA3" w:rsidRPr="0082484A" w:rsidRDefault="00B77EA3" w:rsidP="00B77EA3">
      <w:pPr>
        <w:spacing w:before="0" w:line="240" w:lineRule="auto"/>
        <w:contextualSpacing/>
        <w:rPr>
          <w:rFonts w:eastAsia="Calibri"/>
          <w:sz w:val="22"/>
          <w:szCs w:val="22"/>
        </w:rPr>
      </w:pPr>
      <w:r w:rsidRPr="0082484A">
        <w:rPr>
          <w:rFonts w:eastAsia="Calibri"/>
          <w:sz w:val="22"/>
          <w:szCs w:val="22"/>
          <w:vertAlign w:val="superscript"/>
        </w:rPr>
        <w:t>a</w:t>
      </w:r>
      <w:r w:rsidRPr="0082484A">
        <w:rPr>
          <w:rFonts w:eastAsia="Calibri"/>
          <w:sz w:val="22"/>
          <w:szCs w:val="22"/>
        </w:rPr>
        <w:t xml:space="preserve"> Patients with any or any combination of the following conditions: coronary heart disease (CHD), peripheral arterial disease (PAD), stroke or transient ischemic attack (TIA), hypertension, diabetes, chronic obstructive pulmonary disease (COPD), chronic kidney disease (CKD), asthma, schizophrenia, bipolar affective disorder or other psychoses whose notes record smoking status in the preceding 12 months</w:t>
      </w:r>
    </w:p>
    <w:p w14:paraId="1B1F22EB" w14:textId="77777777" w:rsidR="00B77EA3" w:rsidRPr="0082484A" w:rsidRDefault="00B77EA3" w:rsidP="00B77EA3">
      <w:pPr>
        <w:spacing w:before="0" w:line="240" w:lineRule="auto"/>
        <w:rPr>
          <w:rFonts w:eastAsia="Calibri"/>
          <w:color w:val="FF0000"/>
          <w:sz w:val="22"/>
          <w:szCs w:val="22"/>
        </w:rPr>
      </w:pPr>
      <w:r w:rsidRPr="0082484A">
        <w:rPr>
          <w:rFonts w:eastAsia="Calibri"/>
          <w:color w:val="FF0000"/>
          <w:sz w:val="22"/>
          <w:szCs w:val="22"/>
        </w:rPr>
        <w:br w:type="page"/>
      </w:r>
    </w:p>
    <w:p w14:paraId="148B4766" w14:textId="73B02CB8" w:rsidR="00B77EA3" w:rsidRPr="0082484A" w:rsidRDefault="00B77EA3" w:rsidP="00B77EA3">
      <w:pPr>
        <w:spacing w:before="0" w:line="240" w:lineRule="auto"/>
        <w:rPr>
          <w:bCs/>
          <w:sz w:val="22"/>
          <w:szCs w:val="22"/>
        </w:rPr>
      </w:pPr>
      <w:bookmarkStart w:id="274" w:name="_Ref502918105"/>
      <w:bookmarkStart w:id="275" w:name="_Toc8728148"/>
      <w:bookmarkStart w:id="276" w:name="_Toc19526803"/>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74</w:t>
      </w:r>
      <w:r w:rsidRPr="0082484A">
        <w:rPr>
          <w:bCs/>
          <w:noProof/>
          <w:sz w:val="22"/>
          <w:szCs w:val="22"/>
        </w:rPr>
        <w:fldChar w:fldCharType="end"/>
      </w:r>
      <w:bookmarkEnd w:id="274"/>
      <w:r w:rsidRPr="0082484A">
        <w:rPr>
          <w:bCs/>
          <w:sz w:val="22"/>
          <w:szCs w:val="22"/>
        </w:rPr>
        <w:t>: Trial 1 practices comparison. Achievement of QOF indicator, ‘The percentage of patients with asthma, on the register, who have had an asthma review in the preceding 12 months that includes an assessment of asthma control using the 3 RCP questions’ (AST003) (WP4a)</w:t>
      </w:r>
      <w:bookmarkEnd w:id="275"/>
      <w:bookmarkEnd w:id="276"/>
    </w:p>
    <w:tbl>
      <w:tblPr>
        <w:tblW w:w="14175" w:type="dxa"/>
        <w:jc w:val="center"/>
        <w:tblLayout w:type="fixed"/>
        <w:tblCellMar>
          <w:left w:w="0" w:type="dxa"/>
          <w:right w:w="0" w:type="dxa"/>
        </w:tblCellMar>
        <w:tblLook w:val="0000" w:firstRow="0" w:lastRow="0" w:firstColumn="0" w:lastColumn="0" w:noHBand="0" w:noVBand="0"/>
      </w:tblPr>
      <w:tblGrid>
        <w:gridCol w:w="2835"/>
        <w:gridCol w:w="3969"/>
        <w:gridCol w:w="1134"/>
        <w:gridCol w:w="1134"/>
        <w:gridCol w:w="1134"/>
        <w:gridCol w:w="1134"/>
        <w:gridCol w:w="1134"/>
        <w:gridCol w:w="567"/>
        <w:gridCol w:w="1134"/>
      </w:tblGrid>
      <w:tr w:rsidR="00B77EA3" w:rsidRPr="0082484A" w14:paraId="30C6550D" w14:textId="77777777" w:rsidTr="00B77EA3">
        <w:trPr>
          <w:cantSplit/>
          <w:tblHeader/>
          <w:jc w:val="center"/>
        </w:trPr>
        <w:tc>
          <w:tcPr>
            <w:tcW w:w="2835"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E3EC61B" w14:textId="77777777" w:rsidR="00B77EA3" w:rsidRPr="0082484A" w:rsidRDefault="00B77EA3" w:rsidP="00B77EA3">
            <w:pPr>
              <w:spacing w:beforeLines="10" w:before="24" w:afterLines="10" w:after="24" w:line="240" w:lineRule="auto"/>
              <w:rPr>
                <w:bCs/>
                <w:sz w:val="22"/>
                <w:szCs w:val="22"/>
              </w:rPr>
            </w:pPr>
            <w:r w:rsidRPr="0082484A">
              <w:rPr>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42E08A" w14:textId="77777777" w:rsidR="00B77EA3" w:rsidRPr="0082484A" w:rsidRDefault="00B77EA3" w:rsidP="00B77EA3">
            <w:pPr>
              <w:spacing w:beforeLines="10" w:before="24" w:afterLines="10" w:after="24" w:line="240" w:lineRule="auto"/>
              <w:rPr>
                <w:bCs/>
                <w:sz w:val="22"/>
                <w:szCs w:val="22"/>
              </w:rPr>
            </w:pPr>
            <w:r w:rsidRPr="0082484A">
              <w:rPr>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5ACC2BB"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FB76D6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AECF0B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EDB96B0"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930C198"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E7FAE06"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343F2CD" w14:textId="77777777" w:rsidR="00B77EA3" w:rsidRPr="0082484A" w:rsidRDefault="00B77EA3" w:rsidP="00B77EA3">
            <w:pPr>
              <w:spacing w:beforeLines="10" w:before="24" w:afterLines="10" w:after="24" w:line="240" w:lineRule="auto"/>
              <w:jc w:val="center"/>
              <w:rPr>
                <w:bCs/>
                <w:sz w:val="22"/>
                <w:szCs w:val="22"/>
              </w:rPr>
            </w:pPr>
            <w:r w:rsidRPr="0082484A">
              <w:rPr>
                <w:bCs/>
                <w:sz w:val="22"/>
                <w:szCs w:val="22"/>
              </w:rPr>
              <w:t>P-value</w:t>
            </w:r>
          </w:p>
        </w:tc>
      </w:tr>
      <w:tr w:rsidR="00B77EA3" w:rsidRPr="0082484A" w14:paraId="15B6971E"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3B99E80" w14:textId="77777777" w:rsidR="00B77EA3" w:rsidRPr="0082484A" w:rsidRDefault="00B77EA3" w:rsidP="00B77EA3">
            <w:pPr>
              <w:spacing w:beforeLines="10" w:before="24" w:afterLines="10" w:after="24" w:line="240" w:lineRule="auto"/>
              <w:rPr>
                <w:sz w:val="22"/>
                <w:szCs w:val="22"/>
              </w:rPr>
            </w:pPr>
            <w:r w:rsidRPr="0082484A">
              <w:rPr>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430278FB"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Risky prescribing package vs. Control (diabetes control package)</w:t>
            </w:r>
          </w:p>
        </w:tc>
        <w:tc>
          <w:tcPr>
            <w:tcW w:w="1134" w:type="dxa"/>
            <w:tcBorders>
              <w:top w:val="nil"/>
              <w:left w:val="nil"/>
              <w:bottom w:val="nil"/>
              <w:right w:val="nil"/>
            </w:tcBorders>
            <w:shd w:val="clear" w:color="auto" w:fill="FFFFFF"/>
            <w:tcMar>
              <w:left w:w="67" w:type="dxa"/>
              <w:right w:w="67" w:type="dxa"/>
            </w:tcMar>
            <w:vAlign w:val="center"/>
          </w:tcPr>
          <w:p w14:paraId="50E7FEE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-0.010773</w:t>
            </w:r>
          </w:p>
        </w:tc>
        <w:tc>
          <w:tcPr>
            <w:tcW w:w="1134" w:type="dxa"/>
            <w:tcBorders>
              <w:top w:val="nil"/>
              <w:left w:val="nil"/>
              <w:bottom w:val="nil"/>
              <w:right w:val="nil"/>
            </w:tcBorders>
            <w:shd w:val="clear" w:color="auto" w:fill="FFFFFF"/>
            <w:tcMar>
              <w:left w:w="67" w:type="dxa"/>
              <w:right w:w="67" w:type="dxa"/>
            </w:tcMar>
            <w:vAlign w:val="center"/>
          </w:tcPr>
          <w:p w14:paraId="6F2B26A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0.0182</w:t>
            </w:r>
          </w:p>
        </w:tc>
        <w:tc>
          <w:tcPr>
            <w:tcW w:w="1134" w:type="dxa"/>
            <w:tcBorders>
              <w:top w:val="nil"/>
              <w:left w:val="nil"/>
              <w:bottom w:val="nil"/>
              <w:right w:val="nil"/>
            </w:tcBorders>
            <w:shd w:val="clear" w:color="auto" w:fill="FFFFFF"/>
            <w:tcMar>
              <w:left w:w="67" w:type="dxa"/>
              <w:right w:w="67" w:type="dxa"/>
            </w:tcMar>
            <w:vAlign w:val="center"/>
          </w:tcPr>
          <w:p w14:paraId="6576D81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-0.0524</w:t>
            </w:r>
          </w:p>
        </w:tc>
        <w:tc>
          <w:tcPr>
            <w:tcW w:w="1134" w:type="dxa"/>
            <w:tcBorders>
              <w:top w:val="nil"/>
              <w:left w:val="nil"/>
              <w:bottom w:val="nil"/>
              <w:right w:val="nil"/>
            </w:tcBorders>
            <w:shd w:val="clear" w:color="auto" w:fill="FFFFFF"/>
            <w:tcMar>
              <w:left w:w="67" w:type="dxa"/>
              <w:right w:w="67" w:type="dxa"/>
            </w:tcMar>
            <w:vAlign w:val="center"/>
          </w:tcPr>
          <w:p w14:paraId="1B4CDB46"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0.0309</w:t>
            </w:r>
          </w:p>
        </w:tc>
        <w:tc>
          <w:tcPr>
            <w:tcW w:w="1134" w:type="dxa"/>
            <w:tcBorders>
              <w:top w:val="nil"/>
              <w:left w:val="nil"/>
              <w:bottom w:val="nil"/>
              <w:right w:val="nil"/>
            </w:tcBorders>
            <w:shd w:val="clear" w:color="auto" w:fill="FFFFFF"/>
            <w:tcMar>
              <w:left w:w="67" w:type="dxa"/>
              <w:right w:w="67" w:type="dxa"/>
            </w:tcMar>
            <w:vAlign w:val="center"/>
          </w:tcPr>
          <w:p w14:paraId="6E84DC0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0.35</w:t>
            </w:r>
          </w:p>
        </w:tc>
        <w:tc>
          <w:tcPr>
            <w:tcW w:w="567" w:type="dxa"/>
            <w:tcBorders>
              <w:top w:val="nil"/>
              <w:left w:val="nil"/>
              <w:bottom w:val="nil"/>
              <w:right w:val="nil"/>
            </w:tcBorders>
            <w:shd w:val="clear" w:color="auto" w:fill="FFFFFF"/>
            <w:tcMar>
              <w:left w:w="67" w:type="dxa"/>
              <w:right w:w="67" w:type="dxa"/>
            </w:tcMar>
            <w:vAlign w:val="center"/>
          </w:tcPr>
          <w:p w14:paraId="79F8E87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CFA9F1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0.5550</w:t>
            </w:r>
          </w:p>
        </w:tc>
      </w:tr>
      <w:tr w:rsidR="00B77EA3" w:rsidRPr="0082484A" w14:paraId="70E6E9C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18D0183E" w14:textId="77777777" w:rsidR="00B77EA3" w:rsidRPr="0082484A" w:rsidRDefault="00B77EA3" w:rsidP="00B77EA3">
            <w:pPr>
              <w:spacing w:beforeLines="10" w:before="24" w:afterLines="10" w:after="24" w:line="240" w:lineRule="auto"/>
              <w:rPr>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23EBAC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3B90E76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-0.000301</w:t>
            </w:r>
          </w:p>
        </w:tc>
        <w:tc>
          <w:tcPr>
            <w:tcW w:w="1134" w:type="dxa"/>
            <w:tcBorders>
              <w:top w:val="nil"/>
              <w:left w:val="nil"/>
              <w:bottom w:val="nil"/>
              <w:right w:val="nil"/>
            </w:tcBorders>
            <w:shd w:val="clear" w:color="auto" w:fill="FFFFFF"/>
            <w:tcMar>
              <w:left w:w="67" w:type="dxa"/>
              <w:right w:w="67" w:type="dxa"/>
            </w:tcMar>
            <w:vAlign w:val="center"/>
          </w:tcPr>
          <w:p w14:paraId="4109EBE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34AAED9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-0.0010</w:t>
            </w:r>
          </w:p>
        </w:tc>
        <w:tc>
          <w:tcPr>
            <w:tcW w:w="1134" w:type="dxa"/>
            <w:tcBorders>
              <w:top w:val="nil"/>
              <w:left w:val="nil"/>
              <w:bottom w:val="nil"/>
              <w:right w:val="nil"/>
            </w:tcBorders>
            <w:shd w:val="clear" w:color="auto" w:fill="FFFFFF"/>
            <w:tcMar>
              <w:left w:w="67" w:type="dxa"/>
              <w:right w:w="67" w:type="dxa"/>
            </w:tcMar>
            <w:vAlign w:val="center"/>
          </w:tcPr>
          <w:p w14:paraId="1C69349D"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0.0004</w:t>
            </w:r>
          </w:p>
        </w:tc>
        <w:tc>
          <w:tcPr>
            <w:tcW w:w="1134" w:type="dxa"/>
            <w:tcBorders>
              <w:top w:val="nil"/>
              <w:left w:val="nil"/>
              <w:bottom w:val="nil"/>
              <w:right w:val="nil"/>
            </w:tcBorders>
            <w:shd w:val="clear" w:color="auto" w:fill="FFFFFF"/>
            <w:tcMar>
              <w:left w:w="67" w:type="dxa"/>
              <w:right w:w="67" w:type="dxa"/>
            </w:tcMar>
            <w:vAlign w:val="center"/>
          </w:tcPr>
          <w:p w14:paraId="0B14297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1.09</w:t>
            </w:r>
          </w:p>
        </w:tc>
        <w:tc>
          <w:tcPr>
            <w:tcW w:w="567" w:type="dxa"/>
            <w:tcBorders>
              <w:top w:val="nil"/>
              <w:left w:val="nil"/>
              <w:bottom w:val="nil"/>
              <w:right w:val="nil"/>
            </w:tcBorders>
            <w:shd w:val="clear" w:color="auto" w:fill="FFFFFF"/>
            <w:tcMar>
              <w:left w:w="67" w:type="dxa"/>
              <w:right w:w="67" w:type="dxa"/>
            </w:tcMar>
            <w:vAlign w:val="center"/>
          </w:tcPr>
          <w:p w14:paraId="1F87066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A0C9CC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0.3000</w:t>
            </w:r>
          </w:p>
        </w:tc>
      </w:tr>
      <w:tr w:rsidR="00B77EA3" w:rsidRPr="0082484A" w14:paraId="7D8A294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5A2C08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2FC090B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97BE97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-0.040515</w:t>
            </w:r>
          </w:p>
        </w:tc>
        <w:tc>
          <w:tcPr>
            <w:tcW w:w="1134" w:type="dxa"/>
            <w:tcBorders>
              <w:top w:val="nil"/>
              <w:left w:val="nil"/>
              <w:bottom w:val="nil"/>
              <w:right w:val="nil"/>
            </w:tcBorders>
            <w:shd w:val="clear" w:color="auto" w:fill="FFFFFF"/>
            <w:tcMar>
              <w:left w:w="67" w:type="dxa"/>
              <w:right w:w="67" w:type="dxa"/>
            </w:tcMar>
            <w:vAlign w:val="center"/>
          </w:tcPr>
          <w:p w14:paraId="71B823D0"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0.0539</w:t>
            </w:r>
          </w:p>
        </w:tc>
        <w:tc>
          <w:tcPr>
            <w:tcW w:w="1134" w:type="dxa"/>
            <w:tcBorders>
              <w:top w:val="nil"/>
              <w:left w:val="nil"/>
              <w:bottom w:val="nil"/>
              <w:right w:val="nil"/>
            </w:tcBorders>
            <w:shd w:val="clear" w:color="auto" w:fill="FFFFFF"/>
            <w:tcMar>
              <w:left w:w="67" w:type="dxa"/>
              <w:right w:w="67" w:type="dxa"/>
            </w:tcMar>
            <w:vAlign w:val="center"/>
          </w:tcPr>
          <w:p w14:paraId="4042DB7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-0.1641</w:t>
            </w:r>
          </w:p>
        </w:tc>
        <w:tc>
          <w:tcPr>
            <w:tcW w:w="1134" w:type="dxa"/>
            <w:tcBorders>
              <w:top w:val="nil"/>
              <w:left w:val="nil"/>
              <w:bottom w:val="nil"/>
              <w:right w:val="nil"/>
            </w:tcBorders>
            <w:shd w:val="clear" w:color="auto" w:fill="FFFFFF"/>
            <w:tcMar>
              <w:left w:w="67" w:type="dxa"/>
              <w:right w:w="67" w:type="dxa"/>
            </w:tcMar>
            <w:vAlign w:val="center"/>
          </w:tcPr>
          <w:p w14:paraId="5FEB779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0.0831</w:t>
            </w:r>
          </w:p>
        </w:tc>
        <w:tc>
          <w:tcPr>
            <w:tcW w:w="1134" w:type="dxa"/>
            <w:tcBorders>
              <w:top w:val="nil"/>
              <w:left w:val="nil"/>
              <w:bottom w:val="nil"/>
              <w:right w:val="nil"/>
            </w:tcBorders>
            <w:shd w:val="clear" w:color="auto" w:fill="FFFFFF"/>
            <w:tcMar>
              <w:left w:w="67" w:type="dxa"/>
              <w:right w:w="67" w:type="dxa"/>
            </w:tcMar>
            <w:vAlign w:val="center"/>
          </w:tcPr>
          <w:p w14:paraId="6756ED1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0.64</w:t>
            </w:r>
          </w:p>
        </w:tc>
        <w:tc>
          <w:tcPr>
            <w:tcW w:w="567" w:type="dxa"/>
            <w:tcBorders>
              <w:top w:val="nil"/>
              <w:left w:val="nil"/>
              <w:bottom w:val="nil"/>
              <w:right w:val="nil"/>
            </w:tcBorders>
            <w:shd w:val="clear" w:color="auto" w:fill="FFFFFF"/>
            <w:tcMar>
              <w:left w:w="67" w:type="dxa"/>
              <w:right w:w="67" w:type="dxa"/>
            </w:tcMar>
            <w:vAlign w:val="center"/>
          </w:tcPr>
          <w:p w14:paraId="0CD3398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9</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E53525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0.7582</w:t>
            </w:r>
          </w:p>
        </w:tc>
      </w:tr>
      <w:tr w:rsidR="00B77EA3" w:rsidRPr="0082484A" w14:paraId="0D3299A8"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85E243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EA03E6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3486C8E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0.003639</w:t>
            </w:r>
          </w:p>
        </w:tc>
        <w:tc>
          <w:tcPr>
            <w:tcW w:w="1134" w:type="dxa"/>
            <w:tcBorders>
              <w:top w:val="nil"/>
              <w:left w:val="nil"/>
              <w:bottom w:val="nil"/>
              <w:right w:val="nil"/>
            </w:tcBorders>
            <w:shd w:val="clear" w:color="auto" w:fill="FFFFFF"/>
            <w:tcMar>
              <w:left w:w="67" w:type="dxa"/>
              <w:right w:w="67" w:type="dxa"/>
            </w:tcMar>
            <w:vAlign w:val="center"/>
          </w:tcPr>
          <w:p w14:paraId="31D593A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0.0433</w:t>
            </w:r>
          </w:p>
        </w:tc>
        <w:tc>
          <w:tcPr>
            <w:tcW w:w="1134" w:type="dxa"/>
            <w:tcBorders>
              <w:top w:val="nil"/>
              <w:left w:val="nil"/>
              <w:bottom w:val="nil"/>
              <w:right w:val="nil"/>
            </w:tcBorders>
            <w:shd w:val="clear" w:color="auto" w:fill="FFFFFF"/>
            <w:tcMar>
              <w:left w:w="67" w:type="dxa"/>
              <w:right w:w="67" w:type="dxa"/>
            </w:tcMar>
            <w:vAlign w:val="center"/>
          </w:tcPr>
          <w:p w14:paraId="698DD8F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-0.0957</w:t>
            </w:r>
          </w:p>
        </w:tc>
        <w:tc>
          <w:tcPr>
            <w:tcW w:w="1134" w:type="dxa"/>
            <w:tcBorders>
              <w:top w:val="nil"/>
              <w:left w:val="nil"/>
              <w:bottom w:val="nil"/>
              <w:right w:val="nil"/>
            </w:tcBorders>
            <w:shd w:val="clear" w:color="auto" w:fill="FFFFFF"/>
            <w:tcMar>
              <w:left w:w="67" w:type="dxa"/>
              <w:right w:w="67" w:type="dxa"/>
            </w:tcMar>
            <w:vAlign w:val="center"/>
          </w:tcPr>
          <w:p w14:paraId="01CA36A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0.1030</w:t>
            </w:r>
          </w:p>
        </w:tc>
        <w:tc>
          <w:tcPr>
            <w:tcW w:w="1134" w:type="dxa"/>
            <w:tcBorders>
              <w:top w:val="nil"/>
              <w:left w:val="nil"/>
              <w:bottom w:val="nil"/>
              <w:right w:val="nil"/>
            </w:tcBorders>
            <w:shd w:val="clear" w:color="auto" w:fill="FFFFFF"/>
            <w:tcMar>
              <w:left w:w="67" w:type="dxa"/>
              <w:right w:w="67" w:type="dxa"/>
            </w:tcMar>
            <w:vAlign w:val="center"/>
          </w:tcPr>
          <w:p w14:paraId="459F8F37"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546161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CC92F91"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4C5B9FF"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3D7C8C"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6E001B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Districts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AAFABA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-0.014268</w:t>
            </w:r>
          </w:p>
        </w:tc>
        <w:tc>
          <w:tcPr>
            <w:tcW w:w="1134" w:type="dxa"/>
            <w:tcBorders>
              <w:top w:val="nil"/>
              <w:left w:val="nil"/>
              <w:bottom w:val="nil"/>
              <w:right w:val="nil"/>
            </w:tcBorders>
            <w:shd w:val="clear" w:color="auto" w:fill="FFFFFF"/>
            <w:tcMar>
              <w:left w:w="67" w:type="dxa"/>
              <w:right w:w="67" w:type="dxa"/>
            </w:tcMar>
            <w:vAlign w:val="center"/>
          </w:tcPr>
          <w:p w14:paraId="10598A4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0.0337</w:t>
            </w:r>
          </w:p>
        </w:tc>
        <w:tc>
          <w:tcPr>
            <w:tcW w:w="1134" w:type="dxa"/>
            <w:tcBorders>
              <w:top w:val="nil"/>
              <w:left w:val="nil"/>
              <w:bottom w:val="nil"/>
              <w:right w:val="nil"/>
            </w:tcBorders>
            <w:shd w:val="clear" w:color="auto" w:fill="FFFFFF"/>
            <w:tcMar>
              <w:left w:w="67" w:type="dxa"/>
              <w:right w:w="67" w:type="dxa"/>
            </w:tcMar>
            <w:vAlign w:val="center"/>
          </w:tcPr>
          <w:p w14:paraId="561A806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-0.0916</w:t>
            </w:r>
          </w:p>
        </w:tc>
        <w:tc>
          <w:tcPr>
            <w:tcW w:w="1134" w:type="dxa"/>
            <w:tcBorders>
              <w:top w:val="nil"/>
              <w:left w:val="nil"/>
              <w:bottom w:val="nil"/>
              <w:right w:val="nil"/>
            </w:tcBorders>
            <w:shd w:val="clear" w:color="auto" w:fill="FFFFFF"/>
            <w:tcMar>
              <w:left w:w="67" w:type="dxa"/>
              <w:right w:w="67" w:type="dxa"/>
            </w:tcMar>
            <w:vAlign w:val="center"/>
          </w:tcPr>
          <w:p w14:paraId="51BC317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0.0631</w:t>
            </w:r>
          </w:p>
        </w:tc>
        <w:tc>
          <w:tcPr>
            <w:tcW w:w="1134" w:type="dxa"/>
            <w:tcBorders>
              <w:top w:val="nil"/>
              <w:left w:val="nil"/>
              <w:bottom w:val="nil"/>
              <w:right w:val="nil"/>
            </w:tcBorders>
            <w:shd w:val="clear" w:color="auto" w:fill="FFFFFF"/>
            <w:tcMar>
              <w:left w:w="67" w:type="dxa"/>
              <w:right w:w="67" w:type="dxa"/>
            </w:tcMar>
            <w:vAlign w:val="center"/>
          </w:tcPr>
          <w:p w14:paraId="3BC200AA"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CA04537"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B8BFF16"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78C44E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407D3EA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FD996C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79879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0.025611</w:t>
            </w:r>
          </w:p>
        </w:tc>
        <w:tc>
          <w:tcPr>
            <w:tcW w:w="1134" w:type="dxa"/>
            <w:tcBorders>
              <w:top w:val="nil"/>
              <w:left w:val="nil"/>
              <w:bottom w:val="nil"/>
              <w:right w:val="nil"/>
            </w:tcBorders>
            <w:shd w:val="clear" w:color="auto" w:fill="FFFFFF"/>
            <w:tcMar>
              <w:left w:w="67" w:type="dxa"/>
              <w:right w:w="67" w:type="dxa"/>
            </w:tcMar>
            <w:vAlign w:val="center"/>
          </w:tcPr>
          <w:p w14:paraId="4654648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0.0453</w:t>
            </w:r>
          </w:p>
        </w:tc>
        <w:tc>
          <w:tcPr>
            <w:tcW w:w="1134" w:type="dxa"/>
            <w:tcBorders>
              <w:top w:val="nil"/>
              <w:left w:val="nil"/>
              <w:bottom w:val="nil"/>
              <w:right w:val="nil"/>
            </w:tcBorders>
            <w:shd w:val="clear" w:color="auto" w:fill="FFFFFF"/>
            <w:tcMar>
              <w:left w:w="67" w:type="dxa"/>
              <w:right w:w="67" w:type="dxa"/>
            </w:tcMar>
            <w:vAlign w:val="center"/>
          </w:tcPr>
          <w:p w14:paraId="2EA18EC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-0.0785</w:t>
            </w:r>
          </w:p>
        </w:tc>
        <w:tc>
          <w:tcPr>
            <w:tcW w:w="1134" w:type="dxa"/>
            <w:tcBorders>
              <w:top w:val="nil"/>
              <w:left w:val="nil"/>
              <w:bottom w:val="nil"/>
              <w:right w:val="nil"/>
            </w:tcBorders>
            <w:shd w:val="clear" w:color="auto" w:fill="FFFFFF"/>
            <w:tcMar>
              <w:left w:w="67" w:type="dxa"/>
              <w:right w:w="67" w:type="dxa"/>
            </w:tcMar>
            <w:vAlign w:val="center"/>
          </w:tcPr>
          <w:p w14:paraId="06EFF65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0.1297</w:t>
            </w:r>
          </w:p>
        </w:tc>
        <w:tc>
          <w:tcPr>
            <w:tcW w:w="1134" w:type="dxa"/>
            <w:tcBorders>
              <w:top w:val="nil"/>
              <w:left w:val="nil"/>
              <w:bottom w:val="nil"/>
              <w:right w:val="nil"/>
            </w:tcBorders>
            <w:shd w:val="clear" w:color="auto" w:fill="FFFFFF"/>
            <w:tcMar>
              <w:left w:w="67" w:type="dxa"/>
              <w:right w:w="67" w:type="dxa"/>
            </w:tcMar>
            <w:vAlign w:val="center"/>
          </w:tcPr>
          <w:p w14:paraId="3ECA0CFF"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8615E9D"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A778DE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3C5D4D0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3B3BB479"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87510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E3CA04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-0.018621</w:t>
            </w:r>
          </w:p>
        </w:tc>
        <w:tc>
          <w:tcPr>
            <w:tcW w:w="1134" w:type="dxa"/>
            <w:tcBorders>
              <w:top w:val="nil"/>
              <w:left w:val="nil"/>
              <w:bottom w:val="nil"/>
              <w:right w:val="nil"/>
            </w:tcBorders>
            <w:shd w:val="clear" w:color="auto" w:fill="FFFFFF"/>
            <w:tcMar>
              <w:left w:w="67" w:type="dxa"/>
              <w:right w:w="67" w:type="dxa"/>
            </w:tcMar>
            <w:vAlign w:val="center"/>
          </w:tcPr>
          <w:p w14:paraId="26DCE3A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0.0423</w:t>
            </w:r>
          </w:p>
        </w:tc>
        <w:tc>
          <w:tcPr>
            <w:tcW w:w="1134" w:type="dxa"/>
            <w:tcBorders>
              <w:top w:val="nil"/>
              <w:left w:val="nil"/>
              <w:bottom w:val="nil"/>
              <w:right w:val="nil"/>
            </w:tcBorders>
            <w:shd w:val="clear" w:color="auto" w:fill="FFFFFF"/>
            <w:tcMar>
              <w:left w:w="67" w:type="dxa"/>
              <w:right w:w="67" w:type="dxa"/>
            </w:tcMar>
            <w:vAlign w:val="center"/>
          </w:tcPr>
          <w:p w14:paraId="0316A29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-0.1157</w:t>
            </w:r>
          </w:p>
        </w:tc>
        <w:tc>
          <w:tcPr>
            <w:tcW w:w="1134" w:type="dxa"/>
            <w:tcBorders>
              <w:top w:val="nil"/>
              <w:left w:val="nil"/>
              <w:bottom w:val="nil"/>
              <w:right w:val="nil"/>
            </w:tcBorders>
            <w:shd w:val="clear" w:color="auto" w:fill="FFFFFF"/>
            <w:tcMar>
              <w:left w:w="67" w:type="dxa"/>
              <w:right w:w="67" w:type="dxa"/>
            </w:tcMar>
            <w:vAlign w:val="center"/>
          </w:tcPr>
          <w:p w14:paraId="16682651"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0.0785</w:t>
            </w:r>
          </w:p>
        </w:tc>
        <w:tc>
          <w:tcPr>
            <w:tcW w:w="1134" w:type="dxa"/>
            <w:tcBorders>
              <w:top w:val="nil"/>
              <w:left w:val="nil"/>
              <w:bottom w:val="nil"/>
              <w:right w:val="nil"/>
            </w:tcBorders>
            <w:shd w:val="clear" w:color="auto" w:fill="FFFFFF"/>
            <w:tcMar>
              <w:left w:w="67" w:type="dxa"/>
              <w:right w:w="67" w:type="dxa"/>
            </w:tcMar>
            <w:vAlign w:val="center"/>
          </w:tcPr>
          <w:p w14:paraId="3492B264"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AD28350"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047DDC"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673C1FCA"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2617D08"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106742C"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FA394C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-0.002724</w:t>
            </w:r>
          </w:p>
        </w:tc>
        <w:tc>
          <w:tcPr>
            <w:tcW w:w="1134" w:type="dxa"/>
            <w:tcBorders>
              <w:top w:val="nil"/>
              <w:left w:val="nil"/>
              <w:bottom w:val="nil"/>
              <w:right w:val="nil"/>
            </w:tcBorders>
            <w:shd w:val="clear" w:color="auto" w:fill="FFFFFF"/>
            <w:tcMar>
              <w:left w:w="67" w:type="dxa"/>
              <w:right w:w="67" w:type="dxa"/>
            </w:tcMar>
            <w:vAlign w:val="center"/>
          </w:tcPr>
          <w:p w14:paraId="418F532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0.0464</w:t>
            </w:r>
          </w:p>
        </w:tc>
        <w:tc>
          <w:tcPr>
            <w:tcW w:w="1134" w:type="dxa"/>
            <w:tcBorders>
              <w:top w:val="nil"/>
              <w:left w:val="nil"/>
              <w:bottom w:val="nil"/>
              <w:right w:val="nil"/>
            </w:tcBorders>
            <w:shd w:val="clear" w:color="auto" w:fill="FFFFFF"/>
            <w:tcMar>
              <w:left w:w="67" w:type="dxa"/>
              <w:right w:w="67" w:type="dxa"/>
            </w:tcMar>
            <w:vAlign w:val="center"/>
          </w:tcPr>
          <w:p w14:paraId="32752C1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-0.1092</w:t>
            </w:r>
          </w:p>
        </w:tc>
        <w:tc>
          <w:tcPr>
            <w:tcW w:w="1134" w:type="dxa"/>
            <w:tcBorders>
              <w:top w:val="nil"/>
              <w:left w:val="nil"/>
              <w:bottom w:val="nil"/>
              <w:right w:val="nil"/>
            </w:tcBorders>
            <w:shd w:val="clear" w:color="auto" w:fill="FFFFFF"/>
            <w:tcMar>
              <w:left w:w="67" w:type="dxa"/>
              <w:right w:w="67" w:type="dxa"/>
            </w:tcMar>
            <w:vAlign w:val="center"/>
          </w:tcPr>
          <w:p w14:paraId="54289DE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0.1038</w:t>
            </w:r>
          </w:p>
        </w:tc>
        <w:tc>
          <w:tcPr>
            <w:tcW w:w="1134" w:type="dxa"/>
            <w:tcBorders>
              <w:top w:val="nil"/>
              <w:left w:val="nil"/>
              <w:bottom w:val="nil"/>
              <w:right w:val="nil"/>
            </w:tcBorders>
            <w:shd w:val="clear" w:color="auto" w:fill="FFFFFF"/>
            <w:tcMar>
              <w:left w:w="67" w:type="dxa"/>
              <w:right w:w="67" w:type="dxa"/>
            </w:tcMar>
            <w:vAlign w:val="center"/>
          </w:tcPr>
          <w:p w14:paraId="353DBDCB"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CA6F4A8"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C0497B0"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50B99184"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089C74F5"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53F960B"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36C294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-0.022319</w:t>
            </w:r>
          </w:p>
        </w:tc>
        <w:tc>
          <w:tcPr>
            <w:tcW w:w="1134" w:type="dxa"/>
            <w:tcBorders>
              <w:top w:val="nil"/>
              <w:left w:val="nil"/>
              <w:bottom w:val="nil"/>
              <w:right w:val="nil"/>
            </w:tcBorders>
            <w:shd w:val="clear" w:color="auto" w:fill="FFFFFF"/>
            <w:tcMar>
              <w:left w:w="67" w:type="dxa"/>
              <w:right w:w="67" w:type="dxa"/>
            </w:tcMar>
            <w:vAlign w:val="center"/>
          </w:tcPr>
          <w:p w14:paraId="0779017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0.0398</w:t>
            </w:r>
          </w:p>
        </w:tc>
        <w:tc>
          <w:tcPr>
            <w:tcW w:w="1134" w:type="dxa"/>
            <w:tcBorders>
              <w:top w:val="nil"/>
              <w:left w:val="nil"/>
              <w:bottom w:val="nil"/>
              <w:right w:val="nil"/>
            </w:tcBorders>
            <w:shd w:val="clear" w:color="auto" w:fill="FFFFFF"/>
            <w:tcMar>
              <w:left w:w="67" w:type="dxa"/>
              <w:right w:w="67" w:type="dxa"/>
            </w:tcMar>
            <w:vAlign w:val="center"/>
          </w:tcPr>
          <w:p w14:paraId="483AA05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-0.1137</w:t>
            </w:r>
          </w:p>
        </w:tc>
        <w:tc>
          <w:tcPr>
            <w:tcW w:w="1134" w:type="dxa"/>
            <w:tcBorders>
              <w:top w:val="nil"/>
              <w:left w:val="nil"/>
              <w:bottom w:val="nil"/>
              <w:right w:val="nil"/>
            </w:tcBorders>
            <w:shd w:val="clear" w:color="auto" w:fill="FFFFFF"/>
            <w:tcMar>
              <w:left w:w="67" w:type="dxa"/>
              <w:right w:w="67" w:type="dxa"/>
            </w:tcMar>
            <w:vAlign w:val="center"/>
          </w:tcPr>
          <w:p w14:paraId="0C26804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0.0690</w:t>
            </w:r>
          </w:p>
        </w:tc>
        <w:tc>
          <w:tcPr>
            <w:tcW w:w="1134" w:type="dxa"/>
            <w:tcBorders>
              <w:top w:val="nil"/>
              <w:left w:val="nil"/>
              <w:bottom w:val="nil"/>
              <w:right w:val="nil"/>
            </w:tcBorders>
            <w:shd w:val="clear" w:color="auto" w:fill="FFFFFF"/>
            <w:tcMar>
              <w:left w:w="67" w:type="dxa"/>
              <w:right w:w="67" w:type="dxa"/>
            </w:tcMar>
            <w:vAlign w:val="center"/>
          </w:tcPr>
          <w:p w14:paraId="3C13E6A1"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6283893A"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344EA2"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AEDC6ED"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A1047BF"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D9D5F9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968678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0.000675</w:t>
            </w:r>
          </w:p>
        </w:tc>
        <w:tc>
          <w:tcPr>
            <w:tcW w:w="1134" w:type="dxa"/>
            <w:tcBorders>
              <w:top w:val="nil"/>
              <w:left w:val="nil"/>
              <w:bottom w:val="nil"/>
              <w:right w:val="nil"/>
            </w:tcBorders>
            <w:shd w:val="clear" w:color="auto" w:fill="FFFFFF"/>
            <w:tcMar>
              <w:left w:w="67" w:type="dxa"/>
              <w:right w:w="67" w:type="dxa"/>
            </w:tcMar>
            <w:vAlign w:val="center"/>
          </w:tcPr>
          <w:p w14:paraId="3558EA8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0.0412</w:t>
            </w:r>
          </w:p>
        </w:tc>
        <w:tc>
          <w:tcPr>
            <w:tcW w:w="1134" w:type="dxa"/>
            <w:tcBorders>
              <w:top w:val="nil"/>
              <w:left w:val="nil"/>
              <w:bottom w:val="nil"/>
              <w:right w:val="nil"/>
            </w:tcBorders>
            <w:shd w:val="clear" w:color="auto" w:fill="FFFFFF"/>
            <w:tcMar>
              <w:left w:w="67" w:type="dxa"/>
              <w:right w:w="67" w:type="dxa"/>
            </w:tcMar>
            <w:vAlign w:val="center"/>
          </w:tcPr>
          <w:p w14:paraId="2F293AE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-0.0939</w:t>
            </w:r>
          </w:p>
        </w:tc>
        <w:tc>
          <w:tcPr>
            <w:tcW w:w="1134" w:type="dxa"/>
            <w:tcBorders>
              <w:top w:val="nil"/>
              <w:left w:val="nil"/>
              <w:bottom w:val="nil"/>
              <w:right w:val="nil"/>
            </w:tcBorders>
            <w:shd w:val="clear" w:color="auto" w:fill="FFFFFF"/>
            <w:tcMar>
              <w:left w:w="67" w:type="dxa"/>
              <w:right w:w="67" w:type="dxa"/>
            </w:tcMar>
            <w:vAlign w:val="center"/>
          </w:tcPr>
          <w:p w14:paraId="5BC52979"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0.0952</w:t>
            </w:r>
          </w:p>
        </w:tc>
        <w:tc>
          <w:tcPr>
            <w:tcW w:w="1134" w:type="dxa"/>
            <w:tcBorders>
              <w:top w:val="nil"/>
              <w:left w:val="nil"/>
              <w:bottom w:val="nil"/>
              <w:right w:val="nil"/>
            </w:tcBorders>
            <w:shd w:val="clear" w:color="auto" w:fill="FFFFFF"/>
            <w:tcMar>
              <w:left w:w="67" w:type="dxa"/>
              <w:right w:w="67" w:type="dxa"/>
            </w:tcMar>
            <w:vAlign w:val="center"/>
          </w:tcPr>
          <w:p w14:paraId="35D4EF55"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4EE6AB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97FE7D7"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0080D2D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5EF51ED4" w14:textId="77777777" w:rsidR="00B77EA3" w:rsidRPr="0082484A" w:rsidRDefault="00B77EA3" w:rsidP="00B77EA3">
            <w:pPr>
              <w:spacing w:beforeLines="10" w:before="24" w:afterLines="10" w:after="24" w:line="240" w:lineRule="auto"/>
              <w:rPr>
                <w:sz w:val="22"/>
                <w:szCs w:val="22"/>
              </w:rPr>
            </w:pPr>
            <w:r w:rsidRPr="0082484A">
              <w:rPr>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CAC95B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3F85A2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0.051508</w:t>
            </w:r>
          </w:p>
        </w:tc>
        <w:tc>
          <w:tcPr>
            <w:tcW w:w="1134" w:type="dxa"/>
            <w:tcBorders>
              <w:top w:val="nil"/>
              <w:left w:val="nil"/>
              <w:bottom w:val="nil"/>
              <w:right w:val="nil"/>
            </w:tcBorders>
            <w:shd w:val="clear" w:color="auto" w:fill="FFFFFF"/>
            <w:tcMar>
              <w:left w:w="67" w:type="dxa"/>
              <w:right w:w="67" w:type="dxa"/>
            </w:tcMar>
            <w:vAlign w:val="center"/>
          </w:tcPr>
          <w:p w14:paraId="69A69D4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0.0420</w:t>
            </w:r>
          </w:p>
        </w:tc>
        <w:tc>
          <w:tcPr>
            <w:tcW w:w="1134" w:type="dxa"/>
            <w:tcBorders>
              <w:top w:val="nil"/>
              <w:left w:val="nil"/>
              <w:bottom w:val="nil"/>
              <w:right w:val="nil"/>
            </w:tcBorders>
            <w:shd w:val="clear" w:color="auto" w:fill="FFFFFF"/>
            <w:tcMar>
              <w:left w:w="67" w:type="dxa"/>
              <w:right w:w="67" w:type="dxa"/>
            </w:tcMar>
            <w:vAlign w:val="center"/>
          </w:tcPr>
          <w:p w14:paraId="37ED495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-0.0448</w:t>
            </w:r>
          </w:p>
        </w:tc>
        <w:tc>
          <w:tcPr>
            <w:tcW w:w="1134" w:type="dxa"/>
            <w:tcBorders>
              <w:top w:val="nil"/>
              <w:left w:val="nil"/>
              <w:bottom w:val="nil"/>
              <w:right w:val="nil"/>
            </w:tcBorders>
            <w:shd w:val="clear" w:color="auto" w:fill="FFFFFF"/>
            <w:tcMar>
              <w:left w:w="67" w:type="dxa"/>
              <w:right w:w="67" w:type="dxa"/>
            </w:tcMar>
            <w:vAlign w:val="center"/>
          </w:tcPr>
          <w:p w14:paraId="2524966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0.1479</w:t>
            </w:r>
          </w:p>
        </w:tc>
        <w:tc>
          <w:tcPr>
            <w:tcW w:w="1134" w:type="dxa"/>
            <w:tcBorders>
              <w:top w:val="nil"/>
              <w:left w:val="nil"/>
              <w:bottom w:val="nil"/>
              <w:right w:val="nil"/>
            </w:tcBorders>
            <w:shd w:val="clear" w:color="auto" w:fill="FFFFFF"/>
            <w:tcMar>
              <w:left w:w="67" w:type="dxa"/>
              <w:right w:w="67" w:type="dxa"/>
            </w:tcMar>
            <w:vAlign w:val="center"/>
          </w:tcPr>
          <w:p w14:paraId="07AAE5E8" w14:textId="77777777" w:rsidR="00B77EA3" w:rsidRPr="0082484A" w:rsidRDefault="00B77EA3" w:rsidP="00B77EA3">
            <w:pPr>
              <w:spacing w:beforeLines="10" w:before="24" w:afterLines="10" w:after="24" w:line="240" w:lineRule="auto"/>
              <w:jc w:val="center"/>
              <w:rPr>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4242ABC1" w14:textId="77777777" w:rsidR="00B77EA3" w:rsidRPr="0082484A" w:rsidRDefault="00B77EA3" w:rsidP="00B77EA3">
            <w:pPr>
              <w:spacing w:beforeLines="10" w:before="24" w:afterLines="10" w:after="24" w:line="240" w:lineRule="auto"/>
              <w:jc w:val="center"/>
              <w:rPr>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2C3E6FA" w14:textId="77777777" w:rsidR="00B77EA3" w:rsidRPr="0082484A" w:rsidRDefault="00B77EA3" w:rsidP="00B77EA3">
            <w:pPr>
              <w:spacing w:beforeLines="10" w:before="24" w:afterLines="10" w:after="24" w:line="240" w:lineRule="auto"/>
              <w:jc w:val="center"/>
              <w:rPr>
                <w:sz w:val="22"/>
                <w:szCs w:val="22"/>
              </w:rPr>
            </w:pPr>
          </w:p>
        </w:tc>
      </w:tr>
      <w:tr w:rsidR="00B77EA3" w:rsidRPr="0082484A" w14:paraId="2A4399A3"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69249F7F"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risky prescribing</w:t>
            </w:r>
          </w:p>
        </w:tc>
        <w:tc>
          <w:tcPr>
            <w:tcW w:w="3969" w:type="dxa"/>
            <w:tcBorders>
              <w:top w:val="nil"/>
              <w:left w:val="nil"/>
              <w:bottom w:val="nil"/>
              <w:right w:val="nil"/>
            </w:tcBorders>
            <w:shd w:val="clear" w:color="auto" w:fill="FFFFFF"/>
            <w:tcMar>
              <w:left w:w="67" w:type="dxa"/>
              <w:right w:w="67" w:type="dxa"/>
            </w:tcMar>
            <w:vAlign w:val="center"/>
          </w:tcPr>
          <w:p w14:paraId="3D07C9D8"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ED7285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0.001068</w:t>
            </w:r>
          </w:p>
        </w:tc>
        <w:tc>
          <w:tcPr>
            <w:tcW w:w="1134" w:type="dxa"/>
            <w:tcBorders>
              <w:top w:val="nil"/>
              <w:left w:val="nil"/>
              <w:bottom w:val="nil"/>
              <w:right w:val="nil"/>
            </w:tcBorders>
            <w:shd w:val="clear" w:color="auto" w:fill="FFFFFF"/>
            <w:tcMar>
              <w:left w:w="67" w:type="dxa"/>
              <w:right w:w="67" w:type="dxa"/>
            </w:tcMar>
            <w:vAlign w:val="center"/>
          </w:tcPr>
          <w:p w14:paraId="4F32F595"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0.0022</w:t>
            </w:r>
          </w:p>
        </w:tc>
        <w:tc>
          <w:tcPr>
            <w:tcW w:w="1134" w:type="dxa"/>
            <w:tcBorders>
              <w:top w:val="nil"/>
              <w:left w:val="nil"/>
              <w:bottom w:val="nil"/>
              <w:right w:val="nil"/>
            </w:tcBorders>
            <w:shd w:val="clear" w:color="auto" w:fill="FFFFFF"/>
            <w:tcMar>
              <w:left w:w="67" w:type="dxa"/>
              <w:right w:w="67" w:type="dxa"/>
            </w:tcMar>
            <w:vAlign w:val="center"/>
          </w:tcPr>
          <w:p w14:paraId="710431A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-0.0040</w:t>
            </w:r>
          </w:p>
        </w:tc>
        <w:tc>
          <w:tcPr>
            <w:tcW w:w="1134" w:type="dxa"/>
            <w:tcBorders>
              <w:top w:val="nil"/>
              <w:left w:val="nil"/>
              <w:bottom w:val="nil"/>
              <w:right w:val="nil"/>
            </w:tcBorders>
            <w:shd w:val="clear" w:color="auto" w:fill="FFFFFF"/>
            <w:tcMar>
              <w:left w:w="67" w:type="dxa"/>
              <w:right w:w="67" w:type="dxa"/>
            </w:tcMar>
            <w:vAlign w:val="center"/>
          </w:tcPr>
          <w:p w14:paraId="48F22D1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0.0061</w:t>
            </w:r>
          </w:p>
        </w:tc>
        <w:tc>
          <w:tcPr>
            <w:tcW w:w="1134" w:type="dxa"/>
            <w:tcBorders>
              <w:top w:val="nil"/>
              <w:left w:val="nil"/>
              <w:bottom w:val="nil"/>
              <w:right w:val="nil"/>
            </w:tcBorders>
            <w:shd w:val="clear" w:color="auto" w:fill="FFFFFF"/>
            <w:tcMar>
              <w:left w:w="67" w:type="dxa"/>
              <w:right w:w="67" w:type="dxa"/>
            </w:tcMar>
            <w:vAlign w:val="center"/>
          </w:tcPr>
          <w:p w14:paraId="0DB969CF"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0.23</w:t>
            </w:r>
          </w:p>
        </w:tc>
        <w:tc>
          <w:tcPr>
            <w:tcW w:w="567" w:type="dxa"/>
            <w:tcBorders>
              <w:top w:val="nil"/>
              <w:left w:val="nil"/>
              <w:bottom w:val="nil"/>
              <w:right w:val="nil"/>
            </w:tcBorders>
            <w:shd w:val="clear" w:color="auto" w:fill="FFFFFF"/>
            <w:tcMar>
              <w:left w:w="67" w:type="dxa"/>
              <w:right w:w="67" w:type="dxa"/>
            </w:tcMar>
            <w:vAlign w:val="center"/>
          </w:tcPr>
          <w:p w14:paraId="1D1CED7D"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CF8C3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0.6299</w:t>
            </w:r>
          </w:p>
        </w:tc>
      </w:tr>
      <w:tr w:rsidR="00B77EA3" w:rsidRPr="0082484A" w14:paraId="21268DFB" w14:textId="77777777" w:rsidTr="00B77EA3">
        <w:trPr>
          <w:cantSplit/>
          <w:jc w:val="center"/>
        </w:trPr>
        <w:tc>
          <w:tcPr>
            <w:tcW w:w="2835" w:type="dxa"/>
            <w:tcBorders>
              <w:top w:val="nil"/>
              <w:left w:val="single" w:sz="11" w:space="0" w:color="000000"/>
              <w:bottom w:val="nil"/>
              <w:right w:val="nil"/>
            </w:tcBorders>
            <w:shd w:val="clear" w:color="auto" w:fill="FFFFFF"/>
            <w:tcMar>
              <w:left w:w="67" w:type="dxa"/>
              <w:right w:w="67" w:type="dxa"/>
            </w:tcMar>
            <w:vAlign w:val="center"/>
          </w:tcPr>
          <w:p w14:paraId="7E69D2C2" w14:textId="77777777" w:rsidR="00B77EA3" w:rsidRPr="0082484A" w:rsidRDefault="00B77EA3" w:rsidP="00B77EA3">
            <w:pPr>
              <w:spacing w:beforeLines="10" w:before="24" w:afterLines="10" w:after="24" w:line="240" w:lineRule="auto"/>
              <w:rPr>
                <w:sz w:val="22"/>
                <w:szCs w:val="22"/>
              </w:rPr>
            </w:pPr>
            <w:r w:rsidRPr="0082484A">
              <w:rPr>
                <w:sz w:val="22"/>
                <w:szCs w:val="22"/>
              </w:rPr>
              <w:t>Pre-intervention achievement for diabetes control</w:t>
            </w:r>
          </w:p>
        </w:tc>
        <w:tc>
          <w:tcPr>
            <w:tcW w:w="3969" w:type="dxa"/>
            <w:tcBorders>
              <w:top w:val="nil"/>
              <w:left w:val="nil"/>
              <w:bottom w:val="nil"/>
              <w:right w:val="nil"/>
            </w:tcBorders>
            <w:shd w:val="clear" w:color="auto" w:fill="FFFFFF"/>
            <w:tcMar>
              <w:left w:w="67" w:type="dxa"/>
              <w:right w:w="67" w:type="dxa"/>
            </w:tcMar>
            <w:vAlign w:val="center"/>
          </w:tcPr>
          <w:p w14:paraId="3CC766CB"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48BF5F9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0.000388</w:t>
            </w:r>
          </w:p>
        </w:tc>
        <w:tc>
          <w:tcPr>
            <w:tcW w:w="1134" w:type="dxa"/>
            <w:tcBorders>
              <w:top w:val="nil"/>
              <w:left w:val="nil"/>
              <w:bottom w:val="nil"/>
              <w:right w:val="nil"/>
            </w:tcBorders>
            <w:shd w:val="clear" w:color="auto" w:fill="FFFFFF"/>
            <w:tcMar>
              <w:left w:w="67" w:type="dxa"/>
              <w:right w:w="67" w:type="dxa"/>
            </w:tcMar>
            <w:vAlign w:val="center"/>
          </w:tcPr>
          <w:p w14:paraId="70C25E78"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0.0014</w:t>
            </w:r>
          </w:p>
        </w:tc>
        <w:tc>
          <w:tcPr>
            <w:tcW w:w="1134" w:type="dxa"/>
            <w:tcBorders>
              <w:top w:val="nil"/>
              <w:left w:val="nil"/>
              <w:bottom w:val="nil"/>
              <w:right w:val="nil"/>
            </w:tcBorders>
            <w:shd w:val="clear" w:color="auto" w:fill="FFFFFF"/>
            <w:tcMar>
              <w:left w:w="67" w:type="dxa"/>
              <w:right w:w="67" w:type="dxa"/>
            </w:tcMar>
            <w:vAlign w:val="center"/>
          </w:tcPr>
          <w:p w14:paraId="6BAF1A27"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-0.0029</w:t>
            </w:r>
          </w:p>
        </w:tc>
        <w:tc>
          <w:tcPr>
            <w:tcW w:w="1134" w:type="dxa"/>
            <w:tcBorders>
              <w:top w:val="nil"/>
              <w:left w:val="nil"/>
              <w:bottom w:val="nil"/>
              <w:right w:val="nil"/>
            </w:tcBorders>
            <w:shd w:val="clear" w:color="auto" w:fill="FFFFFF"/>
            <w:tcMar>
              <w:left w:w="67" w:type="dxa"/>
              <w:right w:w="67" w:type="dxa"/>
            </w:tcMar>
            <w:vAlign w:val="center"/>
          </w:tcPr>
          <w:p w14:paraId="378B2E0C"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0.0037</w:t>
            </w:r>
          </w:p>
        </w:tc>
        <w:tc>
          <w:tcPr>
            <w:tcW w:w="1134" w:type="dxa"/>
            <w:tcBorders>
              <w:top w:val="nil"/>
              <w:left w:val="nil"/>
              <w:bottom w:val="nil"/>
              <w:right w:val="nil"/>
            </w:tcBorders>
            <w:shd w:val="clear" w:color="auto" w:fill="FFFFFF"/>
            <w:tcMar>
              <w:left w:w="67" w:type="dxa"/>
              <w:right w:w="67" w:type="dxa"/>
            </w:tcMar>
            <w:vAlign w:val="center"/>
          </w:tcPr>
          <w:p w14:paraId="7172612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0.07</w:t>
            </w:r>
          </w:p>
        </w:tc>
        <w:tc>
          <w:tcPr>
            <w:tcW w:w="567" w:type="dxa"/>
            <w:tcBorders>
              <w:top w:val="nil"/>
              <w:left w:val="nil"/>
              <w:bottom w:val="nil"/>
              <w:right w:val="nil"/>
            </w:tcBorders>
            <w:shd w:val="clear" w:color="auto" w:fill="FFFFFF"/>
            <w:tcMar>
              <w:left w:w="67" w:type="dxa"/>
              <w:right w:w="67" w:type="dxa"/>
            </w:tcMar>
            <w:vAlign w:val="center"/>
          </w:tcPr>
          <w:p w14:paraId="4C0599AA"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DE4E4B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0.7859</w:t>
            </w:r>
          </w:p>
        </w:tc>
      </w:tr>
      <w:tr w:rsidR="00B77EA3" w:rsidRPr="0082484A" w14:paraId="14773DC8" w14:textId="77777777" w:rsidTr="00B77EA3">
        <w:trPr>
          <w:cantSplit/>
          <w:jc w:val="center"/>
        </w:trPr>
        <w:tc>
          <w:tcPr>
            <w:tcW w:w="2835"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F219FB0" w14:textId="77777777" w:rsidR="00B77EA3" w:rsidRPr="0082484A" w:rsidRDefault="00B77EA3" w:rsidP="00B77EA3">
            <w:pPr>
              <w:spacing w:beforeLines="10" w:before="24" w:afterLines="10" w:after="24" w:line="240" w:lineRule="auto"/>
              <w:rPr>
                <w:sz w:val="22"/>
                <w:szCs w:val="22"/>
              </w:rPr>
            </w:pPr>
            <w:r w:rsidRPr="0082484A">
              <w:rPr>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27F8040C" w14:textId="77777777" w:rsidR="00B77EA3" w:rsidRPr="0082484A" w:rsidRDefault="00B77EA3" w:rsidP="00B77EA3">
            <w:pPr>
              <w:spacing w:beforeLines="10" w:before="24" w:afterLines="10" w:after="24" w:line="240" w:lineRule="auto"/>
              <w:rPr>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70C0036B"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-0.000009</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1500F84"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770074E"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FD518B3"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0.0007</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1D214AF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0.00</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2144D71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68FB8702" w14:textId="77777777" w:rsidR="00B77EA3" w:rsidRPr="0082484A" w:rsidRDefault="00B77EA3" w:rsidP="00B77EA3">
            <w:pPr>
              <w:spacing w:beforeLines="10" w:before="24" w:afterLines="10" w:after="24" w:line="240" w:lineRule="auto"/>
              <w:jc w:val="center"/>
              <w:rPr>
                <w:sz w:val="22"/>
                <w:szCs w:val="22"/>
              </w:rPr>
            </w:pPr>
            <w:r w:rsidRPr="0082484A">
              <w:rPr>
                <w:color w:val="000000"/>
                <w:sz w:val="22"/>
                <w:szCs w:val="22"/>
              </w:rPr>
              <w:t>0.9773</w:t>
            </w:r>
          </w:p>
        </w:tc>
      </w:tr>
    </w:tbl>
    <w:p w14:paraId="3D89E445" w14:textId="77777777" w:rsidR="00B77EA3" w:rsidRPr="0082484A" w:rsidRDefault="00B77EA3" w:rsidP="00B77EA3">
      <w:pPr>
        <w:spacing w:before="0" w:line="240" w:lineRule="auto"/>
        <w:contextualSpacing/>
        <w:rPr>
          <w:rFonts w:eastAsia="Calibri"/>
          <w:sz w:val="22"/>
          <w:szCs w:val="22"/>
        </w:rPr>
      </w:pPr>
      <w:bookmarkStart w:id="277" w:name="IDX119"/>
      <w:bookmarkEnd w:id="277"/>
    </w:p>
    <w:p w14:paraId="6E06F0E6" w14:textId="77777777" w:rsidR="00B77EA3" w:rsidRPr="0082484A" w:rsidRDefault="00B77EA3" w:rsidP="00B77EA3">
      <w:pPr>
        <w:spacing w:before="0" w:line="240" w:lineRule="auto"/>
        <w:rPr>
          <w:rFonts w:eastAsia="Calibri"/>
          <w:color w:val="FF0000"/>
          <w:sz w:val="22"/>
          <w:szCs w:val="22"/>
        </w:rPr>
      </w:pPr>
      <w:r w:rsidRPr="0082484A">
        <w:rPr>
          <w:rFonts w:eastAsia="Calibri"/>
          <w:color w:val="FF0000"/>
          <w:sz w:val="22"/>
          <w:szCs w:val="22"/>
        </w:rPr>
        <w:br w:type="page"/>
      </w:r>
    </w:p>
    <w:p w14:paraId="1B548C7C" w14:textId="227CA1B9" w:rsidR="00B77EA3" w:rsidRPr="0082484A" w:rsidRDefault="00B77EA3" w:rsidP="00B77EA3">
      <w:pPr>
        <w:spacing w:before="0" w:line="240" w:lineRule="auto"/>
        <w:rPr>
          <w:bCs/>
          <w:sz w:val="22"/>
          <w:szCs w:val="22"/>
        </w:rPr>
      </w:pPr>
      <w:bookmarkStart w:id="278" w:name="_Ref502918109"/>
      <w:bookmarkStart w:id="279" w:name="_Toc8728149"/>
      <w:bookmarkStart w:id="280" w:name="_Toc19526804"/>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75</w:t>
      </w:r>
      <w:r w:rsidRPr="0082484A">
        <w:rPr>
          <w:bCs/>
          <w:noProof/>
          <w:sz w:val="22"/>
          <w:szCs w:val="22"/>
        </w:rPr>
        <w:fldChar w:fldCharType="end"/>
      </w:r>
      <w:bookmarkEnd w:id="278"/>
      <w:r w:rsidRPr="0082484A">
        <w:rPr>
          <w:bCs/>
          <w:sz w:val="22"/>
          <w:szCs w:val="22"/>
        </w:rPr>
        <w:t>: Trial 2 practices comparison Achievement of QOF indicator, ‘The percentage of patients with asthma, on the register, who have had an asthma review in the preceding 12 months that includes an assessment of asthma control using the 3 RCP questions’ (AST003) (WP4a)</w:t>
      </w:r>
      <w:bookmarkEnd w:id="279"/>
      <w:bookmarkEnd w:id="280"/>
    </w:p>
    <w:tbl>
      <w:tblPr>
        <w:tblW w:w="14458" w:type="dxa"/>
        <w:jc w:val="center"/>
        <w:tblLayout w:type="fixed"/>
        <w:tblCellMar>
          <w:left w:w="0" w:type="dxa"/>
          <w:right w:w="0" w:type="dxa"/>
        </w:tblCellMar>
        <w:tblLook w:val="0000" w:firstRow="0" w:lastRow="0" w:firstColumn="0" w:lastColumn="0" w:noHBand="0" w:noVBand="0"/>
      </w:tblPr>
      <w:tblGrid>
        <w:gridCol w:w="3118"/>
        <w:gridCol w:w="3969"/>
        <w:gridCol w:w="1134"/>
        <w:gridCol w:w="1134"/>
        <w:gridCol w:w="1134"/>
        <w:gridCol w:w="1134"/>
        <w:gridCol w:w="1134"/>
        <w:gridCol w:w="567"/>
        <w:gridCol w:w="1134"/>
      </w:tblGrid>
      <w:tr w:rsidR="00B77EA3" w:rsidRPr="0082484A" w14:paraId="18BA1DAD" w14:textId="77777777" w:rsidTr="00B77EA3">
        <w:trPr>
          <w:cantSplit/>
          <w:tblHeader/>
          <w:jc w:val="center"/>
        </w:trPr>
        <w:tc>
          <w:tcPr>
            <w:tcW w:w="311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59E3E4D" w14:textId="77777777" w:rsidR="00B77EA3" w:rsidRPr="0082484A" w:rsidRDefault="00B77EA3" w:rsidP="00B77EA3">
            <w:pPr>
              <w:spacing w:beforeLines="10" w:before="24" w:afterLines="10" w:after="24" w:line="240" w:lineRule="auto"/>
              <w:rPr>
                <w:rFonts w:eastAsia="Calibri"/>
                <w:bCs/>
                <w:sz w:val="22"/>
                <w:szCs w:val="22"/>
              </w:rPr>
            </w:pPr>
            <w:r w:rsidRPr="0082484A">
              <w:rPr>
                <w:rFonts w:eastAsia="Calibri"/>
                <w:bCs/>
                <w:sz w:val="22"/>
                <w:szCs w:val="22"/>
              </w:rPr>
              <w:t>Variable</w:t>
            </w:r>
          </w:p>
        </w:tc>
        <w:tc>
          <w:tcPr>
            <w:tcW w:w="396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2C8CDDC" w14:textId="77777777" w:rsidR="00B77EA3" w:rsidRPr="0082484A" w:rsidRDefault="00B77EA3" w:rsidP="00B77EA3">
            <w:pPr>
              <w:spacing w:beforeLines="10" w:before="24" w:afterLines="10" w:after="24" w:line="240" w:lineRule="auto"/>
              <w:rPr>
                <w:bCs/>
                <w:sz w:val="22"/>
                <w:szCs w:val="22"/>
              </w:rPr>
            </w:pPr>
            <w:r w:rsidRPr="0082484A">
              <w:rPr>
                <w:bCs/>
                <w:sz w:val="22"/>
                <w:szCs w:val="22"/>
              </w:rPr>
              <w:t>Comparison</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C8E727A"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Estimate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FCA680C"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SE</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30650E7"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Lower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45A7EC5"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Upper limit of 97.5% CI</w:t>
            </w:r>
          </w:p>
        </w:tc>
        <w:tc>
          <w:tcPr>
            <w:tcW w:w="113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BDFEAA"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F statistic</w:t>
            </w:r>
          </w:p>
        </w:tc>
        <w:tc>
          <w:tcPr>
            <w:tcW w:w="56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DFBB51"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DF</w:t>
            </w:r>
          </w:p>
        </w:tc>
        <w:tc>
          <w:tcPr>
            <w:tcW w:w="113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721DA21" w14:textId="77777777" w:rsidR="00B77EA3" w:rsidRPr="0082484A" w:rsidRDefault="00B77EA3" w:rsidP="00B77EA3">
            <w:pPr>
              <w:spacing w:beforeLines="10" w:before="24" w:afterLines="10" w:after="24" w:line="240" w:lineRule="auto"/>
              <w:jc w:val="center"/>
              <w:rPr>
                <w:rFonts w:eastAsia="Calibri"/>
                <w:bCs/>
                <w:sz w:val="22"/>
                <w:szCs w:val="22"/>
              </w:rPr>
            </w:pPr>
            <w:r w:rsidRPr="0082484A">
              <w:rPr>
                <w:rFonts w:eastAsia="Calibri"/>
                <w:bCs/>
                <w:sz w:val="22"/>
                <w:szCs w:val="22"/>
              </w:rPr>
              <w:t>P-value</w:t>
            </w:r>
          </w:p>
        </w:tc>
      </w:tr>
      <w:tr w:rsidR="00B77EA3" w:rsidRPr="0082484A" w14:paraId="62FB666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71128BA"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Allocation</w:t>
            </w:r>
          </w:p>
        </w:tc>
        <w:tc>
          <w:tcPr>
            <w:tcW w:w="3969" w:type="dxa"/>
            <w:tcBorders>
              <w:top w:val="nil"/>
              <w:left w:val="nil"/>
              <w:bottom w:val="nil"/>
              <w:right w:val="nil"/>
            </w:tcBorders>
            <w:shd w:val="clear" w:color="auto" w:fill="FFFFFF"/>
            <w:tcMar>
              <w:left w:w="67" w:type="dxa"/>
              <w:right w:w="67" w:type="dxa"/>
            </w:tcMar>
            <w:vAlign w:val="center"/>
          </w:tcPr>
          <w:p w14:paraId="285427DC" w14:textId="77777777" w:rsidR="00B77EA3" w:rsidRPr="0082484A" w:rsidRDefault="00B77EA3" w:rsidP="00B77EA3">
            <w:pPr>
              <w:spacing w:beforeLines="10" w:before="24" w:afterLines="10" w:after="24" w:line="240" w:lineRule="auto"/>
              <w:rPr>
                <w:sz w:val="22"/>
                <w:szCs w:val="22"/>
              </w:rPr>
            </w:pPr>
            <w:r w:rsidRPr="0082484A">
              <w:rPr>
                <w:rFonts w:eastAsia="Times New Roman"/>
                <w:sz w:val="22"/>
                <w:szCs w:val="22"/>
                <w:lang w:eastAsia="en-GB"/>
              </w:rPr>
              <w:t>Anticoagulation in AF package vs. Control (blood pressure control package)</w:t>
            </w:r>
          </w:p>
        </w:tc>
        <w:tc>
          <w:tcPr>
            <w:tcW w:w="1134" w:type="dxa"/>
            <w:tcBorders>
              <w:top w:val="nil"/>
              <w:left w:val="nil"/>
              <w:bottom w:val="nil"/>
              <w:right w:val="nil"/>
            </w:tcBorders>
            <w:shd w:val="clear" w:color="auto" w:fill="FFFFFF"/>
            <w:tcMar>
              <w:left w:w="67" w:type="dxa"/>
              <w:right w:w="67" w:type="dxa"/>
            </w:tcMar>
            <w:vAlign w:val="center"/>
          </w:tcPr>
          <w:p w14:paraId="3F89F6E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-0.002341</w:t>
            </w:r>
          </w:p>
        </w:tc>
        <w:tc>
          <w:tcPr>
            <w:tcW w:w="1134" w:type="dxa"/>
            <w:tcBorders>
              <w:top w:val="nil"/>
              <w:left w:val="nil"/>
              <w:bottom w:val="nil"/>
              <w:right w:val="nil"/>
            </w:tcBorders>
            <w:shd w:val="clear" w:color="auto" w:fill="FFFFFF"/>
            <w:tcMar>
              <w:left w:w="67" w:type="dxa"/>
              <w:right w:w="67" w:type="dxa"/>
            </w:tcMar>
            <w:vAlign w:val="center"/>
          </w:tcPr>
          <w:p w14:paraId="2AD2609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0.0194</w:t>
            </w:r>
          </w:p>
        </w:tc>
        <w:tc>
          <w:tcPr>
            <w:tcW w:w="1134" w:type="dxa"/>
            <w:tcBorders>
              <w:top w:val="nil"/>
              <w:left w:val="nil"/>
              <w:bottom w:val="nil"/>
              <w:right w:val="nil"/>
            </w:tcBorders>
            <w:shd w:val="clear" w:color="auto" w:fill="FFFFFF"/>
            <w:tcMar>
              <w:left w:w="67" w:type="dxa"/>
              <w:right w:w="67" w:type="dxa"/>
            </w:tcMar>
            <w:vAlign w:val="center"/>
          </w:tcPr>
          <w:p w14:paraId="63D0B58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-0.0472</w:t>
            </w:r>
          </w:p>
        </w:tc>
        <w:tc>
          <w:tcPr>
            <w:tcW w:w="1134" w:type="dxa"/>
            <w:tcBorders>
              <w:top w:val="nil"/>
              <w:left w:val="nil"/>
              <w:bottom w:val="nil"/>
              <w:right w:val="nil"/>
            </w:tcBorders>
            <w:shd w:val="clear" w:color="auto" w:fill="FFFFFF"/>
            <w:tcMar>
              <w:left w:w="67" w:type="dxa"/>
              <w:right w:w="67" w:type="dxa"/>
            </w:tcMar>
            <w:vAlign w:val="center"/>
          </w:tcPr>
          <w:p w14:paraId="58D0139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0.0425</w:t>
            </w:r>
          </w:p>
        </w:tc>
        <w:tc>
          <w:tcPr>
            <w:tcW w:w="1134" w:type="dxa"/>
            <w:tcBorders>
              <w:top w:val="nil"/>
              <w:left w:val="nil"/>
              <w:bottom w:val="nil"/>
              <w:right w:val="nil"/>
            </w:tcBorders>
            <w:shd w:val="clear" w:color="auto" w:fill="FFFFFF"/>
            <w:tcMar>
              <w:left w:w="67" w:type="dxa"/>
              <w:right w:w="67" w:type="dxa"/>
            </w:tcMar>
            <w:vAlign w:val="center"/>
          </w:tcPr>
          <w:p w14:paraId="418C801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w:t>
            </w:r>
          </w:p>
        </w:tc>
        <w:tc>
          <w:tcPr>
            <w:tcW w:w="567" w:type="dxa"/>
            <w:tcBorders>
              <w:top w:val="nil"/>
              <w:left w:val="nil"/>
              <w:bottom w:val="nil"/>
              <w:right w:val="nil"/>
            </w:tcBorders>
            <w:shd w:val="clear" w:color="auto" w:fill="FFFFFF"/>
            <w:tcMar>
              <w:left w:w="67" w:type="dxa"/>
              <w:right w:w="67" w:type="dxa"/>
            </w:tcMar>
            <w:vAlign w:val="center"/>
          </w:tcPr>
          <w:p w14:paraId="461BC6D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32A79B3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0.9044</w:t>
            </w:r>
          </w:p>
        </w:tc>
      </w:tr>
      <w:tr w:rsidR="00B77EA3" w:rsidRPr="0082484A" w14:paraId="3BAB9266"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61943ED4" w14:textId="77777777" w:rsidR="00B77EA3" w:rsidRPr="0082484A" w:rsidRDefault="00B77EA3" w:rsidP="00B77EA3">
            <w:pPr>
              <w:spacing w:beforeLines="10" w:before="24" w:afterLines="10" w:after="24" w:line="240" w:lineRule="auto"/>
              <w:rPr>
                <w:rFonts w:eastAsia="Calibri"/>
                <w:sz w:val="22"/>
                <w:szCs w:val="22"/>
                <w:vertAlign w:val="superscript"/>
              </w:rPr>
            </w:pPr>
            <w:r w:rsidRPr="0082484A">
              <w:rPr>
                <w:sz w:val="22"/>
                <w:szCs w:val="22"/>
              </w:rPr>
              <w:t>Relative to 100 patient increase in list size at baseline</w:t>
            </w:r>
          </w:p>
        </w:tc>
        <w:tc>
          <w:tcPr>
            <w:tcW w:w="3969" w:type="dxa"/>
            <w:tcBorders>
              <w:top w:val="nil"/>
              <w:left w:val="nil"/>
              <w:bottom w:val="nil"/>
              <w:right w:val="nil"/>
            </w:tcBorders>
            <w:shd w:val="clear" w:color="auto" w:fill="FFFFFF"/>
            <w:tcMar>
              <w:left w:w="67" w:type="dxa"/>
              <w:right w:w="67" w:type="dxa"/>
            </w:tcMar>
            <w:vAlign w:val="center"/>
          </w:tcPr>
          <w:p w14:paraId="0F3B3AD0"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6E4BF15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-0.000876</w:t>
            </w:r>
          </w:p>
        </w:tc>
        <w:tc>
          <w:tcPr>
            <w:tcW w:w="1134" w:type="dxa"/>
            <w:tcBorders>
              <w:top w:val="nil"/>
              <w:left w:val="nil"/>
              <w:bottom w:val="nil"/>
              <w:right w:val="nil"/>
            </w:tcBorders>
            <w:shd w:val="clear" w:color="auto" w:fill="FFFFFF"/>
            <w:tcMar>
              <w:left w:w="67" w:type="dxa"/>
              <w:right w:w="67" w:type="dxa"/>
            </w:tcMar>
            <w:vAlign w:val="center"/>
          </w:tcPr>
          <w:p w14:paraId="72765DC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41F8D77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-0.0015</w:t>
            </w:r>
          </w:p>
        </w:tc>
        <w:tc>
          <w:tcPr>
            <w:tcW w:w="1134" w:type="dxa"/>
            <w:tcBorders>
              <w:top w:val="nil"/>
              <w:left w:val="nil"/>
              <w:bottom w:val="nil"/>
              <w:right w:val="nil"/>
            </w:tcBorders>
            <w:shd w:val="clear" w:color="auto" w:fill="FFFFFF"/>
            <w:tcMar>
              <w:left w:w="67" w:type="dxa"/>
              <w:right w:w="67" w:type="dxa"/>
            </w:tcMar>
            <w:vAlign w:val="center"/>
          </w:tcPr>
          <w:p w14:paraId="026DC16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-0.0003</w:t>
            </w:r>
          </w:p>
        </w:tc>
        <w:tc>
          <w:tcPr>
            <w:tcW w:w="1134" w:type="dxa"/>
            <w:tcBorders>
              <w:top w:val="nil"/>
              <w:left w:val="nil"/>
              <w:bottom w:val="nil"/>
              <w:right w:val="nil"/>
            </w:tcBorders>
            <w:shd w:val="clear" w:color="auto" w:fill="FFFFFF"/>
            <w:tcMar>
              <w:left w:w="67" w:type="dxa"/>
              <w:right w:w="67" w:type="dxa"/>
            </w:tcMar>
            <w:vAlign w:val="center"/>
          </w:tcPr>
          <w:p w14:paraId="47A22EF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11.64</w:t>
            </w:r>
          </w:p>
        </w:tc>
        <w:tc>
          <w:tcPr>
            <w:tcW w:w="567" w:type="dxa"/>
            <w:tcBorders>
              <w:top w:val="nil"/>
              <w:left w:val="nil"/>
              <w:bottom w:val="nil"/>
              <w:right w:val="nil"/>
            </w:tcBorders>
            <w:shd w:val="clear" w:color="auto" w:fill="FFFFFF"/>
            <w:tcMar>
              <w:left w:w="67" w:type="dxa"/>
              <w:right w:w="67" w:type="dxa"/>
            </w:tcMar>
            <w:vAlign w:val="center"/>
          </w:tcPr>
          <w:p w14:paraId="33F1893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428C8C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0.0013</w:t>
            </w:r>
          </w:p>
        </w:tc>
      </w:tr>
      <w:tr w:rsidR="00B77EA3" w:rsidRPr="0082484A" w14:paraId="096F84C7"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401C228E"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26670B7"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Airedale, Wharfedale and Craven CCG vs. NHS Wakefield CCG</w:t>
            </w:r>
          </w:p>
        </w:tc>
        <w:tc>
          <w:tcPr>
            <w:tcW w:w="1134" w:type="dxa"/>
            <w:tcBorders>
              <w:top w:val="nil"/>
              <w:left w:val="nil"/>
              <w:bottom w:val="nil"/>
              <w:right w:val="nil"/>
            </w:tcBorders>
            <w:shd w:val="clear" w:color="auto" w:fill="FFFFFF"/>
            <w:tcMar>
              <w:left w:w="67" w:type="dxa"/>
              <w:right w:w="67" w:type="dxa"/>
            </w:tcMar>
            <w:vAlign w:val="center"/>
          </w:tcPr>
          <w:p w14:paraId="7EFEC8C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0.016605</w:t>
            </w:r>
          </w:p>
        </w:tc>
        <w:tc>
          <w:tcPr>
            <w:tcW w:w="1134" w:type="dxa"/>
            <w:tcBorders>
              <w:top w:val="nil"/>
              <w:left w:val="nil"/>
              <w:bottom w:val="nil"/>
              <w:right w:val="nil"/>
            </w:tcBorders>
            <w:shd w:val="clear" w:color="auto" w:fill="FFFFFF"/>
            <w:tcMar>
              <w:left w:w="67" w:type="dxa"/>
              <w:right w:w="67" w:type="dxa"/>
            </w:tcMar>
            <w:vAlign w:val="center"/>
          </w:tcPr>
          <w:p w14:paraId="0F68C81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0.0458</w:t>
            </w:r>
          </w:p>
        </w:tc>
        <w:tc>
          <w:tcPr>
            <w:tcW w:w="1134" w:type="dxa"/>
            <w:tcBorders>
              <w:top w:val="nil"/>
              <w:left w:val="nil"/>
              <w:bottom w:val="nil"/>
              <w:right w:val="nil"/>
            </w:tcBorders>
            <w:shd w:val="clear" w:color="auto" w:fill="FFFFFF"/>
            <w:tcMar>
              <w:left w:w="67" w:type="dxa"/>
              <w:right w:w="67" w:type="dxa"/>
            </w:tcMar>
            <w:vAlign w:val="center"/>
          </w:tcPr>
          <w:p w14:paraId="41D0FFE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-0.0893</w:t>
            </w:r>
          </w:p>
        </w:tc>
        <w:tc>
          <w:tcPr>
            <w:tcW w:w="1134" w:type="dxa"/>
            <w:tcBorders>
              <w:top w:val="nil"/>
              <w:left w:val="nil"/>
              <w:bottom w:val="nil"/>
              <w:right w:val="nil"/>
            </w:tcBorders>
            <w:shd w:val="clear" w:color="auto" w:fill="FFFFFF"/>
            <w:tcMar>
              <w:left w:w="67" w:type="dxa"/>
              <w:right w:w="67" w:type="dxa"/>
            </w:tcMar>
            <w:vAlign w:val="center"/>
          </w:tcPr>
          <w:p w14:paraId="09F55FA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0.1225</w:t>
            </w:r>
          </w:p>
        </w:tc>
        <w:tc>
          <w:tcPr>
            <w:tcW w:w="1134" w:type="dxa"/>
            <w:tcBorders>
              <w:top w:val="nil"/>
              <w:left w:val="nil"/>
              <w:bottom w:val="nil"/>
              <w:right w:val="nil"/>
            </w:tcBorders>
            <w:shd w:val="clear" w:color="auto" w:fill="FFFFFF"/>
            <w:tcMar>
              <w:left w:w="67" w:type="dxa"/>
              <w:right w:w="67" w:type="dxa"/>
            </w:tcMar>
            <w:vAlign w:val="center"/>
          </w:tcPr>
          <w:p w14:paraId="2563B91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1.82</w:t>
            </w:r>
          </w:p>
        </w:tc>
        <w:tc>
          <w:tcPr>
            <w:tcW w:w="567" w:type="dxa"/>
            <w:tcBorders>
              <w:top w:val="nil"/>
              <w:left w:val="nil"/>
              <w:bottom w:val="nil"/>
              <w:right w:val="nil"/>
            </w:tcBorders>
            <w:shd w:val="clear" w:color="auto" w:fill="FFFFFF"/>
            <w:tcMar>
              <w:left w:w="67" w:type="dxa"/>
              <w:right w:w="67" w:type="dxa"/>
            </w:tcMar>
            <w:vAlign w:val="center"/>
          </w:tcPr>
          <w:p w14:paraId="7DBFF03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8</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476F0715"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0.0961</w:t>
            </w:r>
          </w:p>
        </w:tc>
      </w:tr>
      <w:tr w:rsidR="00B77EA3" w:rsidRPr="0082484A" w14:paraId="4A7C8D9B"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16457919"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2436D68"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Bradford City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FC8E08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0.040053</w:t>
            </w:r>
          </w:p>
        </w:tc>
        <w:tc>
          <w:tcPr>
            <w:tcW w:w="1134" w:type="dxa"/>
            <w:tcBorders>
              <w:top w:val="nil"/>
              <w:left w:val="nil"/>
              <w:bottom w:val="nil"/>
              <w:right w:val="nil"/>
            </w:tcBorders>
            <w:shd w:val="clear" w:color="auto" w:fill="FFFFFF"/>
            <w:tcMar>
              <w:left w:w="67" w:type="dxa"/>
              <w:right w:w="67" w:type="dxa"/>
            </w:tcMar>
            <w:vAlign w:val="center"/>
          </w:tcPr>
          <w:p w14:paraId="085AB2A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0.0387</w:t>
            </w:r>
          </w:p>
        </w:tc>
        <w:tc>
          <w:tcPr>
            <w:tcW w:w="1134" w:type="dxa"/>
            <w:tcBorders>
              <w:top w:val="nil"/>
              <w:left w:val="nil"/>
              <w:bottom w:val="nil"/>
              <w:right w:val="nil"/>
            </w:tcBorders>
            <w:shd w:val="clear" w:color="auto" w:fill="FFFFFF"/>
            <w:tcMar>
              <w:left w:w="67" w:type="dxa"/>
              <w:right w:w="67" w:type="dxa"/>
            </w:tcMar>
            <w:vAlign w:val="center"/>
          </w:tcPr>
          <w:p w14:paraId="1A83803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-0.0495</w:t>
            </w:r>
          </w:p>
        </w:tc>
        <w:tc>
          <w:tcPr>
            <w:tcW w:w="1134" w:type="dxa"/>
            <w:tcBorders>
              <w:top w:val="nil"/>
              <w:left w:val="nil"/>
              <w:bottom w:val="nil"/>
              <w:right w:val="nil"/>
            </w:tcBorders>
            <w:shd w:val="clear" w:color="auto" w:fill="FFFFFF"/>
            <w:tcMar>
              <w:left w:w="67" w:type="dxa"/>
              <w:right w:w="67" w:type="dxa"/>
            </w:tcMar>
            <w:vAlign w:val="center"/>
          </w:tcPr>
          <w:p w14:paraId="41DA7A86"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0.1296</w:t>
            </w:r>
          </w:p>
        </w:tc>
        <w:tc>
          <w:tcPr>
            <w:tcW w:w="1134" w:type="dxa"/>
            <w:tcBorders>
              <w:top w:val="nil"/>
              <w:left w:val="nil"/>
              <w:bottom w:val="nil"/>
              <w:right w:val="nil"/>
            </w:tcBorders>
            <w:shd w:val="clear" w:color="auto" w:fill="FFFFFF"/>
            <w:tcMar>
              <w:left w:w="67" w:type="dxa"/>
              <w:right w:w="67" w:type="dxa"/>
            </w:tcMar>
            <w:vAlign w:val="center"/>
          </w:tcPr>
          <w:p w14:paraId="759B3786"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EAE0F81"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5695C392"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60BDF234"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27515DC9"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7879FC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Calderdale CCG vs. NHS Wakefield CCG</w:t>
            </w:r>
          </w:p>
        </w:tc>
        <w:tc>
          <w:tcPr>
            <w:tcW w:w="1134" w:type="dxa"/>
            <w:tcBorders>
              <w:top w:val="nil"/>
              <w:left w:val="nil"/>
              <w:bottom w:val="nil"/>
              <w:right w:val="nil"/>
            </w:tcBorders>
            <w:shd w:val="clear" w:color="auto" w:fill="FFFFFF"/>
            <w:tcMar>
              <w:left w:w="67" w:type="dxa"/>
              <w:right w:w="67" w:type="dxa"/>
            </w:tcMar>
            <w:vAlign w:val="center"/>
          </w:tcPr>
          <w:p w14:paraId="2909017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0.040386</w:t>
            </w:r>
          </w:p>
        </w:tc>
        <w:tc>
          <w:tcPr>
            <w:tcW w:w="1134" w:type="dxa"/>
            <w:tcBorders>
              <w:top w:val="nil"/>
              <w:left w:val="nil"/>
              <w:bottom w:val="nil"/>
              <w:right w:val="nil"/>
            </w:tcBorders>
            <w:shd w:val="clear" w:color="auto" w:fill="FFFFFF"/>
            <w:tcMar>
              <w:left w:w="67" w:type="dxa"/>
              <w:right w:w="67" w:type="dxa"/>
            </w:tcMar>
            <w:vAlign w:val="center"/>
          </w:tcPr>
          <w:p w14:paraId="5988FA6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0.0419</w:t>
            </w:r>
          </w:p>
        </w:tc>
        <w:tc>
          <w:tcPr>
            <w:tcW w:w="1134" w:type="dxa"/>
            <w:tcBorders>
              <w:top w:val="nil"/>
              <w:left w:val="nil"/>
              <w:bottom w:val="nil"/>
              <w:right w:val="nil"/>
            </w:tcBorders>
            <w:shd w:val="clear" w:color="auto" w:fill="FFFFFF"/>
            <w:tcMar>
              <w:left w:w="67" w:type="dxa"/>
              <w:right w:w="67" w:type="dxa"/>
            </w:tcMar>
            <w:vAlign w:val="center"/>
          </w:tcPr>
          <w:p w14:paraId="76FC388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-0.0567</w:t>
            </w:r>
          </w:p>
        </w:tc>
        <w:tc>
          <w:tcPr>
            <w:tcW w:w="1134" w:type="dxa"/>
            <w:tcBorders>
              <w:top w:val="nil"/>
              <w:left w:val="nil"/>
              <w:bottom w:val="nil"/>
              <w:right w:val="nil"/>
            </w:tcBorders>
            <w:shd w:val="clear" w:color="auto" w:fill="FFFFFF"/>
            <w:tcMar>
              <w:left w:w="67" w:type="dxa"/>
              <w:right w:w="67" w:type="dxa"/>
            </w:tcMar>
            <w:vAlign w:val="center"/>
          </w:tcPr>
          <w:p w14:paraId="4510B84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0.1374</w:t>
            </w:r>
          </w:p>
        </w:tc>
        <w:tc>
          <w:tcPr>
            <w:tcW w:w="1134" w:type="dxa"/>
            <w:tcBorders>
              <w:top w:val="nil"/>
              <w:left w:val="nil"/>
              <w:bottom w:val="nil"/>
              <w:right w:val="nil"/>
            </w:tcBorders>
            <w:shd w:val="clear" w:color="auto" w:fill="FFFFFF"/>
            <w:tcMar>
              <w:left w:w="67" w:type="dxa"/>
              <w:right w:w="67" w:type="dxa"/>
            </w:tcMar>
            <w:vAlign w:val="center"/>
          </w:tcPr>
          <w:p w14:paraId="2D7B6386"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71A5E7B0"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04B64D3E"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023C065F"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720194F2"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41BC02DF"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Greater Huddersfield CCG vs. NHS Wakefield CCG</w:t>
            </w:r>
          </w:p>
        </w:tc>
        <w:tc>
          <w:tcPr>
            <w:tcW w:w="1134" w:type="dxa"/>
            <w:tcBorders>
              <w:top w:val="nil"/>
              <w:left w:val="nil"/>
              <w:bottom w:val="nil"/>
              <w:right w:val="nil"/>
            </w:tcBorders>
            <w:shd w:val="clear" w:color="auto" w:fill="FFFFFF"/>
            <w:tcMar>
              <w:left w:w="67" w:type="dxa"/>
              <w:right w:w="67" w:type="dxa"/>
            </w:tcMar>
            <w:vAlign w:val="center"/>
          </w:tcPr>
          <w:p w14:paraId="64C701B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-0.086561</w:t>
            </w:r>
          </w:p>
        </w:tc>
        <w:tc>
          <w:tcPr>
            <w:tcW w:w="1134" w:type="dxa"/>
            <w:tcBorders>
              <w:top w:val="nil"/>
              <w:left w:val="nil"/>
              <w:bottom w:val="nil"/>
              <w:right w:val="nil"/>
            </w:tcBorders>
            <w:shd w:val="clear" w:color="auto" w:fill="FFFFFF"/>
            <w:tcMar>
              <w:left w:w="67" w:type="dxa"/>
              <w:right w:w="67" w:type="dxa"/>
            </w:tcMar>
            <w:vAlign w:val="center"/>
          </w:tcPr>
          <w:p w14:paraId="4198FDF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0.0399</w:t>
            </w:r>
          </w:p>
        </w:tc>
        <w:tc>
          <w:tcPr>
            <w:tcW w:w="1134" w:type="dxa"/>
            <w:tcBorders>
              <w:top w:val="nil"/>
              <w:left w:val="nil"/>
              <w:bottom w:val="nil"/>
              <w:right w:val="nil"/>
            </w:tcBorders>
            <w:shd w:val="clear" w:color="auto" w:fill="FFFFFF"/>
            <w:tcMar>
              <w:left w:w="67" w:type="dxa"/>
              <w:right w:w="67" w:type="dxa"/>
            </w:tcMar>
            <w:vAlign w:val="center"/>
          </w:tcPr>
          <w:p w14:paraId="25534FE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-0.1788</w:t>
            </w:r>
          </w:p>
        </w:tc>
        <w:tc>
          <w:tcPr>
            <w:tcW w:w="1134" w:type="dxa"/>
            <w:tcBorders>
              <w:top w:val="nil"/>
              <w:left w:val="nil"/>
              <w:bottom w:val="nil"/>
              <w:right w:val="nil"/>
            </w:tcBorders>
            <w:shd w:val="clear" w:color="auto" w:fill="FFFFFF"/>
            <w:tcMar>
              <w:left w:w="67" w:type="dxa"/>
              <w:right w:w="67" w:type="dxa"/>
            </w:tcMar>
            <w:vAlign w:val="center"/>
          </w:tcPr>
          <w:p w14:paraId="082C6D9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0.0057</w:t>
            </w:r>
          </w:p>
        </w:tc>
        <w:tc>
          <w:tcPr>
            <w:tcW w:w="1134" w:type="dxa"/>
            <w:tcBorders>
              <w:top w:val="nil"/>
              <w:left w:val="nil"/>
              <w:bottom w:val="nil"/>
              <w:right w:val="nil"/>
            </w:tcBorders>
            <w:shd w:val="clear" w:color="auto" w:fill="FFFFFF"/>
            <w:tcMar>
              <w:left w:w="67" w:type="dxa"/>
              <w:right w:w="67" w:type="dxa"/>
            </w:tcMar>
            <w:vAlign w:val="center"/>
          </w:tcPr>
          <w:p w14:paraId="2B740CB3"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1E17EB46"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6A99168"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7D4191ED"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3CD17D8"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7E188F30"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North CCG vs. NHS Wakefield CCG</w:t>
            </w:r>
          </w:p>
        </w:tc>
        <w:tc>
          <w:tcPr>
            <w:tcW w:w="1134" w:type="dxa"/>
            <w:tcBorders>
              <w:top w:val="nil"/>
              <w:left w:val="nil"/>
              <w:bottom w:val="nil"/>
              <w:right w:val="nil"/>
            </w:tcBorders>
            <w:shd w:val="clear" w:color="auto" w:fill="FFFFFF"/>
            <w:tcMar>
              <w:left w:w="67" w:type="dxa"/>
              <w:right w:w="67" w:type="dxa"/>
            </w:tcMar>
            <w:vAlign w:val="center"/>
          </w:tcPr>
          <w:p w14:paraId="0F3A0D7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-0.013829</w:t>
            </w:r>
          </w:p>
        </w:tc>
        <w:tc>
          <w:tcPr>
            <w:tcW w:w="1134" w:type="dxa"/>
            <w:tcBorders>
              <w:top w:val="nil"/>
              <w:left w:val="nil"/>
              <w:bottom w:val="nil"/>
              <w:right w:val="nil"/>
            </w:tcBorders>
            <w:shd w:val="clear" w:color="auto" w:fill="FFFFFF"/>
            <w:tcMar>
              <w:left w:w="67" w:type="dxa"/>
              <w:right w:w="67" w:type="dxa"/>
            </w:tcMar>
            <w:vAlign w:val="center"/>
          </w:tcPr>
          <w:p w14:paraId="4124415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0.0481</w:t>
            </w:r>
          </w:p>
        </w:tc>
        <w:tc>
          <w:tcPr>
            <w:tcW w:w="1134" w:type="dxa"/>
            <w:tcBorders>
              <w:top w:val="nil"/>
              <w:left w:val="nil"/>
              <w:bottom w:val="nil"/>
              <w:right w:val="nil"/>
            </w:tcBorders>
            <w:shd w:val="clear" w:color="auto" w:fill="FFFFFF"/>
            <w:tcMar>
              <w:left w:w="67" w:type="dxa"/>
              <w:right w:w="67" w:type="dxa"/>
            </w:tcMar>
            <w:vAlign w:val="center"/>
          </w:tcPr>
          <w:p w14:paraId="26EC552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-0.1251</w:t>
            </w:r>
          </w:p>
        </w:tc>
        <w:tc>
          <w:tcPr>
            <w:tcW w:w="1134" w:type="dxa"/>
            <w:tcBorders>
              <w:top w:val="nil"/>
              <w:left w:val="nil"/>
              <w:bottom w:val="nil"/>
              <w:right w:val="nil"/>
            </w:tcBorders>
            <w:shd w:val="clear" w:color="auto" w:fill="FFFFFF"/>
            <w:tcMar>
              <w:left w:w="67" w:type="dxa"/>
              <w:right w:w="67" w:type="dxa"/>
            </w:tcMar>
            <w:vAlign w:val="center"/>
          </w:tcPr>
          <w:p w14:paraId="538C17E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0.0974</w:t>
            </w:r>
          </w:p>
        </w:tc>
        <w:tc>
          <w:tcPr>
            <w:tcW w:w="1134" w:type="dxa"/>
            <w:tcBorders>
              <w:top w:val="nil"/>
              <w:left w:val="nil"/>
              <w:bottom w:val="nil"/>
              <w:right w:val="nil"/>
            </w:tcBorders>
            <w:shd w:val="clear" w:color="auto" w:fill="FFFFFF"/>
            <w:tcMar>
              <w:left w:w="67" w:type="dxa"/>
              <w:right w:w="67" w:type="dxa"/>
            </w:tcMar>
            <w:vAlign w:val="center"/>
          </w:tcPr>
          <w:p w14:paraId="407EDFFA"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E633D7B"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03A7259"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047FDFFE"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78829E2"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1DBB9573"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South and East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4061282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-0.014699</w:t>
            </w:r>
          </w:p>
        </w:tc>
        <w:tc>
          <w:tcPr>
            <w:tcW w:w="1134" w:type="dxa"/>
            <w:tcBorders>
              <w:top w:val="nil"/>
              <w:left w:val="nil"/>
              <w:bottom w:val="nil"/>
              <w:right w:val="nil"/>
            </w:tcBorders>
            <w:shd w:val="clear" w:color="auto" w:fill="FFFFFF"/>
            <w:tcMar>
              <w:left w:w="67" w:type="dxa"/>
              <w:right w:w="67" w:type="dxa"/>
            </w:tcMar>
            <w:vAlign w:val="center"/>
          </w:tcPr>
          <w:p w14:paraId="6A4E560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0.0380</w:t>
            </w:r>
          </w:p>
        </w:tc>
        <w:tc>
          <w:tcPr>
            <w:tcW w:w="1134" w:type="dxa"/>
            <w:tcBorders>
              <w:top w:val="nil"/>
              <w:left w:val="nil"/>
              <w:bottom w:val="nil"/>
              <w:right w:val="nil"/>
            </w:tcBorders>
            <w:shd w:val="clear" w:color="auto" w:fill="FFFFFF"/>
            <w:tcMar>
              <w:left w:w="67" w:type="dxa"/>
              <w:right w:w="67" w:type="dxa"/>
            </w:tcMar>
            <w:vAlign w:val="center"/>
          </w:tcPr>
          <w:p w14:paraId="5A47400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-0.1026</w:t>
            </w:r>
          </w:p>
        </w:tc>
        <w:tc>
          <w:tcPr>
            <w:tcW w:w="1134" w:type="dxa"/>
            <w:tcBorders>
              <w:top w:val="nil"/>
              <w:left w:val="nil"/>
              <w:bottom w:val="nil"/>
              <w:right w:val="nil"/>
            </w:tcBorders>
            <w:shd w:val="clear" w:color="auto" w:fill="FFFFFF"/>
            <w:tcMar>
              <w:left w:w="67" w:type="dxa"/>
              <w:right w:w="67" w:type="dxa"/>
            </w:tcMar>
            <w:vAlign w:val="center"/>
          </w:tcPr>
          <w:p w14:paraId="7A70458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0.0732</w:t>
            </w:r>
          </w:p>
        </w:tc>
        <w:tc>
          <w:tcPr>
            <w:tcW w:w="1134" w:type="dxa"/>
            <w:tcBorders>
              <w:top w:val="nil"/>
              <w:left w:val="nil"/>
              <w:bottom w:val="nil"/>
              <w:right w:val="nil"/>
            </w:tcBorders>
            <w:shd w:val="clear" w:color="auto" w:fill="FFFFFF"/>
            <w:tcMar>
              <w:left w:w="67" w:type="dxa"/>
              <w:right w:w="67" w:type="dxa"/>
            </w:tcMar>
            <w:vAlign w:val="center"/>
          </w:tcPr>
          <w:p w14:paraId="40291979"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3C31C7D"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F289F9B"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2C626EA0"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8C0CF4B"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57DD36AD"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Leeds West CCG vs. NHS Wakefield CCG</w:t>
            </w:r>
          </w:p>
        </w:tc>
        <w:tc>
          <w:tcPr>
            <w:tcW w:w="1134" w:type="dxa"/>
            <w:tcBorders>
              <w:top w:val="nil"/>
              <w:left w:val="nil"/>
              <w:bottom w:val="nil"/>
              <w:right w:val="nil"/>
            </w:tcBorders>
            <w:shd w:val="clear" w:color="auto" w:fill="FFFFFF"/>
            <w:tcMar>
              <w:left w:w="67" w:type="dxa"/>
              <w:right w:w="67" w:type="dxa"/>
            </w:tcMar>
            <w:vAlign w:val="center"/>
          </w:tcPr>
          <w:p w14:paraId="5C87812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-0.016537</w:t>
            </w:r>
          </w:p>
        </w:tc>
        <w:tc>
          <w:tcPr>
            <w:tcW w:w="1134" w:type="dxa"/>
            <w:tcBorders>
              <w:top w:val="nil"/>
              <w:left w:val="nil"/>
              <w:bottom w:val="nil"/>
              <w:right w:val="nil"/>
            </w:tcBorders>
            <w:shd w:val="clear" w:color="auto" w:fill="FFFFFF"/>
            <w:tcMar>
              <w:left w:w="67" w:type="dxa"/>
              <w:right w:w="67" w:type="dxa"/>
            </w:tcMar>
            <w:vAlign w:val="center"/>
          </w:tcPr>
          <w:p w14:paraId="5572D47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0.0374</w:t>
            </w:r>
          </w:p>
        </w:tc>
        <w:tc>
          <w:tcPr>
            <w:tcW w:w="1134" w:type="dxa"/>
            <w:tcBorders>
              <w:top w:val="nil"/>
              <w:left w:val="nil"/>
              <w:bottom w:val="nil"/>
              <w:right w:val="nil"/>
            </w:tcBorders>
            <w:shd w:val="clear" w:color="auto" w:fill="FFFFFF"/>
            <w:tcMar>
              <w:left w:w="67" w:type="dxa"/>
              <w:right w:w="67" w:type="dxa"/>
            </w:tcMar>
            <w:vAlign w:val="center"/>
          </w:tcPr>
          <w:p w14:paraId="314DB98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-0.1031</w:t>
            </w:r>
          </w:p>
        </w:tc>
        <w:tc>
          <w:tcPr>
            <w:tcW w:w="1134" w:type="dxa"/>
            <w:tcBorders>
              <w:top w:val="nil"/>
              <w:left w:val="nil"/>
              <w:bottom w:val="nil"/>
              <w:right w:val="nil"/>
            </w:tcBorders>
            <w:shd w:val="clear" w:color="auto" w:fill="FFFFFF"/>
            <w:tcMar>
              <w:left w:w="67" w:type="dxa"/>
              <w:right w:w="67" w:type="dxa"/>
            </w:tcMar>
            <w:vAlign w:val="center"/>
          </w:tcPr>
          <w:p w14:paraId="0DD2C01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0.0701</w:t>
            </w:r>
          </w:p>
        </w:tc>
        <w:tc>
          <w:tcPr>
            <w:tcW w:w="1134" w:type="dxa"/>
            <w:tcBorders>
              <w:top w:val="nil"/>
              <w:left w:val="nil"/>
              <w:bottom w:val="nil"/>
              <w:right w:val="nil"/>
            </w:tcBorders>
            <w:shd w:val="clear" w:color="auto" w:fill="FFFFFF"/>
            <w:tcMar>
              <w:left w:w="67" w:type="dxa"/>
              <w:right w:w="67" w:type="dxa"/>
            </w:tcMar>
            <w:vAlign w:val="center"/>
          </w:tcPr>
          <w:p w14:paraId="6920029A"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0C10BC65"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79181820"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4CBAF2D9"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573AB249"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CCG</w:t>
            </w:r>
          </w:p>
        </w:tc>
        <w:tc>
          <w:tcPr>
            <w:tcW w:w="3969" w:type="dxa"/>
            <w:tcBorders>
              <w:top w:val="nil"/>
              <w:left w:val="nil"/>
              <w:bottom w:val="nil"/>
              <w:right w:val="nil"/>
            </w:tcBorders>
            <w:shd w:val="clear" w:color="auto" w:fill="FFFFFF"/>
            <w:tcMar>
              <w:left w:w="67" w:type="dxa"/>
              <w:right w:w="67" w:type="dxa"/>
            </w:tcMar>
            <w:vAlign w:val="center"/>
          </w:tcPr>
          <w:p w14:paraId="01D68346" w14:textId="77777777" w:rsidR="00B77EA3" w:rsidRPr="0082484A" w:rsidRDefault="00B77EA3" w:rsidP="00B77EA3">
            <w:pPr>
              <w:autoSpaceDE w:val="0"/>
              <w:autoSpaceDN w:val="0"/>
              <w:adjustRightInd w:val="0"/>
              <w:spacing w:beforeLines="10" w:before="24" w:afterLines="10" w:after="24" w:line="240" w:lineRule="auto"/>
              <w:rPr>
                <w:rFonts w:eastAsia="Times New Roman"/>
                <w:sz w:val="22"/>
                <w:szCs w:val="22"/>
                <w:lang w:eastAsia="en-GB"/>
              </w:rPr>
            </w:pPr>
            <w:r w:rsidRPr="0082484A">
              <w:rPr>
                <w:rFonts w:eastAsia="Times New Roman"/>
                <w:sz w:val="22"/>
                <w:szCs w:val="22"/>
                <w:lang w:eastAsia="en-GB"/>
              </w:rPr>
              <w:t>NHS North Kirklees CCG vs. NHS Wakefield CCG</w:t>
            </w:r>
          </w:p>
        </w:tc>
        <w:tc>
          <w:tcPr>
            <w:tcW w:w="1134" w:type="dxa"/>
            <w:tcBorders>
              <w:top w:val="nil"/>
              <w:left w:val="nil"/>
              <w:bottom w:val="nil"/>
              <w:right w:val="nil"/>
            </w:tcBorders>
            <w:shd w:val="clear" w:color="auto" w:fill="FFFFFF"/>
            <w:tcMar>
              <w:left w:w="67" w:type="dxa"/>
              <w:right w:w="67" w:type="dxa"/>
            </w:tcMar>
            <w:vAlign w:val="center"/>
          </w:tcPr>
          <w:p w14:paraId="1D76C55C"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0.009131</w:t>
            </w:r>
          </w:p>
        </w:tc>
        <w:tc>
          <w:tcPr>
            <w:tcW w:w="1134" w:type="dxa"/>
            <w:tcBorders>
              <w:top w:val="nil"/>
              <w:left w:val="nil"/>
              <w:bottom w:val="nil"/>
              <w:right w:val="nil"/>
            </w:tcBorders>
            <w:shd w:val="clear" w:color="auto" w:fill="FFFFFF"/>
            <w:tcMar>
              <w:left w:w="67" w:type="dxa"/>
              <w:right w:w="67" w:type="dxa"/>
            </w:tcMar>
            <w:vAlign w:val="center"/>
          </w:tcPr>
          <w:p w14:paraId="707E255A"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0.0382</w:t>
            </w:r>
          </w:p>
        </w:tc>
        <w:tc>
          <w:tcPr>
            <w:tcW w:w="1134" w:type="dxa"/>
            <w:tcBorders>
              <w:top w:val="nil"/>
              <w:left w:val="nil"/>
              <w:bottom w:val="nil"/>
              <w:right w:val="nil"/>
            </w:tcBorders>
            <w:shd w:val="clear" w:color="auto" w:fill="FFFFFF"/>
            <w:tcMar>
              <w:left w:w="67" w:type="dxa"/>
              <w:right w:w="67" w:type="dxa"/>
            </w:tcMar>
            <w:vAlign w:val="center"/>
          </w:tcPr>
          <w:p w14:paraId="326BD0C0"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-0.0792</w:t>
            </w:r>
          </w:p>
        </w:tc>
        <w:tc>
          <w:tcPr>
            <w:tcW w:w="1134" w:type="dxa"/>
            <w:tcBorders>
              <w:top w:val="nil"/>
              <w:left w:val="nil"/>
              <w:bottom w:val="nil"/>
              <w:right w:val="nil"/>
            </w:tcBorders>
            <w:shd w:val="clear" w:color="auto" w:fill="FFFFFF"/>
            <w:tcMar>
              <w:left w:w="67" w:type="dxa"/>
              <w:right w:w="67" w:type="dxa"/>
            </w:tcMar>
            <w:vAlign w:val="center"/>
          </w:tcPr>
          <w:p w14:paraId="6D3434AF"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0.0974</w:t>
            </w:r>
          </w:p>
        </w:tc>
        <w:tc>
          <w:tcPr>
            <w:tcW w:w="1134" w:type="dxa"/>
            <w:tcBorders>
              <w:top w:val="nil"/>
              <w:left w:val="nil"/>
              <w:bottom w:val="nil"/>
              <w:right w:val="nil"/>
            </w:tcBorders>
            <w:shd w:val="clear" w:color="auto" w:fill="FFFFFF"/>
            <w:tcMar>
              <w:left w:w="67" w:type="dxa"/>
              <w:right w:w="67" w:type="dxa"/>
            </w:tcMar>
            <w:vAlign w:val="center"/>
          </w:tcPr>
          <w:p w14:paraId="06D5FCBD" w14:textId="77777777" w:rsidR="00B77EA3" w:rsidRPr="0082484A" w:rsidRDefault="00B77EA3" w:rsidP="00B77EA3">
            <w:pPr>
              <w:spacing w:beforeLines="10" w:before="24" w:afterLines="10" w:after="24" w:line="240" w:lineRule="auto"/>
              <w:jc w:val="center"/>
              <w:rPr>
                <w:rFonts w:eastAsia="Calibri"/>
                <w:sz w:val="22"/>
                <w:szCs w:val="22"/>
              </w:rPr>
            </w:pPr>
          </w:p>
        </w:tc>
        <w:tc>
          <w:tcPr>
            <w:tcW w:w="567" w:type="dxa"/>
            <w:tcBorders>
              <w:top w:val="nil"/>
              <w:left w:val="nil"/>
              <w:bottom w:val="nil"/>
              <w:right w:val="nil"/>
            </w:tcBorders>
            <w:shd w:val="clear" w:color="auto" w:fill="FFFFFF"/>
            <w:tcMar>
              <w:left w:w="67" w:type="dxa"/>
              <w:right w:w="67" w:type="dxa"/>
            </w:tcMar>
            <w:vAlign w:val="center"/>
          </w:tcPr>
          <w:p w14:paraId="5A4D8625" w14:textId="77777777" w:rsidR="00B77EA3" w:rsidRPr="0082484A" w:rsidRDefault="00B77EA3" w:rsidP="00B77EA3">
            <w:pPr>
              <w:spacing w:beforeLines="10" w:before="24" w:afterLines="10" w:after="24" w:line="240" w:lineRule="auto"/>
              <w:jc w:val="center"/>
              <w:rPr>
                <w:rFonts w:eastAsia="Calibri"/>
                <w:sz w:val="22"/>
                <w:szCs w:val="22"/>
              </w:rPr>
            </w:pP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6B202F14" w14:textId="77777777" w:rsidR="00B77EA3" w:rsidRPr="0082484A" w:rsidRDefault="00B77EA3" w:rsidP="00B77EA3">
            <w:pPr>
              <w:spacing w:beforeLines="10" w:before="24" w:afterLines="10" w:after="24" w:line="240" w:lineRule="auto"/>
              <w:jc w:val="center"/>
              <w:rPr>
                <w:rFonts w:eastAsia="Calibri"/>
                <w:sz w:val="22"/>
                <w:szCs w:val="22"/>
              </w:rPr>
            </w:pPr>
          </w:p>
        </w:tc>
      </w:tr>
      <w:tr w:rsidR="00B77EA3" w:rsidRPr="0082484A" w14:paraId="2C5CD9F1"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3B034DEB"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Pre-intervention achievement for anticoagulation in AF</w:t>
            </w:r>
          </w:p>
        </w:tc>
        <w:tc>
          <w:tcPr>
            <w:tcW w:w="3969" w:type="dxa"/>
            <w:tcBorders>
              <w:top w:val="nil"/>
              <w:left w:val="nil"/>
              <w:bottom w:val="nil"/>
              <w:right w:val="nil"/>
            </w:tcBorders>
            <w:shd w:val="clear" w:color="auto" w:fill="FFFFFF"/>
            <w:tcMar>
              <w:left w:w="67" w:type="dxa"/>
              <w:right w:w="67" w:type="dxa"/>
            </w:tcMar>
            <w:vAlign w:val="center"/>
          </w:tcPr>
          <w:p w14:paraId="08D0F71B"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3A48C4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-0.001464</w:t>
            </w:r>
          </w:p>
        </w:tc>
        <w:tc>
          <w:tcPr>
            <w:tcW w:w="1134" w:type="dxa"/>
            <w:tcBorders>
              <w:top w:val="nil"/>
              <w:left w:val="nil"/>
              <w:bottom w:val="nil"/>
              <w:right w:val="nil"/>
            </w:tcBorders>
            <w:shd w:val="clear" w:color="auto" w:fill="FFFFFF"/>
            <w:tcMar>
              <w:left w:w="67" w:type="dxa"/>
              <w:right w:w="67" w:type="dxa"/>
            </w:tcMar>
            <w:vAlign w:val="center"/>
          </w:tcPr>
          <w:p w14:paraId="6AA5F527"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0.0012</w:t>
            </w:r>
          </w:p>
        </w:tc>
        <w:tc>
          <w:tcPr>
            <w:tcW w:w="1134" w:type="dxa"/>
            <w:tcBorders>
              <w:top w:val="nil"/>
              <w:left w:val="nil"/>
              <w:bottom w:val="nil"/>
              <w:right w:val="nil"/>
            </w:tcBorders>
            <w:shd w:val="clear" w:color="auto" w:fill="FFFFFF"/>
            <w:tcMar>
              <w:left w:w="67" w:type="dxa"/>
              <w:right w:w="67" w:type="dxa"/>
            </w:tcMar>
            <w:vAlign w:val="center"/>
          </w:tcPr>
          <w:p w14:paraId="7BBABAF2"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-0.0043</w:t>
            </w:r>
          </w:p>
        </w:tc>
        <w:tc>
          <w:tcPr>
            <w:tcW w:w="1134" w:type="dxa"/>
            <w:tcBorders>
              <w:top w:val="nil"/>
              <w:left w:val="nil"/>
              <w:bottom w:val="nil"/>
              <w:right w:val="nil"/>
            </w:tcBorders>
            <w:shd w:val="clear" w:color="auto" w:fill="FFFFFF"/>
            <w:tcMar>
              <w:left w:w="67" w:type="dxa"/>
              <w:right w:w="67" w:type="dxa"/>
            </w:tcMar>
            <w:vAlign w:val="center"/>
          </w:tcPr>
          <w:p w14:paraId="45A2D7B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0.0013</w:t>
            </w:r>
          </w:p>
        </w:tc>
        <w:tc>
          <w:tcPr>
            <w:tcW w:w="1134" w:type="dxa"/>
            <w:tcBorders>
              <w:top w:val="nil"/>
              <w:left w:val="nil"/>
              <w:bottom w:val="nil"/>
              <w:right w:val="nil"/>
            </w:tcBorders>
            <w:shd w:val="clear" w:color="auto" w:fill="FFFFFF"/>
            <w:tcMar>
              <w:left w:w="67" w:type="dxa"/>
              <w:right w:w="67" w:type="dxa"/>
            </w:tcMar>
            <w:vAlign w:val="center"/>
          </w:tcPr>
          <w:p w14:paraId="13396BDC"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1.47</w:t>
            </w:r>
          </w:p>
        </w:tc>
        <w:tc>
          <w:tcPr>
            <w:tcW w:w="567" w:type="dxa"/>
            <w:tcBorders>
              <w:top w:val="nil"/>
              <w:left w:val="nil"/>
              <w:bottom w:val="nil"/>
              <w:right w:val="nil"/>
            </w:tcBorders>
            <w:shd w:val="clear" w:color="auto" w:fill="FFFFFF"/>
            <w:tcMar>
              <w:left w:w="67" w:type="dxa"/>
              <w:right w:w="67" w:type="dxa"/>
            </w:tcMar>
            <w:vAlign w:val="center"/>
          </w:tcPr>
          <w:p w14:paraId="1CEB802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119F6E7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0.2313</w:t>
            </w:r>
          </w:p>
        </w:tc>
      </w:tr>
      <w:tr w:rsidR="00B77EA3" w:rsidRPr="0082484A" w14:paraId="7E88662C" w14:textId="77777777" w:rsidTr="00B77EA3">
        <w:trPr>
          <w:cantSplit/>
          <w:jc w:val="center"/>
        </w:trPr>
        <w:tc>
          <w:tcPr>
            <w:tcW w:w="3118" w:type="dxa"/>
            <w:tcBorders>
              <w:top w:val="nil"/>
              <w:left w:val="single" w:sz="11" w:space="0" w:color="000000"/>
              <w:bottom w:val="nil"/>
              <w:right w:val="nil"/>
            </w:tcBorders>
            <w:shd w:val="clear" w:color="auto" w:fill="FFFFFF"/>
            <w:tcMar>
              <w:left w:w="67" w:type="dxa"/>
              <w:right w:w="67" w:type="dxa"/>
            </w:tcMar>
            <w:vAlign w:val="center"/>
          </w:tcPr>
          <w:p w14:paraId="0121B3D1"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Pre-intervention achievement for blood pressure control</w:t>
            </w:r>
          </w:p>
        </w:tc>
        <w:tc>
          <w:tcPr>
            <w:tcW w:w="3969" w:type="dxa"/>
            <w:tcBorders>
              <w:top w:val="nil"/>
              <w:left w:val="nil"/>
              <w:bottom w:val="nil"/>
              <w:right w:val="nil"/>
            </w:tcBorders>
            <w:shd w:val="clear" w:color="auto" w:fill="FFFFFF"/>
            <w:tcMar>
              <w:left w:w="67" w:type="dxa"/>
              <w:right w:w="67" w:type="dxa"/>
            </w:tcMar>
            <w:vAlign w:val="center"/>
          </w:tcPr>
          <w:p w14:paraId="04FC146C"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nil"/>
              <w:right w:val="nil"/>
            </w:tcBorders>
            <w:shd w:val="clear" w:color="auto" w:fill="FFFFFF"/>
            <w:tcMar>
              <w:left w:w="67" w:type="dxa"/>
              <w:right w:w="67" w:type="dxa"/>
            </w:tcMar>
            <w:vAlign w:val="center"/>
          </w:tcPr>
          <w:p w14:paraId="55A82F4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0.001283</w:t>
            </w:r>
          </w:p>
        </w:tc>
        <w:tc>
          <w:tcPr>
            <w:tcW w:w="1134" w:type="dxa"/>
            <w:tcBorders>
              <w:top w:val="nil"/>
              <w:left w:val="nil"/>
              <w:bottom w:val="nil"/>
              <w:right w:val="nil"/>
            </w:tcBorders>
            <w:shd w:val="clear" w:color="auto" w:fill="FFFFFF"/>
            <w:tcMar>
              <w:left w:w="67" w:type="dxa"/>
              <w:right w:w="67" w:type="dxa"/>
            </w:tcMar>
            <w:vAlign w:val="center"/>
          </w:tcPr>
          <w:p w14:paraId="3029A28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0.0016</w:t>
            </w:r>
          </w:p>
        </w:tc>
        <w:tc>
          <w:tcPr>
            <w:tcW w:w="1134" w:type="dxa"/>
            <w:tcBorders>
              <w:top w:val="nil"/>
              <w:left w:val="nil"/>
              <w:bottom w:val="nil"/>
              <w:right w:val="nil"/>
            </w:tcBorders>
            <w:shd w:val="clear" w:color="auto" w:fill="FFFFFF"/>
            <w:tcMar>
              <w:left w:w="67" w:type="dxa"/>
              <w:right w:w="67" w:type="dxa"/>
            </w:tcMar>
            <w:vAlign w:val="center"/>
          </w:tcPr>
          <w:p w14:paraId="484D857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-0.0024</w:t>
            </w:r>
          </w:p>
        </w:tc>
        <w:tc>
          <w:tcPr>
            <w:tcW w:w="1134" w:type="dxa"/>
            <w:tcBorders>
              <w:top w:val="nil"/>
              <w:left w:val="nil"/>
              <w:bottom w:val="nil"/>
              <w:right w:val="nil"/>
            </w:tcBorders>
            <w:shd w:val="clear" w:color="auto" w:fill="FFFFFF"/>
            <w:tcMar>
              <w:left w:w="67" w:type="dxa"/>
              <w:right w:w="67" w:type="dxa"/>
            </w:tcMar>
            <w:vAlign w:val="center"/>
          </w:tcPr>
          <w:p w14:paraId="6106E1D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0.0050</w:t>
            </w:r>
          </w:p>
        </w:tc>
        <w:tc>
          <w:tcPr>
            <w:tcW w:w="1134" w:type="dxa"/>
            <w:tcBorders>
              <w:top w:val="nil"/>
              <w:left w:val="nil"/>
              <w:bottom w:val="nil"/>
              <w:right w:val="nil"/>
            </w:tcBorders>
            <w:shd w:val="clear" w:color="auto" w:fill="FFFFFF"/>
            <w:tcMar>
              <w:left w:w="67" w:type="dxa"/>
              <w:right w:w="67" w:type="dxa"/>
            </w:tcMar>
            <w:vAlign w:val="center"/>
          </w:tcPr>
          <w:p w14:paraId="60125E8D"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0.65</w:t>
            </w:r>
          </w:p>
        </w:tc>
        <w:tc>
          <w:tcPr>
            <w:tcW w:w="567" w:type="dxa"/>
            <w:tcBorders>
              <w:top w:val="nil"/>
              <w:left w:val="nil"/>
              <w:bottom w:val="nil"/>
              <w:right w:val="nil"/>
            </w:tcBorders>
            <w:shd w:val="clear" w:color="auto" w:fill="FFFFFF"/>
            <w:tcMar>
              <w:left w:w="67" w:type="dxa"/>
              <w:right w:w="67" w:type="dxa"/>
            </w:tcMar>
            <w:vAlign w:val="center"/>
          </w:tcPr>
          <w:p w14:paraId="3BC22D9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nil"/>
              <w:right w:val="single" w:sz="11" w:space="0" w:color="000000"/>
            </w:tcBorders>
            <w:shd w:val="clear" w:color="auto" w:fill="FFFFFF"/>
            <w:tcMar>
              <w:left w:w="67" w:type="dxa"/>
              <w:right w:w="67" w:type="dxa"/>
            </w:tcMar>
            <w:vAlign w:val="center"/>
          </w:tcPr>
          <w:p w14:paraId="235B3EE4"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0.4250</w:t>
            </w:r>
          </w:p>
        </w:tc>
      </w:tr>
      <w:tr w:rsidR="00B77EA3" w:rsidRPr="0082484A" w14:paraId="7D9432ED" w14:textId="77777777" w:rsidTr="00B77EA3">
        <w:trPr>
          <w:cantSplit/>
          <w:jc w:val="center"/>
        </w:trPr>
        <w:tc>
          <w:tcPr>
            <w:tcW w:w="3118" w:type="dxa"/>
            <w:tcBorders>
              <w:top w:val="nil"/>
              <w:left w:val="single" w:sz="11" w:space="0" w:color="000000"/>
              <w:bottom w:val="single" w:sz="11" w:space="0" w:color="000000"/>
              <w:right w:val="nil"/>
            </w:tcBorders>
            <w:shd w:val="clear" w:color="auto" w:fill="FFFFFF"/>
            <w:tcMar>
              <w:left w:w="67" w:type="dxa"/>
              <w:right w:w="67" w:type="dxa"/>
            </w:tcMar>
            <w:vAlign w:val="center"/>
          </w:tcPr>
          <w:p w14:paraId="51C4B2C6" w14:textId="77777777" w:rsidR="00B77EA3" w:rsidRPr="0082484A" w:rsidRDefault="00B77EA3" w:rsidP="00B77EA3">
            <w:pPr>
              <w:spacing w:beforeLines="10" w:before="24" w:afterLines="10" w:after="24" w:line="240" w:lineRule="auto"/>
              <w:rPr>
                <w:rFonts w:eastAsia="Calibri"/>
                <w:sz w:val="22"/>
                <w:szCs w:val="22"/>
              </w:rPr>
            </w:pPr>
            <w:r w:rsidRPr="0082484A">
              <w:rPr>
                <w:rFonts w:eastAsia="Calibri"/>
                <w:sz w:val="22"/>
                <w:szCs w:val="22"/>
              </w:rPr>
              <w:t>Overall QOF score</w:t>
            </w:r>
          </w:p>
        </w:tc>
        <w:tc>
          <w:tcPr>
            <w:tcW w:w="3969" w:type="dxa"/>
            <w:tcBorders>
              <w:top w:val="nil"/>
              <w:left w:val="nil"/>
              <w:bottom w:val="single" w:sz="11" w:space="0" w:color="000000"/>
              <w:right w:val="nil"/>
            </w:tcBorders>
            <w:shd w:val="clear" w:color="auto" w:fill="FFFFFF"/>
            <w:tcMar>
              <w:left w:w="67" w:type="dxa"/>
              <w:right w:w="67" w:type="dxa"/>
            </w:tcMar>
            <w:vAlign w:val="center"/>
          </w:tcPr>
          <w:p w14:paraId="020B3B76" w14:textId="77777777" w:rsidR="00B77EA3" w:rsidRPr="0082484A" w:rsidRDefault="00B77EA3" w:rsidP="00B77EA3">
            <w:pPr>
              <w:spacing w:beforeLines="10" w:before="24" w:afterLines="10" w:after="24" w:line="240" w:lineRule="auto"/>
              <w:rPr>
                <w:rFonts w:eastAsia="Calibri"/>
                <w:sz w:val="22"/>
                <w:szCs w:val="22"/>
              </w:rPr>
            </w:pP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03F4D61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0.000753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62C5067E"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0.0004</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3B970913"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-0.0003</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2C43EB61"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0.0018</w:t>
            </w:r>
          </w:p>
        </w:tc>
        <w:tc>
          <w:tcPr>
            <w:tcW w:w="1134" w:type="dxa"/>
            <w:tcBorders>
              <w:top w:val="nil"/>
              <w:left w:val="nil"/>
              <w:bottom w:val="single" w:sz="11" w:space="0" w:color="000000"/>
              <w:right w:val="nil"/>
            </w:tcBorders>
            <w:shd w:val="clear" w:color="auto" w:fill="FFFFFF"/>
            <w:tcMar>
              <w:left w:w="67" w:type="dxa"/>
              <w:right w:w="67" w:type="dxa"/>
            </w:tcMar>
            <w:vAlign w:val="center"/>
          </w:tcPr>
          <w:p w14:paraId="44A9BB09"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2.94</w:t>
            </w:r>
          </w:p>
        </w:tc>
        <w:tc>
          <w:tcPr>
            <w:tcW w:w="567" w:type="dxa"/>
            <w:tcBorders>
              <w:top w:val="nil"/>
              <w:left w:val="nil"/>
              <w:bottom w:val="single" w:sz="11" w:space="0" w:color="000000"/>
              <w:right w:val="nil"/>
            </w:tcBorders>
            <w:shd w:val="clear" w:color="auto" w:fill="FFFFFF"/>
            <w:tcMar>
              <w:left w:w="67" w:type="dxa"/>
              <w:right w:w="67" w:type="dxa"/>
            </w:tcMar>
            <w:vAlign w:val="center"/>
          </w:tcPr>
          <w:p w14:paraId="3E791718"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1</w:t>
            </w:r>
          </w:p>
        </w:tc>
        <w:tc>
          <w:tcPr>
            <w:tcW w:w="1134" w:type="dxa"/>
            <w:tcBorders>
              <w:top w:val="nil"/>
              <w:left w:val="nil"/>
              <w:bottom w:val="single" w:sz="11" w:space="0" w:color="000000"/>
              <w:right w:val="single" w:sz="11" w:space="0" w:color="000000"/>
            </w:tcBorders>
            <w:shd w:val="clear" w:color="auto" w:fill="FFFFFF"/>
            <w:tcMar>
              <w:left w:w="67" w:type="dxa"/>
              <w:right w:w="67" w:type="dxa"/>
            </w:tcMar>
            <w:vAlign w:val="center"/>
          </w:tcPr>
          <w:p w14:paraId="4677D0DB" w14:textId="77777777" w:rsidR="00B77EA3" w:rsidRPr="0082484A" w:rsidRDefault="00B77EA3" w:rsidP="00B77EA3">
            <w:pPr>
              <w:spacing w:beforeLines="10" w:before="24" w:afterLines="10" w:after="24" w:line="240" w:lineRule="auto"/>
              <w:jc w:val="center"/>
              <w:rPr>
                <w:rFonts w:eastAsia="Calibri"/>
                <w:sz w:val="22"/>
                <w:szCs w:val="22"/>
              </w:rPr>
            </w:pPr>
            <w:r w:rsidRPr="0082484A">
              <w:rPr>
                <w:color w:val="000000"/>
                <w:sz w:val="22"/>
                <w:szCs w:val="22"/>
              </w:rPr>
              <w:t>0.0930</w:t>
            </w:r>
          </w:p>
        </w:tc>
      </w:tr>
    </w:tbl>
    <w:p w14:paraId="3972B857" w14:textId="77777777" w:rsidR="00B77EA3" w:rsidRPr="0082484A" w:rsidRDefault="00B77EA3" w:rsidP="00B77EA3">
      <w:pPr>
        <w:spacing w:before="0" w:line="240" w:lineRule="auto"/>
        <w:rPr>
          <w:sz w:val="22"/>
          <w:szCs w:val="22"/>
        </w:rPr>
      </w:pPr>
    </w:p>
    <w:p w14:paraId="0116C065" w14:textId="77777777" w:rsidR="009A3C2D" w:rsidRPr="0082484A" w:rsidRDefault="009A3C2D" w:rsidP="00B77EA3">
      <w:pPr>
        <w:spacing w:before="0" w:line="240" w:lineRule="auto"/>
        <w:rPr>
          <w:sz w:val="22"/>
          <w:szCs w:val="22"/>
        </w:rPr>
        <w:sectPr w:rsidR="009A3C2D" w:rsidRPr="0082484A" w:rsidSect="00B77EA3">
          <w:pgSz w:w="16838" w:h="11906" w:orient="landscape"/>
          <w:pgMar w:top="1440" w:right="1440" w:bottom="1440" w:left="1440" w:header="708" w:footer="708" w:gutter="0"/>
          <w:cols w:space="708"/>
          <w:docGrid w:linePitch="360"/>
        </w:sectPr>
      </w:pPr>
    </w:p>
    <w:p w14:paraId="7B46302A" w14:textId="071D613D" w:rsidR="009A3C2D" w:rsidRPr="0082484A" w:rsidRDefault="009A3C2D" w:rsidP="009A3C2D">
      <w:pPr>
        <w:spacing w:before="0" w:line="240" w:lineRule="auto"/>
        <w:rPr>
          <w:rFonts w:eastAsia="Times New Roman"/>
          <w:sz w:val="22"/>
          <w:szCs w:val="22"/>
          <w:lang w:eastAsia="en-GB"/>
        </w:rPr>
      </w:pPr>
      <w:bookmarkStart w:id="281" w:name="_Ref501107913"/>
      <w:bookmarkStart w:id="282" w:name="_Toc8728152"/>
      <w:bookmarkStart w:id="283" w:name="_Toc19526805"/>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76</w:t>
      </w:r>
      <w:r w:rsidRPr="0082484A">
        <w:rPr>
          <w:bCs/>
          <w:noProof/>
          <w:sz w:val="22"/>
          <w:szCs w:val="22"/>
        </w:rPr>
        <w:fldChar w:fldCharType="end"/>
      </w:r>
      <w:bookmarkEnd w:id="281"/>
      <w:r w:rsidRPr="0082484A">
        <w:rPr>
          <w:bCs/>
          <w:noProof/>
          <w:sz w:val="22"/>
          <w:szCs w:val="22"/>
        </w:rPr>
        <w:t>:</w:t>
      </w:r>
      <w:r w:rsidRPr="0082484A">
        <w:rPr>
          <w:bCs/>
          <w:sz w:val="22"/>
          <w:szCs w:val="22"/>
        </w:rPr>
        <w:t xml:space="preserve"> Reasons given by practices for declining an outreach visit (by trial arm) (WP5)</w:t>
      </w:r>
      <w:bookmarkEnd w:id="282"/>
      <w:bookmarkEnd w:id="283"/>
    </w:p>
    <w:tbl>
      <w:tblPr>
        <w:tblW w:w="10759" w:type="dxa"/>
        <w:jc w:val="center"/>
        <w:tblLayout w:type="fixed"/>
        <w:tblCellMar>
          <w:left w:w="0" w:type="dxa"/>
          <w:right w:w="0" w:type="dxa"/>
        </w:tblCellMar>
        <w:tblLook w:val="0000" w:firstRow="0" w:lastRow="0" w:firstColumn="0" w:lastColumn="0" w:noHBand="0" w:noVBand="0"/>
      </w:tblPr>
      <w:tblGrid>
        <w:gridCol w:w="3388"/>
        <w:gridCol w:w="1418"/>
        <w:gridCol w:w="1417"/>
        <w:gridCol w:w="1418"/>
        <w:gridCol w:w="1701"/>
        <w:gridCol w:w="1417"/>
      </w:tblGrid>
      <w:tr w:rsidR="009A3C2D" w:rsidRPr="0082484A" w14:paraId="228FBE98" w14:textId="77777777" w:rsidTr="0082484A">
        <w:trPr>
          <w:cantSplit/>
          <w:tblHeader/>
          <w:jc w:val="center"/>
        </w:trPr>
        <w:tc>
          <w:tcPr>
            <w:tcW w:w="338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EB2ADAC"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Reason for declining outreach</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7BD8769"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(n=20)</w:t>
            </w:r>
          </w:p>
        </w:tc>
        <w:tc>
          <w:tcPr>
            <w:tcW w:w="141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D009E82"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(n=15)</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BCDD97D"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Blood pressure control (n=21)</w:t>
            </w:r>
          </w:p>
        </w:tc>
        <w:tc>
          <w:tcPr>
            <w:tcW w:w="170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31D586B"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(n=21)</w:t>
            </w:r>
          </w:p>
        </w:tc>
        <w:tc>
          <w:tcPr>
            <w:tcW w:w="1417"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7D5C9B3"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3FA7C725"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(n=77)</w:t>
            </w:r>
          </w:p>
        </w:tc>
      </w:tr>
      <w:tr w:rsidR="009A3C2D" w:rsidRPr="0082484A" w14:paraId="33D1DFA0" w14:textId="77777777" w:rsidTr="0082484A">
        <w:trPr>
          <w:cantSplit/>
          <w:jc w:val="center"/>
        </w:trPr>
        <w:tc>
          <w:tcPr>
            <w:tcW w:w="3388" w:type="dxa"/>
            <w:tcBorders>
              <w:top w:val="nil"/>
              <w:left w:val="single" w:sz="11" w:space="0" w:color="000000"/>
              <w:bottom w:val="nil"/>
              <w:right w:val="nil"/>
            </w:tcBorders>
            <w:shd w:val="clear" w:color="auto" w:fill="FFFFFF"/>
            <w:tcMar>
              <w:left w:w="67" w:type="dxa"/>
              <w:right w:w="67" w:type="dxa"/>
            </w:tcMar>
          </w:tcPr>
          <w:p w14:paraId="7F8F932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Not interested</w:t>
            </w:r>
          </w:p>
        </w:tc>
        <w:tc>
          <w:tcPr>
            <w:tcW w:w="1418" w:type="dxa"/>
            <w:tcBorders>
              <w:top w:val="nil"/>
              <w:left w:val="nil"/>
              <w:bottom w:val="nil"/>
              <w:right w:val="nil"/>
            </w:tcBorders>
            <w:shd w:val="clear" w:color="auto" w:fill="FFFFFF"/>
            <w:tcMar>
              <w:left w:w="67" w:type="dxa"/>
              <w:right w:w="67" w:type="dxa"/>
            </w:tcMar>
          </w:tcPr>
          <w:p w14:paraId="420C1E8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 (25.00%)</w:t>
            </w:r>
          </w:p>
        </w:tc>
        <w:tc>
          <w:tcPr>
            <w:tcW w:w="1417" w:type="dxa"/>
            <w:tcBorders>
              <w:top w:val="nil"/>
              <w:left w:val="nil"/>
              <w:bottom w:val="nil"/>
              <w:right w:val="nil"/>
            </w:tcBorders>
            <w:shd w:val="clear" w:color="auto" w:fill="FFFFFF"/>
            <w:tcMar>
              <w:left w:w="67" w:type="dxa"/>
              <w:right w:w="67" w:type="dxa"/>
            </w:tcMar>
          </w:tcPr>
          <w:p w14:paraId="65FBC3BC"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(6.67%)</w:t>
            </w:r>
          </w:p>
        </w:tc>
        <w:tc>
          <w:tcPr>
            <w:tcW w:w="1418" w:type="dxa"/>
            <w:tcBorders>
              <w:top w:val="nil"/>
              <w:left w:val="nil"/>
              <w:bottom w:val="nil"/>
              <w:right w:val="nil"/>
            </w:tcBorders>
            <w:shd w:val="clear" w:color="auto" w:fill="FFFFFF"/>
            <w:tcMar>
              <w:left w:w="67" w:type="dxa"/>
              <w:right w:w="67" w:type="dxa"/>
            </w:tcMar>
          </w:tcPr>
          <w:p w14:paraId="0690E0F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 (19.05%)</w:t>
            </w:r>
          </w:p>
        </w:tc>
        <w:tc>
          <w:tcPr>
            <w:tcW w:w="1701" w:type="dxa"/>
            <w:tcBorders>
              <w:top w:val="nil"/>
              <w:left w:val="nil"/>
              <w:bottom w:val="nil"/>
              <w:right w:val="nil"/>
            </w:tcBorders>
            <w:shd w:val="clear" w:color="auto" w:fill="FFFFFF"/>
            <w:tcMar>
              <w:left w:w="67" w:type="dxa"/>
              <w:right w:w="67" w:type="dxa"/>
            </w:tcMar>
          </w:tcPr>
          <w:p w14:paraId="7F12F2C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(4.76%)</w:t>
            </w:r>
          </w:p>
        </w:tc>
        <w:tc>
          <w:tcPr>
            <w:tcW w:w="1417" w:type="dxa"/>
            <w:tcBorders>
              <w:top w:val="nil"/>
              <w:left w:val="nil"/>
              <w:bottom w:val="nil"/>
              <w:right w:val="single" w:sz="11" w:space="0" w:color="000000"/>
            </w:tcBorders>
            <w:shd w:val="clear" w:color="auto" w:fill="FFFFFF"/>
            <w:tcMar>
              <w:left w:w="67" w:type="dxa"/>
              <w:right w:w="67" w:type="dxa"/>
            </w:tcMar>
          </w:tcPr>
          <w:p w14:paraId="14F91CC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11 (14.29%)</w:t>
            </w:r>
          </w:p>
        </w:tc>
      </w:tr>
      <w:tr w:rsidR="009A3C2D" w:rsidRPr="0082484A" w14:paraId="30F8F282" w14:textId="77777777" w:rsidTr="0082484A">
        <w:trPr>
          <w:cantSplit/>
          <w:jc w:val="center"/>
        </w:trPr>
        <w:tc>
          <w:tcPr>
            <w:tcW w:w="3388" w:type="dxa"/>
            <w:tcBorders>
              <w:top w:val="nil"/>
              <w:left w:val="single" w:sz="11" w:space="0" w:color="000000"/>
              <w:bottom w:val="nil"/>
              <w:right w:val="nil"/>
            </w:tcBorders>
            <w:shd w:val="clear" w:color="auto" w:fill="FFFFFF"/>
            <w:tcMar>
              <w:left w:w="67" w:type="dxa"/>
              <w:right w:w="67" w:type="dxa"/>
            </w:tcMar>
          </w:tcPr>
          <w:p w14:paraId="157CD51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Too busy / no time, worried about work duplication</w:t>
            </w:r>
          </w:p>
        </w:tc>
        <w:tc>
          <w:tcPr>
            <w:tcW w:w="1418" w:type="dxa"/>
            <w:tcBorders>
              <w:top w:val="nil"/>
              <w:left w:val="nil"/>
              <w:bottom w:val="nil"/>
              <w:right w:val="nil"/>
            </w:tcBorders>
            <w:shd w:val="clear" w:color="auto" w:fill="FFFFFF"/>
            <w:tcMar>
              <w:left w:w="67" w:type="dxa"/>
              <w:right w:w="67" w:type="dxa"/>
            </w:tcMar>
          </w:tcPr>
          <w:p w14:paraId="7107B6A2"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 (15.00%)</w:t>
            </w:r>
          </w:p>
        </w:tc>
        <w:tc>
          <w:tcPr>
            <w:tcW w:w="1417" w:type="dxa"/>
            <w:tcBorders>
              <w:top w:val="nil"/>
              <w:left w:val="nil"/>
              <w:bottom w:val="nil"/>
              <w:right w:val="nil"/>
            </w:tcBorders>
            <w:shd w:val="clear" w:color="auto" w:fill="FFFFFF"/>
            <w:tcMar>
              <w:left w:w="67" w:type="dxa"/>
              <w:right w:w="67" w:type="dxa"/>
            </w:tcMar>
          </w:tcPr>
          <w:p w14:paraId="4FF6588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 (20.00%)</w:t>
            </w:r>
          </w:p>
        </w:tc>
        <w:tc>
          <w:tcPr>
            <w:tcW w:w="1418" w:type="dxa"/>
            <w:tcBorders>
              <w:top w:val="nil"/>
              <w:left w:val="nil"/>
              <w:bottom w:val="nil"/>
              <w:right w:val="nil"/>
            </w:tcBorders>
            <w:shd w:val="clear" w:color="auto" w:fill="FFFFFF"/>
            <w:tcMar>
              <w:left w:w="67" w:type="dxa"/>
              <w:right w:w="67" w:type="dxa"/>
            </w:tcMar>
          </w:tcPr>
          <w:p w14:paraId="38AF915B"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 (14.29%)</w:t>
            </w:r>
          </w:p>
        </w:tc>
        <w:tc>
          <w:tcPr>
            <w:tcW w:w="1701" w:type="dxa"/>
            <w:tcBorders>
              <w:top w:val="nil"/>
              <w:left w:val="nil"/>
              <w:bottom w:val="nil"/>
              <w:right w:val="nil"/>
            </w:tcBorders>
            <w:shd w:val="clear" w:color="auto" w:fill="FFFFFF"/>
            <w:tcMar>
              <w:left w:w="67" w:type="dxa"/>
              <w:right w:w="67" w:type="dxa"/>
            </w:tcMar>
          </w:tcPr>
          <w:p w14:paraId="4268272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(9.52%)</w:t>
            </w:r>
          </w:p>
        </w:tc>
        <w:tc>
          <w:tcPr>
            <w:tcW w:w="1417" w:type="dxa"/>
            <w:tcBorders>
              <w:top w:val="nil"/>
              <w:left w:val="nil"/>
              <w:bottom w:val="nil"/>
              <w:right w:val="single" w:sz="11" w:space="0" w:color="000000"/>
            </w:tcBorders>
            <w:shd w:val="clear" w:color="auto" w:fill="FFFFFF"/>
            <w:tcMar>
              <w:left w:w="67" w:type="dxa"/>
              <w:right w:w="67" w:type="dxa"/>
            </w:tcMar>
          </w:tcPr>
          <w:p w14:paraId="30B1D30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11 (14.29%)</w:t>
            </w:r>
          </w:p>
        </w:tc>
      </w:tr>
      <w:tr w:rsidR="009A3C2D" w:rsidRPr="0082484A" w14:paraId="3478CC64" w14:textId="77777777" w:rsidTr="0082484A">
        <w:trPr>
          <w:cantSplit/>
          <w:jc w:val="center"/>
        </w:trPr>
        <w:tc>
          <w:tcPr>
            <w:tcW w:w="3388" w:type="dxa"/>
            <w:tcBorders>
              <w:top w:val="nil"/>
              <w:left w:val="single" w:sz="11" w:space="0" w:color="000000"/>
              <w:bottom w:val="nil"/>
              <w:right w:val="nil"/>
            </w:tcBorders>
            <w:shd w:val="clear" w:color="auto" w:fill="FFFFFF"/>
            <w:tcMar>
              <w:left w:w="67" w:type="dxa"/>
              <w:right w:w="67" w:type="dxa"/>
            </w:tcMar>
          </w:tcPr>
          <w:p w14:paraId="597C259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Doing well, don't need it</w:t>
            </w:r>
          </w:p>
        </w:tc>
        <w:tc>
          <w:tcPr>
            <w:tcW w:w="1418" w:type="dxa"/>
            <w:tcBorders>
              <w:top w:val="nil"/>
              <w:left w:val="nil"/>
              <w:bottom w:val="nil"/>
              <w:right w:val="nil"/>
            </w:tcBorders>
            <w:shd w:val="clear" w:color="auto" w:fill="FFFFFF"/>
            <w:tcMar>
              <w:left w:w="67" w:type="dxa"/>
              <w:right w:w="67" w:type="dxa"/>
            </w:tcMar>
          </w:tcPr>
          <w:p w14:paraId="0ABAECD2"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17" w:type="dxa"/>
            <w:tcBorders>
              <w:top w:val="nil"/>
              <w:left w:val="nil"/>
              <w:bottom w:val="nil"/>
              <w:right w:val="nil"/>
            </w:tcBorders>
            <w:shd w:val="clear" w:color="auto" w:fill="FFFFFF"/>
            <w:tcMar>
              <w:left w:w="67" w:type="dxa"/>
              <w:right w:w="67" w:type="dxa"/>
            </w:tcMar>
          </w:tcPr>
          <w:p w14:paraId="401BFB6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(6.67%)</w:t>
            </w:r>
          </w:p>
        </w:tc>
        <w:tc>
          <w:tcPr>
            <w:tcW w:w="1418" w:type="dxa"/>
            <w:tcBorders>
              <w:top w:val="nil"/>
              <w:left w:val="nil"/>
              <w:bottom w:val="nil"/>
              <w:right w:val="nil"/>
            </w:tcBorders>
            <w:shd w:val="clear" w:color="auto" w:fill="FFFFFF"/>
            <w:tcMar>
              <w:left w:w="67" w:type="dxa"/>
              <w:right w:w="67" w:type="dxa"/>
            </w:tcMar>
          </w:tcPr>
          <w:p w14:paraId="0C8839F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701" w:type="dxa"/>
            <w:tcBorders>
              <w:top w:val="nil"/>
              <w:left w:val="nil"/>
              <w:bottom w:val="nil"/>
              <w:right w:val="nil"/>
            </w:tcBorders>
            <w:shd w:val="clear" w:color="auto" w:fill="FFFFFF"/>
            <w:tcMar>
              <w:left w:w="67" w:type="dxa"/>
              <w:right w:w="67" w:type="dxa"/>
            </w:tcMar>
          </w:tcPr>
          <w:p w14:paraId="6125991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(4.76%)</w:t>
            </w:r>
          </w:p>
        </w:tc>
        <w:tc>
          <w:tcPr>
            <w:tcW w:w="1417" w:type="dxa"/>
            <w:tcBorders>
              <w:top w:val="nil"/>
              <w:left w:val="nil"/>
              <w:bottom w:val="nil"/>
              <w:right w:val="single" w:sz="11" w:space="0" w:color="000000"/>
            </w:tcBorders>
            <w:shd w:val="clear" w:color="auto" w:fill="FFFFFF"/>
            <w:tcMar>
              <w:left w:w="67" w:type="dxa"/>
              <w:right w:w="67" w:type="dxa"/>
            </w:tcMar>
          </w:tcPr>
          <w:p w14:paraId="7A6FF78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(2.60%)</w:t>
            </w:r>
          </w:p>
        </w:tc>
      </w:tr>
      <w:tr w:rsidR="009A3C2D" w:rsidRPr="0082484A" w14:paraId="5B5A17F5" w14:textId="77777777" w:rsidTr="0082484A">
        <w:trPr>
          <w:cantSplit/>
          <w:jc w:val="center"/>
        </w:trPr>
        <w:tc>
          <w:tcPr>
            <w:tcW w:w="3388" w:type="dxa"/>
            <w:tcBorders>
              <w:top w:val="nil"/>
              <w:left w:val="single" w:sz="11" w:space="0" w:color="000000"/>
              <w:bottom w:val="nil"/>
              <w:right w:val="nil"/>
            </w:tcBorders>
            <w:shd w:val="clear" w:color="auto" w:fill="FFFFFF"/>
            <w:tcMar>
              <w:left w:w="67" w:type="dxa"/>
              <w:right w:w="67" w:type="dxa"/>
            </w:tcMar>
          </w:tcPr>
          <w:p w14:paraId="1945EF0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Permanent closure</w:t>
            </w:r>
          </w:p>
        </w:tc>
        <w:tc>
          <w:tcPr>
            <w:tcW w:w="1418" w:type="dxa"/>
            <w:tcBorders>
              <w:top w:val="nil"/>
              <w:left w:val="nil"/>
              <w:bottom w:val="nil"/>
              <w:right w:val="nil"/>
            </w:tcBorders>
            <w:shd w:val="clear" w:color="auto" w:fill="FFFFFF"/>
            <w:tcMar>
              <w:left w:w="67" w:type="dxa"/>
              <w:right w:w="67" w:type="dxa"/>
            </w:tcMar>
          </w:tcPr>
          <w:p w14:paraId="2AEF72B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17" w:type="dxa"/>
            <w:tcBorders>
              <w:top w:val="nil"/>
              <w:left w:val="nil"/>
              <w:bottom w:val="nil"/>
              <w:right w:val="nil"/>
            </w:tcBorders>
            <w:shd w:val="clear" w:color="auto" w:fill="FFFFFF"/>
            <w:tcMar>
              <w:left w:w="67" w:type="dxa"/>
              <w:right w:w="67" w:type="dxa"/>
            </w:tcMar>
          </w:tcPr>
          <w:p w14:paraId="3F11103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18" w:type="dxa"/>
            <w:tcBorders>
              <w:top w:val="nil"/>
              <w:left w:val="nil"/>
              <w:bottom w:val="nil"/>
              <w:right w:val="nil"/>
            </w:tcBorders>
            <w:shd w:val="clear" w:color="auto" w:fill="FFFFFF"/>
            <w:tcMar>
              <w:left w:w="67" w:type="dxa"/>
              <w:right w:w="67" w:type="dxa"/>
            </w:tcMar>
          </w:tcPr>
          <w:p w14:paraId="0CA865E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(4.76%)</w:t>
            </w:r>
          </w:p>
        </w:tc>
        <w:tc>
          <w:tcPr>
            <w:tcW w:w="1701" w:type="dxa"/>
            <w:tcBorders>
              <w:top w:val="nil"/>
              <w:left w:val="nil"/>
              <w:bottom w:val="nil"/>
              <w:right w:val="nil"/>
            </w:tcBorders>
            <w:shd w:val="clear" w:color="auto" w:fill="FFFFFF"/>
            <w:tcMar>
              <w:left w:w="67" w:type="dxa"/>
              <w:right w:w="67" w:type="dxa"/>
            </w:tcMar>
          </w:tcPr>
          <w:p w14:paraId="335AFB4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17" w:type="dxa"/>
            <w:tcBorders>
              <w:top w:val="nil"/>
              <w:left w:val="nil"/>
              <w:bottom w:val="nil"/>
              <w:right w:val="single" w:sz="11" w:space="0" w:color="000000"/>
            </w:tcBorders>
            <w:shd w:val="clear" w:color="auto" w:fill="FFFFFF"/>
            <w:tcMar>
              <w:left w:w="67" w:type="dxa"/>
              <w:right w:w="67" w:type="dxa"/>
            </w:tcMar>
          </w:tcPr>
          <w:p w14:paraId="4467C0B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(1.30%)</w:t>
            </w:r>
          </w:p>
        </w:tc>
      </w:tr>
      <w:tr w:rsidR="009A3C2D" w:rsidRPr="0082484A" w14:paraId="67CFDB4E" w14:textId="77777777" w:rsidTr="0082484A">
        <w:trPr>
          <w:cantSplit/>
          <w:jc w:val="center"/>
        </w:trPr>
        <w:tc>
          <w:tcPr>
            <w:tcW w:w="3388" w:type="dxa"/>
            <w:tcBorders>
              <w:top w:val="nil"/>
              <w:left w:val="single" w:sz="11" w:space="0" w:color="000000"/>
              <w:bottom w:val="nil"/>
              <w:right w:val="nil"/>
            </w:tcBorders>
            <w:shd w:val="clear" w:color="auto" w:fill="FFFFFF"/>
            <w:tcMar>
              <w:left w:w="67" w:type="dxa"/>
              <w:right w:w="67" w:type="dxa"/>
            </w:tcMar>
          </w:tcPr>
          <w:p w14:paraId="2A55F12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 reason given</w:t>
            </w:r>
          </w:p>
        </w:tc>
        <w:tc>
          <w:tcPr>
            <w:tcW w:w="1418" w:type="dxa"/>
            <w:tcBorders>
              <w:top w:val="nil"/>
              <w:left w:val="nil"/>
              <w:bottom w:val="nil"/>
              <w:right w:val="nil"/>
            </w:tcBorders>
            <w:shd w:val="clear" w:color="auto" w:fill="FFFFFF"/>
            <w:tcMar>
              <w:left w:w="67" w:type="dxa"/>
              <w:right w:w="67" w:type="dxa"/>
            </w:tcMar>
          </w:tcPr>
          <w:p w14:paraId="3E11A5F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12 (60.00%)</w:t>
            </w:r>
          </w:p>
        </w:tc>
        <w:tc>
          <w:tcPr>
            <w:tcW w:w="1417" w:type="dxa"/>
            <w:tcBorders>
              <w:top w:val="nil"/>
              <w:left w:val="nil"/>
              <w:bottom w:val="nil"/>
              <w:right w:val="nil"/>
            </w:tcBorders>
            <w:shd w:val="clear" w:color="auto" w:fill="FFFFFF"/>
            <w:tcMar>
              <w:left w:w="67" w:type="dxa"/>
              <w:right w:w="67" w:type="dxa"/>
            </w:tcMar>
          </w:tcPr>
          <w:p w14:paraId="46188FB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10 (66.67%)</w:t>
            </w:r>
          </w:p>
        </w:tc>
        <w:tc>
          <w:tcPr>
            <w:tcW w:w="1418" w:type="dxa"/>
            <w:tcBorders>
              <w:top w:val="nil"/>
              <w:left w:val="nil"/>
              <w:bottom w:val="nil"/>
              <w:right w:val="nil"/>
            </w:tcBorders>
            <w:shd w:val="clear" w:color="auto" w:fill="FFFFFF"/>
            <w:tcMar>
              <w:left w:w="67" w:type="dxa"/>
              <w:right w:w="67" w:type="dxa"/>
            </w:tcMar>
          </w:tcPr>
          <w:p w14:paraId="374DD53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13 (61.90%)</w:t>
            </w:r>
          </w:p>
        </w:tc>
        <w:tc>
          <w:tcPr>
            <w:tcW w:w="1701" w:type="dxa"/>
            <w:tcBorders>
              <w:top w:val="nil"/>
              <w:left w:val="nil"/>
              <w:bottom w:val="nil"/>
              <w:right w:val="nil"/>
            </w:tcBorders>
            <w:shd w:val="clear" w:color="auto" w:fill="FFFFFF"/>
            <w:tcMar>
              <w:left w:w="67" w:type="dxa"/>
              <w:right w:w="67" w:type="dxa"/>
            </w:tcMar>
          </w:tcPr>
          <w:p w14:paraId="3FF97D3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17 (80.95%)</w:t>
            </w:r>
          </w:p>
        </w:tc>
        <w:tc>
          <w:tcPr>
            <w:tcW w:w="1417" w:type="dxa"/>
            <w:tcBorders>
              <w:top w:val="nil"/>
              <w:left w:val="nil"/>
              <w:bottom w:val="nil"/>
              <w:right w:val="single" w:sz="11" w:space="0" w:color="000000"/>
            </w:tcBorders>
            <w:shd w:val="clear" w:color="auto" w:fill="FFFFFF"/>
            <w:tcMar>
              <w:left w:w="67" w:type="dxa"/>
              <w:right w:w="67" w:type="dxa"/>
            </w:tcMar>
          </w:tcPr>
          <w:p w14:paraId="61467A5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52 (67.53%)</w:t>
            </w:r>
          </w:p>
        </w:tc>
      </w:tr>
      <w:tr w:rsidR="009A3C2D" w:rsidRPr="0082484A" w14:paraId="506BDD5B" w14:textId="77777777" w:rsidTr="0082484A">
        <w:trPr>
          <w:cantSplit/>
          <w:jc w:val="center"/>
        </w:trPr>
        <w:tc>
          <w:tcPr>
            <w:tcW w:w="3388" w:type="dxa"/>
            <w:tcBorders>
              <w:top w:val="nil"/>
              <w:left w:val="single" w:sz="11" w:space="0" w:color="000000"/>
              <w:bottom w:val="single" w:sz="11" w:space="0" w:color="000000"/>
              <w:right w:val="nil"/>
            </w:tcBorders>
            <w:shd w:val="clear" w:color="auto" w:fill="FFFFFF"/>
            <w:tcMar>
              <w:left w:w="67" w:type="dxa"/>
              <w:right w:w="67" w:type="dxa"/>
            </w:tcMar>
          </w:tcPr>
          <w:p w14:paraId="2C1D23AB"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418" w:type="dxa"/>
            <w:tcBorders>
              <w:top w:val="nil"/>
              <w:left w:val="nil"/>
              <w:bottom w:val="single" w:sz="11" w:space="0" w:color="000000"/>
              <w:right w:val="nil"/>
            </w:tcBorders>
            <w:shd w:val="clear" w:color="auto" w:fill="FFFFFF"/>
            <w:tcMar>
              <w:left w:w="67" w:type="dxa"/>
              <w:right w:w="67" w:type="dxa"/>
            </w:tcMar>
          </w:tcPr>
          <w:p w14:paraId="74EE12E9"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417" w:type="dxa"/>
            <w:tcBorders>
              <w:top w:val="nil"/>
              <w:left w:val="nil"/>
              <w:bottom w:val="single" w:sz="11" w:space="0" w:color="000000"/>
              <w:right w:val="nil"/>
            </w:tcBorders>
            <w:shd w:val="clear" w:color="auto" w:fill="FFFFFF"/>
            <w:tcMar>
              <w:left w:w="67" w:type="dxa"/>
              <w:right w:w="67" w:type="dxa"/>
            </w:tcMar>
          </w:tcPr>
          <w:p w14:paraId="6C5872E5"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418" w:type="dxa"/>
            <w:tcBorders>
              <w:top w:val="nil"/>
              <w:left w:val="nil"/>
              <w:bottom w:val="single" w:sz="11" w:space="0" w:color="000000"/>
              <w:right w:val="nil"/>
            </w:tcBorders>
            <w:shd w:val="clear" w:color="auto" w:fill="FFFFFF"/>
            <w:tcMar>
              <w:left w:w="67" w:type="dxa"/>
              <w:right w:w="67" w:type="dxa"/>
            </w:tcMar>
          </w:tcPr>
          <w:p w14:paraId="183CBDF2"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701" w:type="dxa"/>
            <w:tcBorders>
              <w:top w:val="nil"/>
              <w:left w:val="nil"/>
              <w:bottom w:val="single" w:sz="11" w:space="0" w:color="000000"/>
              <w:right w:val="nil"/>
            </w:tcBorders>
            <w:shd w:val="clear" w:color="auto" w:fill="FFFFFF"/>
            <w:tcMar>
              <w:left w:w="67" w:type="dxa"/>
              <w:right w:w="67" w:type="dxa"/>
            </w:tcMar>
          </w:tcPr>
          <w:p w14:paraId="6D4F9F0A"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417" w:type="dxa"/>
            <w:tcBorders>
              <w:top w:val="nil"/>
              <w:left w:val="nil"/>
              <w:bottom w:val="single" w:sz="11" w:space="0" w:color="000000"/>
              <w:right w:val="single" w:sz="11" w:space="0" w:color="000000"/>
            </w:tcBorders>
            <w:shd w:val="clear" w:color="auto" w:fill="FFFFFF"/>
            <w:tcMar>
              <w:left w:w="67" w:type="dxa"/>
              <w:right w:w="67" w:type="dxa"/>
            </w:tcMar>
          </w:tcPr>
          <w:p w14:paraId="22953054"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r>
    </w:tbl>
    <w:p w14:paraId="5517D9E7" w14:textId="77777777" w:rsidR="009A3C2D" w:rsidRPr="0082484A" w:rsidRDefault="009A3C2D" w:rsidP="009A3C2D">
      <w:pPr>
        <w:spacing w:before="0" w:after="160" w:line="259" w:lineRule="auto"/>
        <w:rPr>
          <w:rFonts w:eastAsia="Calibri"/>
          <w:color w:val="FF0000"/>
          <w:sz w:val="22"/>
          <w:szCs w:val="22"/>
        </w:rPr>
      </w:pPr>
    </w:p>
    <w:p w14:paraId="78C5BD2C" w14:textId="77777777" w:rsidR="001D1443" w:rsidRPr="0082484A" w:rsidRDefault="001D1443">
      <w:pPr>
        <w:spacing w:before="0" w:after="200"/>
        <w:rPr>
          <w:bCs/>
          <w:sz w:val="22"/>
          <w:szCs w:val="22"/>
        </w:rPr>
      </w:pPr>
      <w:bookmarkStart w:id="284" w:name="_Ref501107916"/>
      <w:bookmarkStart w:id="285" w:name="_Toc8728153"/>
      <w:r w:rsidRPr="0082484A">
        <w:rPr>
          <w:bCs/>
          <w:sz w:val="22"/>
          <w:szCs w:val="22"/>
        </w:rPr>
        <w:br w:type="page"/>
      </w:r>
    </w:p>
    <w:p w14:paraId="0F0F57B3" w14:textId="202BFB9E" w:rsidR="009A3C2D" w:rsidRPr="0082484A" w:rsidRDefault="009A3C2D" w:rsidP="009A3C2D">
      <w:pPr>
        <w:spacing w:before="0" w:line="240" w:lineRule="auto"/>
        <w:rPr>
          <w:rFonts w:eastAsia="Times New Roman"/>
          <w:sz w:val="22"/>
          <w:szCs w:val="22"/>
          <w:lang w:eastAsia="en-GB"/>
        </w:rPr>
      </w:pPr>
      <w:bookmarkStart w:id="286" w:name="_Toc19526806"/>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77</w:t>
      </w:r>
      <w:r w:rsidRPr="0082484A">
        <w:rPr>
          <w:bCs/>
          <w:noProof/>
          <w:sz w:val="22"/>
          <w:szCs w:val="22"/>
        </w:rPr>
        <w:fldChar w:fldCharType="end"/>
      </w:r>
      <w:bookmarkEnd w:id="284"/>
      <w:r w:rsidRPr="0082484A">
        <w:rPr>
          <w:bCs/>
          <w:sz w:val="22"/>
          <w:szCs w:val="22"/>
        </w:rPr>
        <w:t>: Length of outreach visits (by trial arm) (WP5)</w:t>
      </w:r>
      <w:bookmarkEnd w:id="285"/>
      <w:bookmarkEnd w:id="286"/>
    </w:p>
    <w:tbl>
      <w:tblPr>
        <w:tblW w:w="10999" w:type="dxa"/>
        <w:jc w:val="center"/>
        <w:tblLayout w:type="fixed"/>
        <w:tblCellMar>
          <w:left w:w="0" w:type="dxa"/>
          <w:right w:w="0" w:type="dxa"/>
        </w:tblCellMar>
        <w:tblLook w:val="0000" w:firstRow="0" w:lastRow="0" w:firstColumn="0" w:lastColumn="0" w:noHBand="0" w:noVBand="0"/>
      </w:tblPr>
      <w:tblGrid>
        <w:gridCol w:w="1644"/>
        <w:gridCol w:w="1871"/>
        <w:gridCol w:w="1871"/>
        <w:gridCol w:w="1871"/>
        <w:gridCol w:w="1871"/>
        <w:gridCol w:w="1871"/>
      </w:tblGrid>
      <w:tr w:rsidR="009A3C2D" w:rsidRPr="0082484A" w14:paraId="61DAC8EA" w14:textId="77777777" w:rsidTr="00272145">
        <w:trPr>
          <w:cantSplit/>
          <w:tblHeader/>
          <w:jc w:val="center"/>
        </w:trPr>
        <w:tc>
          <w:tcPr>
            <w:tcW w:w="1644"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5AA42D4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bookmarkStart w:id="287" w:name="IDX12"/>
            <w:bookmarkEnd w:id="287"/>
            <w:r w:rsidRPr="0082484A">
              <w:rPr>
                <w:rFonts w:eastAsia="Times New Roman"/>
                <w:bCs/>
                <w:sz w:val="22"/>
                <w:szCs w:val="22"/>
                <w:lang w:eastAsia="en-GB"/>
              </w:rPr>
              <w:t>Duration of meeting (minutes)</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7696F3B"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(n=22)</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2DD08FE"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(n=28)</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4AEDAF5"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Blood pressure control </w:t>
            </w:r>
          </w:p>
          <w:p w14:paraId="4312A4F2"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(n=12)</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D4EBDBE"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(n=13)</w:t>
            </w:r>
          </w:p>
        </w:tc>
        <w:tc>
          <w:tcPr>
            <w:tcW w:w="187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0D1F619"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Total (n=75)</w:t>
            </w:r>
          </w:p>
        </w:tc>
      </w:tr>
      <w:tr w:rsidR="009A3C2D" w:rsidRPr="0082484A" w14:paraId="1BC6EDDF" w14:textId="77777777" w:rsidTr="00272145">
        <w:trPr>
          <w:cantSplit/>
          <w:jc w:val="center"/>
        </w:trPr>
        <w:tc>
          <w:tcPr>
            <w:tcW w:w="1644" w:type="dxa"/>
            <w:tcBorders>
              <w:top w:val="nil"/>
              <w:left w:val="single" w:sz="11" w:space="0" w:color="000000"/>
              <w:bottom w:val="nil"/>
              <w:right w:val="nil"/>
            </w:tcBorders>
            <w:shd w:val="clear" w:color="auto" w:fill="FFFFFF"/>
            <w:tcMar>
              <w:left w:w="67" w:type="dxa"/>
              <w:right w:w="67" w:type="dxa"/>
            </w:tcMar>
          </w:tcPr>
          <w:p w14:paraId="215A9CD1"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Mean (SD)</w:t>
            </w:r>
          </w:p>
        </w:tc>
        <w:tc>
          <w:tcPr>
            <w:tcW w:w="1871" w:type="dxa"/>
            <w:tcBorders>
              <w:top w:val="nil"/>
              <w:left w:val="nil"/>
              <w:bottom w:val="nil"/>
              <w:right w:val="nil"/>
            </w:tcBorders>
            <w:shd w:val="clear" w:color="auto" w:fill="FFFFFF"/>
            <w:tcMar>
              <w:left w:w="67" w:type="dxa"/>
              <w:right w:w="67" w:type="dxa"/>
            </w:tcMar>
          </w:tcPr>
          <w:p w14:paraId="2C3EAF4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42.50 (26.73)</w:t>
            </w:r>
          </w:p>
        </w:tc>
        <w:tc>
          <w:tcPr>
            <w:tcW w:w="1871" w:type="dxa"/>
            <w:tcBorders>
              <w:top w:val="nil"/>
              <w:left w:val="nil"/>
              <w:bottom w:val="nil"/>
              <w:right w:val="nil"/>
            </w:tcBorders>
            <w:shd w:val="clear" w:color="auto" w:fill="FFFFFF"/>
            <w:tcMar>
              <w:left w:w="67" w:type="dxa"/>
              <w:right w:w="67" w:type="dxa"/>
            </w:tcMar>
          </w:tcPr>
          <w:p w14:paraId="7BD811B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32.71 (6.25)</w:t>
            </w:r>
          </w:p>
        </w:tc>
        <w:tc>
          <w:tcPr>
            <w:tcW w:w="1871" w:type="dxa"/>
            <w:tcBorders>
              <w:top w:val="nil"/>
              <w:left w:val="nil"/>
              <w:bottom w:val="nil"/>
              <w:right w:val="nil"/>
            </w:tcBorders>
            <w:shd w:val="clear" w:color="auto" w:fill="FFFFFF"/>
            <w:tcMar>
              <w:left w:w="67" w:type="dxa"/>
              <w:right w:w="67" w:type="dxa"/>
            </w:tcMar>
          </w:tcPr>
          <w:p w14:paraId="2B2C4CC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32.50 (8.66)</w:t>
            </w:r>
          </w:p>
        </w:tc>
        <w:tc>
          <w:tcPr>
            <w:tcW w:w="1871" w:type="dxa"/>
            <w:tcBorders>
              <w:top w:val="nil"/>
              <w:left w:val="nil"/>
              <w:bottom w:val="nil"/>
              <w:right w:val="nil"/>
            </w:tcBorders>
            <w:shd w:val="clear" w:color="auto" w:fill="FFFFFF"/>
            <w:tcMar>
              <w:left w:w="67" w:type="dxa"/>
              <w:right w:w="67" w:type="dxa"/>
            </w:tcMar>
          </w:tcPr>
          <w:p w14:paraId="5D8B6502"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34.00 (9.94)</w:t>
            </w:r>
          </w:p>
        </w:tc>
        <w:tc>
          <w:tcPr>
            <w:tcW w:w="1871" w:type="dxa"/>
            <w:tcBorders>
              <w:top w:val="nil"/>
              <w:left w:val="nil"/>
              <w:bottom w:val="nil"/>
              <w:right w:val="single" w:sz="11" w:space="0" w:color="000000"/>
            </w:tcBorders>
            <w:shd w:val="clear" w:color="auto" w:fill="FFFFFF"/>
            <w:tcMar>
              <w:left w:w="67" w:type="dxa"/>
              <w:right w:w="67" w:type="dxa"/>
            </w:tcMar>
          </w:tcPr>
          <w:p w14:paraId="47AEE65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35.83 (16.40)</w:t>
            </w:r>
          </w:p>
        </w:tc>
      </w:tr>
      <w:tr w:rsidR="009A3C2D" w:rsidRPr="0082484A" w14:paraId="370EEED4" w14:textId="77777777" w:rsidTr="00272145">
        <w:trPr>
          <w:cantSplit/>
          <w:jc w:val="center"/>
        </w:trPr>
        <w:tc>
          <w:tcPr>
            <w:tcW w:w="1644" w:type="dxa"/>
            <w:tcBorders>
              <w:top w:val="nil"/>
              <w:left w:val="single" w:sz="11" w:space="0" w:color="000000"/>
              <w:bottom w:val="nil"/>
              <w:right w:val="nil"/>
            </w:tcBorders>
            <w:shd w:val="clear" w:color="auto" w:fill="FFFFFF"/>
            <w:tcMar>
              <w:left w:w="67" w:type="dxa"/>
              <w:right w:w="67" w:type="dxa"/>
            </w:tcMar>
          </w:tcPr>
          <w:p w14:paraId="39A0572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Median (Range)</w:t>
            </w:r>
          </w:p>
        </w:tc>
        <w:tc>
          <w:tcPr>
            <w:tcW w:w="1871" w:type="dxa"/>
            <w:tcBorders>
              <w:top w:val="nil"/>
              <w:left w:val="nil"/>
              <w:bottom w:val="nil"/>
              <w:right w:val="nil"/>
            </w:tcBorders>
            <w:shd w:val="clear" w:color="auto" w:fill="FFFFFF"/>
            <w:tcMar>
              <w:left w:w="67" w:type="dxa"/>
              <w:right w:w="67" w:type="dxa"/>
            </w:tcMar>
          </w:tcPr>
          <w:p w14:paraId="573D716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30.00 (20.00, 135.00)</w:t>
            </w:r>
          </w:p>
        </w:tc>
        <w:tc>
          <w:tcPr>
            <w:tcW w:w="1871" w:type="dxa"/>
            <w:tcBorders>
              <w:top w:val="nil"/>
              <w:left w:val="nil"/>
              <w:bottom w:val="nil"/>
              <w:right w:val="nil"/>
            </w:tcBorders>
            <w:shd w:val="clear" w:color="auto" w:fill="FFFFFF"/>
            <w:tcMar>
              <w:left w:w="67" w:type="dxa"/>
              <w:right w:w="67" w:type="dxa"/>
            </w:tcMar>
          </w:tcPr>
          <w:p w14:paraId="6B335EC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30.00 (25.00, 50.00)</w:t>
            </w:r>
          </w:p>
        </w:tc>
        <w:tc>
          <w:tcPr>
            <w:tcW w:w="1871" w:type="dxa"/>
            <w:tcBorders>
              <w:top w:val="nil"/>
              <w:left w:val="nil"/>
              <w:bottom w:val="nil"/>
              <w:right w:val="nil"/>
            </w:tcBorders>
            <w:shd w:val="clear" w:color="auto" w:fill="FFFFFF"/>
            <w:tcMar>
              <w:left w:w="67" w:type="dxa"/>
              <w:right w:w="67" w:type="dxa"/>
            </w:tcMar>
          </w:tcPr>
          <w:p w14:paraId="2CC77ED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30.00 (30.00, 60.00)</w:t>
            </w:r>
          </w:p>
        </w:tc>
        <w:tc>
          <w:tcPr>
            <w:tcW w:w="1871" w:type="dxa"/>
            <w:tcBorders>
              <w:top w:val="nil"/>
              <w:left w:val="nil"/>
              <w:bottom w:val="nil"/>
              <w:right w:val="nil"/>
            </w:tcBorders>
            <w:shd w:val="clear" w:color="auto" w:fill="FFFFFF"/>
            <w:tcMar>
              <w:left w:w="67" w:type="dxa"/>
              <w:right w:w="67" w:type="dxa"/>
            </w:tcMar>
          </w:tcPr>
          <w:p w14:paraId="7C58C3E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30.00 (25.00, 60.00)</w:t>
            </w:r>
          </w:p>
        </w:tc>
        <w:tc>
          <w:tcPr>
            <w:tcW w:w="1871" w:type="dxa"/>
            <w:tcBorders>
              <w:top w:val="nil"/>
              <w:left w:val="nil"/>
              <w:bottom w:val="nil"/>
              <w:right w:val="single" w:sz="11" w:space="0" w:color="000000"/>
            </w:tcBorders>
            <w:shd w:val="clear" w:color="auto" w:fill="FFFFFF"/>
            <w:tcMar>
              <w:left w:w="67" w:type="dxa"/>
              <w:right w:w="67" w:type="dxa"/>
            </w:tcMar>
          </w:tcPr>
          <w:p w14:paraId="74608D0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30.00 (20.00, 135.00)</w:t>
            </w:r>
          </w:p>
        </w:tc>
      </w:tr>
      <w:tr w:rsidR="009A3C2D" w:rsidRPr="0082484A" w14:paraId="6A9058B4" w14:textId="77777777" w:rsidTr="00272145">
        <w:trPr>
          <w:cantSplit/>
          <w:jc w:val="center"/>
        </w:trPr>
        <w:tc>
          <w:tcPr>
            <w:tcW w:w="1644" w:type="dxa"/>
            <w:tcBorders>
              <w:top w:val="nil"/>
              <w:left w:val="single" w:sz="11" w:space="0" w:color="000000"/>
              <w:bottom w:val="nil"/>
              <w:right w:val="nil"/>
            </w:tcBorders>
            <w:shd w:val="clear" w:color="auto" w:fill="FFFFFF"/>
            <w:tcMar>
              <w:left w:w="67" w:type="dxa"/>
              <w:right w:w="67" w:type="dxa"/>
            </w:tcMar>
          </w:tcPr>
          <w:p w14:paraId="52ED182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Missing</w:t>
            </w:r>
          </w:p>
        </w:tc>
        <w:tc>
          <w:tcPr>
            <w:tcW w:w="1871" w:type="dxa"/>
            <w:tcBorders>
              <w:top w:val="nil"/>
              <w:left w:val="nil"/>
              <w:bottom w:val="nil"/>
              <w:right w:val="nil"/>
            </w:tcBorders>
            <w:shd w:val="clear" w:color="auto" w:fill="FFFFFF"/>
            <w:tcMar>
              <w:left w:w="67" w:type="dxa"/>
              <w:right w:w="67" w:type="dxa"/>
            </w:tcMar>
          </w:tcPr>
          <w:p w14:paraId="6CC4618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w:t>
            </w:r>
          </w:p>
        </w:tc>
        <w:tc>
          <w:tcPr>
            <w:tcW w:w="1871" w:type="dxa"/>
            <w:tcBorders>
              <w:top w:val="nil"/>
              <w:left w:val="nil"/>
              <w:bottom w:val="nil"/>
              <w:right w:val="nil"/>
            </w:tcBorders>
            <w:shd w:val="clear" w:color="auto" w:fill="FFFFFF"/>
            <w:tcMar>
              <w:left w:w="67" w:type="dxa"/>
              <w:right w:w="67" w:type="dxa"/>
            </w:tcMar>
          </w:tcPr>
          <w:p w14:paraId="44DECF0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w:t>
            </w:r>
          </w:p>
        </w:tc>
        <w:tc>
          <w:tcPr>
            <w:tcW w:w="1871" w:type="dxa"/>
            <w:tcBorders>
              <w:top w:val="nil"/>
              <w:left w:val="nil"/>
              <w:bottom w:val="nil"/>
              <w:right w:val="nil"/>
            </w:tcBorders>
            <w:shd w:val="clear" w:color="auto" w:fill="FFFFFF"/>
            <w:tcMar>
              <w:left w:w="67" w:type="dxa"/>
              <w:right w:w="67" w:type="dxa"/>
            </w:tcMar>
          </w:tcPr>
          <w:p w14:paraId="32B884E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w:t>
            </w:r>
          </w:p>
        </w:tc>
        <w:tc>
          <w:tcPr>
            <w:tcW w:w="1871" w:type="dxa"/>
            <w:tcBorders>
              <w:top w:val="nil"/>
              <w:left w:val="nil"/>
              <w:bottom w:val="nil"/>
              <w:right w:val="nil"/>
            </w:tcBorders>
            <w:shd w:val="clear" w:color="auto" w:fill="FFFFFF"/>
            <w:tcMar>
              <w:left w:w="67" w:type="dxa"/>
              <w:right w:w="67" w:type="dxa"/>
            </w:tcMar>
          </w:tcPr>
          <w:p w14:paraId="6BCE569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w:t>
            </w:r>
          </w:p>
        </w:tc>
        <w:tc>
          <w:tcPr>
            <w:tcW w:w="1871" w:type="dxa"/>
            <w:tcBorders>
              <w:top w:val="nil"/>
              <w:left w:val="nil"/>
              <w:bottom w:val="nil"/>
              <w:right w:val="single" w:sz="11" w:space="0" w:color="000000"/>
            </w:tcBorders>
            <w:shd w:val="clear" w:color="auto" w:fill="FFFFFF"/>
            <w:tcMar>
              <w:left w:w="67" w:type="dxa"/>
              <w:right w:w="67" w:type="dxa"/>
            </w:tcMar>
          </w:tcPr>
          <w:p w14:paraId="65DD018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9</w:t>
            </w:r>
          </w:p>
        </w:tc>
      </w:tr>
      <w:tr w:rsidR="009A3C2D" w:rsidRPr="0082484A" w14:paraId="495B4CC8" w14:textId="77777777" w:rsidTr="00272145">
        <w:trPr>
          <w:cantSplit/>
          <w:jc w:val="center"/>
        </w:trPr>
        <w:tc>
          <w:tcPr>
            <w:tcW w:w="1644" w:type="dxa"/>
            <w:tcBorders>
              <w:top w:val="nil"/>
              <w:left w:val="single" w:sz="11" w:space="0" w:color="000000"/>
              <w:bottom w:val="single" w:sz="11" w:space="0" w:color="000000"/>
              <w:right w:val="nil"/>
            </w:tcBorders>
            <w:shd w:val="clear" w:color="auto" w:fill="FFFFFF"/>
            <w:tcMar>
              <w:left w:w="67" w:type="dxa"/>
              <w:right w:w="67" w:type="dxa"/>
            </w:tcMar>
          </w:tcPr>
          <w:p w14:paraId="3EA7E83A"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4A84D60E"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6514C0E2"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68388A39"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5C1B8AAA"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single" w:sz="11" w:space="0" w:color="000000"/>
            </w:tcBorders>
            <w:shd w:val="clear" w:color="auto" w:fill="FFFFFF"/>
            <w:tcMar>
              <w:left w:w="67" w:type="dxa"/>
              <w:right w:w="67" w:type="dxa"/>
            </w:tcMar>
          </w:tcPr>
          <w:p w14:paraId="27A3936C"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r>
    </w:tbl>
    <w:p w14:paraId="4E9D777C" w14:textId="77777777" w:rsidR="009A3C2D" w:rsidRPr="0082484A" w:rsidRDefault="009A3C2D" w:rsidP="009A3C2D">
      <w:pPr>
        <w:spacing w:before="0" w:after="160" w:line="259" w:lineRule="auto"/>
        <w:rPr>
          <w:rFonts w:eastAsia="Calibri"/>
          <w:sz w:val="22"/>
          <w:szCs w:val="22"/>
        </w:rPr>
      </w:pPr>
    </w:p>
    <w:p w14:paraId="09FDC04B" w14:textId="77777777" w:rsidR="009A3C2D" w:rsidRPr="0082484A" w:rsidRDefault="009A3C2D" w:rsidP="009A3C2D">
      <w:pPr>
        <w:spacing w:before="0" w:after="200"/>
        <w:rPr>
          <w:rFonts w:eastAsia="Calibri"/>
          <w:sz w:val="22"/>
          <w:szCs w:val="22"/>
        </w:rPr>
      </w:pPr>
      <w:r w:rsidRPr="0082484A">
        <w:rPr>
          <w:rFonts w:eastAsia="Calibri"/>
          <w:sz w:val="22"/>
          <w:szCs w:val="22"/>
        </w:rPr>
        <w:br w:type="page"/>
      </w:r>
    </w:p>
    <w:p w14:paraId="66C6B477" w14:textId="0F2D3C66" w:rsidR="009A3C2D" w:rsidRPr="0082484A" w:rsidRDefault="009A3C2D" w:rsidP="009A3C2D">
      <w:pPr>
        <w:spacing w:before="0" w:line="240" w:lineRule="auto"/>
        <w:rPr>
          <w:rFonts w:eastAsia="Times New Roman"/>
          <w:sz w:val="22"/>
          <w:szCs w:val="22"/>
          <w:lang w:eastAsia="en-GB"/>
        </w:rPr>
      </w:pPr>
      <w:bookmarkStart w:id="288" w:name="_Ref501107919"/>
      <w:bookmarkStart w:id="289" w:name="_Toc8728154"/>
      <w:bookmarkStart w:id="290" w:name="_Toc19526807"/>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78</w:t>
      </w:r>
      <w:r w:rsidRPr="0082484A">
        <w:rPr>
          <w:bCs/>
          <w:noProof/>
          <w:sz w:val="22"/>
          <w:szCs w:val="22"/>
        </w:rPr>
        <w:fldChar w:fldCharType="end"/>
      </w:r>
      <w:bookmarkEnd w:id="288"/>
      <w:r w:rsidRPr="0082484A">
        <w:rPr>
          <w:bCs/>
          <w:sz w:val="22"/>
          <w:szCs w:val="22"/>
        </w:rPr>
        <w:t>: Number of practice staff attending outreach visits (by trial arm) (WP5)</w:t>
      </w:r>
      <w:bookmarkEnd w:id="289"/>
      <w:bookmarkEnd w:id="290"/>
    </w:p>
    <w:tbl>
      <w:tblPr>
        <w:tblW w:w="10999" w:type="dxa"/>
        <w:jc w:val="center"/>
        <w:tblLayout w:type="fixed"/>
        <w:tblCellMar>
          <w:left w:w="0" w:type="dxa"/>
          <w:right w:w="0" w:type="dxa"/>
        </w:tblCellMar>
        <w:tblLook w:val="0000" w:firstRow="0" w:lastRow="0" w:firstColumn="0" w:lastColumn="0" w:noHBand="0" w:noVBand="0"/>
      </w:tblPr>
      <w:tblGrid>
        <w:gridCol w:w="1644"/>
        <w:gridCol w:w="1871"/>
        <w:gridCol w:w="1871"/>
        <w:gridCol w:w="1871"/>
        <w:gridCol w:w="1871"/>
        <w:gridCol w:w="1871"/>
      </w:tblGrid>
      <w:tr w:rsidR="009A3C2D" w:rsidRPr="0082484A" w14:paraId="25C906CE" w14:textId="77777777" w:rsidTr="00272145">
        <w:trPr>
          <w:cantSplit/>
          <w:tblHeader/>
          <w:jc w:val="center"/>
        </w:trPr>
        <w:tc>
          <w:tcPr>
            <w:tcW w:w="1644"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70063469"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bookmarkStart w:id="291" w:name="IDX18"/>
            <w:bookmarkEnd w:id="291"/>
            <w:r w:rsidRPr="0082484A">
              <w:rPr>
                <w:rFonts w:eastAsia="Times New Roman"/>
                <w:bCs/>
                <w:sz w:val="22"/>
                <w:szCs w:val="22"/>
                <w:lang w:eastAsia="en-GB"/>
              </w:rPr>
              <w:t>Number of staff in attendance</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1591A9"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(n=22)</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B81E16E"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(n=28)</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0B1F50F"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Blood pressure control </w:t>
            </w:r>
          </w:p>
          <w:p w14:paraId="1612E77D"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(n=12)</w:t>
            </w:r>
          </w:p>
        </w:tc>
        <w:tc>
          <w:tcPr>
            <w:tcW w:w="187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E47723C"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(n=13)</w:t>
            </w:r>
          </w:p>
        </w:tc>
        <w:tc>
          <w:tcPr>
            <w:tcW w:w="187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5F6611B"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17F825A6"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(n=75)</w:t>
            </w:r>
          </w:p>
        </w:tc>
      </w:tr>
      <w:tr w:rsidR="009A3C2D" w:rsidRPr="0082484A" w14:paraId="528E86BC" w14:textId="77777777" w:rsidTr="00272145">
        <w:trPr>
          <w:cantSplit/>
          <w:jc w:val="center"/>
        </w:trPr>
        <w:tc>
          <w:tcPr>
            <w:tcW w:w="1644" w:type="dxa"/>
            <w:tcBorders>
              <w:top w:val="nil"/>
              <w:left w:val="single" w:sz="11" w:space="0" w:color="000000"/>
              <w:bottom w:val="nil"/>
              <w:right w:val="nil"/>
            </w:tcBorders>
            <w:shd w:val="clear" w:color="auto" w:fill="FFFFFF"/>
            <w:tcMar>
              <w:left w:w="67" w:type="dxa"/>
              <w:right w:w="67" w:type="dxa"/>
            </w:tcMar>
          </w:tcPr>
          <w:p w14:paraId="2C16DAD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Mean (SD)</w:t>
            </w:r>
          </w:p>
        </w:tc>
        <w:tc>
          <w:tcPr>
            <w:tcW w:w="1871" w:type="dxa"/>
            <w:tcBorders>
              <w:top w:val="nil"/>
              <w:left w:val="nil"/>
              <w:bottom w:val="nil"/>
              <w:right w:val="nil"/>
            </w:tcBorders>
            <w:shd w:val="clear" w:color="auto" w:fill="FFFFFF"/>
            <w:tcMar>
              <w:left w:w="67" w:type="dxa"/>
              <w:right w:w="67" w:type="dxa"/>
            </w:tcMar>
          </w:tcPr>
          <w:p w14:paraId="03D620F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5.36 (3.74)</w:t>
            </w:r>
          </w:p>
        </w:tc>
        <w:tc>
          <w:tcPr>
            <w:tcW w:w="1871" w:type="dxa"/>
            <w:tcBorders>
              <w:top w:val="nil"/>
              <w:left w:val="nil"/>
              <w:bottom w:val="nil"/>
              <w:right w:val="nil"/>
            </w:tcBorders>
            <w:shd w:val="clear" w:color="auto" w:fill="FFFFFF"/>
            <w:tcMar>
              <w:left w:w="67" w:type="dxa"/>
              <w:right w:w="67" w:type="dxa"/>
            </w:tcMar>
          </w:tcPr>
          <w:p w14:paraId="48BB08FB"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3.75 (2.52)</w:t>
            </w:r>
          </w:p>
        </w:tc>
        <w:tc>
          <w:tcPr>
            <w:tcW w:w="1871" w:type="dxa"/>
            <w:tcBorders>
              <w:top w:val="nil"/>
              <w:left w:val="nil"/>
              <w:bottom w:val="nil"/>
              <w:right w:val="nil"/>
            </w:tcBorders>
            <w:shd w:val="clear" w:color="auto" w:fill="FFFFFF"/>
            <w:tcMar>
              <w:left w:w="67" w:type="dxa"/>
              <w:right w:w="67" w:type="dxa"/>
            </w:tcMar>
          </w:tcPr>
          <w:p w14:paraId="4A5464F1"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5.92 (4.08)</w:t>
            </w:r>
          </w:p>
        </w:tc>
        <w:tc>
          <w:tcPr>
            <w:tcW w:w="1871" w:type="dxa"/>
            <w:tcBorders>
              <w:top w:val="nil"/>
              <w:left w:val="nil"/>
              <w:bottom w:val="nil"/>
              <w:right w:val="nil"/>
            </w:tcBorders>
            <w:shd w:val="clear" w:color="auto" w:fill="FFFFFF"/>
            <w:tcMar>
              <w:left w:w="67" w:type="dxa"/>
              <w:right w:w="67" w:type="dxa"/>
            </w:tcMar>
          </w:tcPr>
          <w:p w14:paraId="22B150A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5.08 (3.45)</w:t>
            </w:r>
          </w:p>
        </w:tc>
        <w:tc>
          <w:tcPr>
            <w:tcW w:w="1871" w:type="dxa"/>
            <w:tcBorders>
              <w:top w:val="nil"/>
              <w:left w:val="nil"/>
              <w:bottom w:val="nil"/>
              <w:right w:val="single" w:sz="11" w:space="0" w:color="000000"/>
            </w:tcBorders>
            <w:shd w:val="clear" w:color="auto" w:fill="FFFFFF"/>
            <w:tcMar>
              <w:left w:w="67" w:type="dxa"/>
              <w:right w:w="67" w:type="dxa"/>
            </w:tcMar>
          </w:tcPr>
          <w:p w14:paraId="076F43F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4.80 (3.38)</w:t>
            </w:r>
          </w:p>
        </w:tc>
      </w:tr>
      <w:tr w:rsidR="009A3C2D" w:rsidRPr="0082484A" w14:paraId="3DD96DC8" w14:textId="77777777" w:rsidTr="00272145">
        <w:trPr>
          <w:cantSplit/>
          <w:jc w:val="center"/>
        </w:trPr>
        <w:tc>
          <w:tcPr>
            <w:tcW w:w="1644" w:type="dxa"/>
            <w:tcBorders>
              <w:top w:val="nil"/>
              <w:left w:val="single" w:sz="11" w:space="0" w:color="000000"/>
              <w:bottom w:val="nil"/>
              <w:right w:val="nil"/>
            </w:tcBorders>
            <w:shd w:val="clear" w:color="auto" w:fill="FFFFFF"/>
            <w:tcMar>
              <w:left w:w="67" w:type="dxa"/>
              <w:right w:w="67" w:type="dxa"/>
            </w:tcMar>
          </w:tcPr>
          <w:p w14:paraId="40D3C2B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Median (Range)</w:t>
            </w:r>
          </w:p>
        </w:tc>
        <w:tc>
          <w:tcPr>
            <w:tcW w:w="1871" w:type="dxa"/>
            <w:tcBorders>
              <w:top w:val="nil"/>
              <w:left w:val="nil"/>
              <w:bottom w:val="nil"/>
              <w:right w:val="nil"/>
            </w:tcBorders>
            <w:shd w:val="clear" w:color="auto" w:fill="FFFFFF"/>
            <w:tcMar>
              <w:left w:w="67" w:type="dxa"/>
              <w:right w:w="67" w:type="dxa"/>
            </w:tcMar>
          </w:tcPr>
          <w:p w14:paraId="16E2FB2C"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4.50 (1.00, 15.00)</w:t>
            </w:r>
          </w:p>
        </w:tc>
        <w:tc>
          <w:tcPr>
            <w:tcW w:w="1871" w:type="dxa"/>
            <w:tcBorders>
              <w:top w:val="nil"/>
              <w:left w:val="nil"/>
              <w:bottom w:val="nil"/>
              <w:right w:val="nil"/>
            </w:tcBorders>
            <w:shd w:val="clear" w:color="auto" w:fill="FFFFFF"/>
            <w:tcMar>
              <w:left w:w="67" w:type="dxa"/>
              <w:right w:w="67" w:type="dxa"/>
            </w:tcMar>
          </w:tcPr>
          <w:p w14:paraId="1CCA7C0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3.00 (1.00, 10.00)</w:t>
            </w:r>
          </w:p>
        </w:tc>
        <w:tc>
          <w:tcPr>
            <w:tcW w:w="1871" w:type="dxa"/>
            <w:tcBorders>
              <w:top w:val="nil"/>
              <w:left w:val="nil"/>
              <w:bottom w:val="nil"/>
              <w:right w:val="nil"/>
            </w:tcBorders>
            <w:shd w:val="clear" w:color="auto" w:fill="FFFFFF"/>
            <w:tcMar>
              <w:left w:w="67" w:type="dxa"/>
              <w:right w:w="67" w:type="dxa"/>
            </w:tcMar>
          </w:tcPr>
          <w:p w14:paraId="1F052FD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5.50 (2.00, 14.00)</w:t>
            </w:r>
          </w:p>
        </w:tc>
        <w:tc>
          <w:tcPr>
            <w:tcW w:w="1871" w:type="dxa"/>
            <w:tcBorders>
              <w:top w:val="nil"/>
              <w:left w:val="nil"/>
              <w:bottom w:val="nil"/>
              <w:right w:val="nil"/>
            </w:tcBorders>
            <w:shd w:val="clear" w:color="auto" w:fill="FFFFFF"/>
            <w:tcMar>
              <w:left w:w="67" w:type="dxa"/>
              <w:right w:w="67" w:type="dxa"/>
            </w:tcMar>
          </w:tcPr>
          <w:p w14:paraId="2508813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4.00 (1.00, 13.00)</w:t>
            </w:r>
          </w:p>
        </w:tc>
        <w:tc>
          <w:tcPr>
            <w:tcW w:w="1871" w:type="dxa"/>
            <w:tcBorders>
              <w:top w:val="nil"/>
              <w:left w:val="nil"/>
              <w:bottom w:val="nil"/>
              <w:right w:val="single" w:sz="11" w:space="0" w:color="000000"/>
            </w:tcBorders>
            <w:shd w:val="clear" w:color="auto" w:fill="FFFFFF"/>
            <w:tcMar>
              <w:left w:w="67" w:type="dxa"/>
              <w:right w:w="67" w:type="dxa"/>
            </w:tcMar>
          </w:tcPr>
          <w:p w14:paraId="5252642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4.00 (1.00, 15.00)</w:t>
            </w:r>
          </w:p>
        </w:tc>
      </w:tr>
      <w:tr w:rsidR="009A3C2D" w:rsidRPr="0082484A" w14:paraId="5066D411" w14:textId="77777777" w:rsidTr="00272145">
        <w:trPr>
          <w:cantSplit/>
          <w:jc w:val="center"/>
        </w:trPr>
        <w:tc>
          <w:tcPr>
            <w:tcW w:w="1644" w:type="dxa"/>
            <w:tcBorders>
              <w:top w:val="nil"/>
              <w:left w:val="single" w:sz="11" w:space="0" w:color="000000"/>
              <w:bottom w:val="single" w:sz="11" w:space="0" w:color="000000"/>
              <w:right w:val="nil"/>
            </w:tcBorders>
            <w:shd w:val="clear" w:color="auto" w:fill="FFFFFF"/>
            <w:tcMar>
              <w:left w:w="67" w:type="dxa"/>
              <w:right w:w="67" w:type="dxa"/>
            </w:tcMar>
          </w:tcPr>
          <w:p w14:paraId="59557948"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3F1AA103"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7B9FD278"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3D5A3264"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nil"/>
            </w:tcBorders>
            <w:shd w:val="clear" w:color="auto" w:fill="FFFFFF"/>
            <w:tcMar>
              <w:left w:w="67" w:type="dxa"/>
              <w:right w:w="67" w:type="dxa"/>
            </w:tcMar>
          </w:tcPr>
          <w:p w14:paraId="484BF647"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871" w:type="dxa"/>
            <w:tcBorders>
              <w:top w:val="nil"/>
              <w:left w:val="nil"/>
              <w:bottom w:val="single" w:sz="11" w:space="0" w:color="000000"/>
              <w:right w:val="single" w:sz="11" w:space="0" w:color="000000"/>
            </w:tcBorders>
            <w:shd w:val="clear" w:color="auto" w:fill="FFFFFF"/>
            <w:tcMar>
              <w:left w:w="67" w:type="dxa"/>
              <w:right w:w="67" w:type="dxa"/>
            </w:tcMar>
          </w:tcPr>
          <w:p w14:paraId="2533D45E"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r>
    </w:tbl>
    <w:p w14:paraId="13E279AE" w14:textId="77777777" w:rsidR="009A3C2D" w:rsidRPr="0082484A" w:rsidRDefault="009A3C2D" w:rsidP="009A3C2D">
      <w:pPr>
        <w:spacing w:before="0" w:after="160" w:line="259" w:lineRule="auto"/>
        <w:rPr>
          <w:rFonts w:eastAsia="Calibri"/>
          <w:color w:val="FF0000"/>
          <w:sz w:val="22"/>
          <w:szCs w:val="22"/>
        </w:rPr>
      </w:pPr>
    </w:p>
    <w:p w14:paraId="2AFA324B" w14:textId="77777777" w:rsidR="001D1443" w:rsidRPr="0082484A" w:rsidRDefault="001D1443">
      <w:pPr>
        <w:spacing w:before="0" w:after="200"/>
        <w:rPr>
          <w:bCs/>
          <w:sz w:val="22"/>
          <w:szCs w:val="22"/>
        </w:rPr>
      </w:pPr>
      <w:bookmarkStart w:id="292" w:name="_Ref501107921"/>
      <w:bookmarkStart w:id="293" w:name="_Toc8728155"/>
      <w:r w:rsidRPr="0082484A">
        <w:rPr>
          <w:bCs/>
          <w:sz w:val="22"/>
          <w:szCs w:val="22"/>
        </w:rPr>
        <w:br w:type="page"/>
      </w:r>
    </w:p>
    <w:p w14:paraId="7262B218" w14:textId="45AFD53E" w:rsidR="009A3C2D" w:rsidRPr="0082484A" w:rsidRDefault="009A3C2D" w:rsidP="009A3C2D">
      <w:pPr>
        <w:spacing w:before="0" w:line="240" w:lineRule="auto"/>
        <w:rPr>
          <w:rFonts w:eastAsia="Times New Roman"/>
          <w:sz w:val="22"/>
          <w:szCs w:val="22"/>
          <w:lang w:eastAsia="en-GB"/>
        </w:rPr>
      </w:pPr>
      <w:bookmarkStart w:id="294" w:name="_Toc19526808"/>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79</w:t>
      </w:r>
      <w:r w:rsidRPr="0082484A">
        <w:rPr>
          <w:bCs/>
          <w:noProof/>
          <w:sz w:val="22"/>
          <w:szCs w:val="22"/>
        </w:rPr>
        <w:fldChar w:fldCharType="end"/>
      </w:r>
      <w:bookmarkEnd w:id="292"/>
      <w:r w:rsidRPr="0082484A">
        <w:rPr>
          <w:bCs/>
          <w:sz w:val="22"/>
          <w:szCs w:val="22"/>
        </w:rPr>
        <w:t>: Number of practices with clinical topic key leaders present at outreach visit 1 (by trial arm) (WP5)</w:t>
      </w:r>
      <w:bookmarkEnd w:id="293"/>
      <w:bookmarkEnd w:id="294"/>
    </w:p>
    <w:tbl>
      <w:tblPr>
        <w:tblW w:w="9484" w:type="dxa"/>
        <w:tblLayout w:type="fixed"/>
        <w:tblCellMar>
          <w:left w:w="0" w:type="dxa"/>
          <w:right w:w="0" w:type="dxa"/>
        </w:tblCellMar>
        <w:tblLook w:val="0000" w:firstRow="0" w:lastRow="0" w:firstColumn="0" w:lastColumn="0" w:noHBand="0" w:noVBand="0"/>
      </w:tblPr>
      <w:tblGrid>
        <w:gridCol w:w="1888"/>
        <w:gridCol w:w="1500"/>
        <w:gridCol w:w="1560"/>
        <w:gridCol w:w="1275"/>
        <w:gridCol w:w="1560"/>
        <w:gridCol w:w="1701"/>
      </w:tblGrid>
      <w:tr w:rsidR="009A3C2D" w:rsidRPr="0082484A" w14:paraId="239FD674" w14:textId="77777777" w:rsidTr="0082484A">
        <w:trPr>
          <w:cantSplit/>
          <w:tblHeader/>
        </w:trPr>
        <w:tc>
          <w:tcPr>
            <w:tcW w:w="188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4F57312A"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bookmarkStart w:id="295" w:name="IDX20"/>
            <w:bookmarkEnd w:id="295"/>
            <w:r w:rsidRPr="0082484A">
              <w:rPr>
                <w:rFonts w:eastAsia="Times New Roman"/>
                <w:bCs/>
                <w:sz w:val="22"/>
                <w:szCs w:val="22"/>
                <w:lang w:eastAsia="en-GB"/>
              </w:rPr>
              <w:t>Key leaders present</w:t>
            </w:r>
          </w:p>
        </w:tc>
        <w:tc>
          <w:tcPr>
            <w:tcW w:w="150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F05E83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(n=20)</w:t>
            </w:r>
          </w:p>
        </w:tc>
        <w:tc>
          <w:tcPr>
            <w:tcW w:w="156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0AA0BD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(n=25)</w:t>
            </w:r>
          </w:p>
        </w:tc>
        <w:tc>
          <w:tcPr>
            <w:tcW w:w="1275"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6947DF0"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Blood pressure control (n=11)</w:t>
            </w:r>
          </w:p>
        </w:tc>
        <w:tc>
          <w:tcPr>
            <w:tcW w:w="156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9B02353"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(n=11)</w:t>
            </w:r>
          </w:p>
        </w:tc>
        <w:tc>
          <w:tcPr>
            <w:tcW w:w="170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54802E7"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46A42EAF"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(n=67)</w:t>
            </w:r>
          </w:p>
        </w:tc>
      </w:tr>
      <w:tr w:rsidR="009A3C2D" w:rsidRPr="0082484A" w14:paraId="48DAF1B9" w14:textId="77777777" w:rsidTr="0082484A">
        <w:trPr>
          <w:cantSplit/>
        </w:trPr>
        <w:tc>
          <w:tcPr>
            <w:tcW w:w="1888" w:type="dxa"/>
            <w:tcBorders>
              <w:top w:val="nil"/>
              <w:left w:val="single" w:sz="11" w:space="0" w:color="000000"/>
              <w:bottom w:val="nil"/>
              <w:right w:val="nil"/>
            </w:tcBorders>
            <w:shd w:val="clear" w:color="auto" w:fill="FFFFFF"/>
            <w:tcMar>
              <w:left w:w="67" w:type="dxa"/>
              <w:right w:w="67" w:type="dxa"/>
            </w:tcMar>
          </w:tcPr>
          <w:p w14:paraId="45F2E2A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500" w:type="dxa"/>
            <w:tcBorders>
              <w:top w:val="nil"/>
              <w:left w:val="nil"/>
              <w:bottom w:val="nil"/>
              <w:right w:val="nil"/>
            </w:tcBorders>
            <w:shd w:val="clear" w:color="auto" w:fill="FFFFFF"/>
            <w:tcMar>
              <w:left w:w="67" w:type="dxa"/>
              <w:right w:w="67" w:type="dxa"/>
            </w:tcMar>
          </w:tcPr>
          <w:p w14:paraId="11EEEC1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17 (85.00%)</w:t>
            </w:r>
          </w:p>
        </w:tc>
        <w:tc>
          <w:tcPr>
            <w:tcW w:w="1560" w:type="dxa"/>
            <w:tcBorders>
              <w:top w:val="nil"/>
              <w:left w:val="nil"/>
              <w:bottom w:val="nil"/>
              <w:right w:val="nil"/>
            </w:tcBorders>
            <w:shd w:val="clear" w:color="auto" w:fill="FFFFFF"/>
            <w:tcMar>
              <w:left w:w="67" w:type="dxa"/>
              <w:right w:w="67" w:type="dxa"/>
            </w:tcMar>
          </w:tcPr>
          <w:p w14:paraId="15E37DF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25 (100.00%)</w:t>
            </w:r>
          </w:p>
        </w:tc>
        <w:tc>
          <w:tcPr>
            <w:tcW w:w="1275" w:type="dxa"/>
            <w:tcBorders>
              <w:top w:val="nil"/>
              <w:left w:val="nil"/>
              <w:bottom w:val="nil"/>
              <w:right w:val="nil"/>
            </w:tcBorders>
            <w:shd w:val="clear" w:color="auto" w:fill="FFFFFF"/>
            <w:tcMar>
              <w:left w:w="67" w:type="dxa"/>
              <w:right w:w="67" w:type="dxa"/>
            </w:tcMar>
          </w:tcPr>
          <w:p w14:paraId="5363C671"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9 (81.82%)</w:t>
            </w:r>
          </w:p>
        </w:tc>
        <w:tc>
          <w:tcPr>
            <w:tcW w:w="1560" w:type="dxa"/>
            <w:tcBorders>
              <w:top w:val="nil"/>
              <w:left w:val="nil"/>
              <w:bottom w:val="nil"/>
              <w:right w:val="nil"/>
            </w:tcBorders>
            <w:shd w:val="clear" w:color="auto" w:fill="FFFFFF"/>
            <w:tcMar>
              <w:left w:w="67" w:type="dxa"/>
              <w:right w:w="67" w:type="dxa"/>
            </w:tcMar>
          </w:tcPr>
          <w:p w14:paraId="35C0BDDC"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11 (100.00%)</w:t>
            </w:r>
          </w:p>
        </w:tc>
        <w:tc>
          <w:tcPr>
            <w:tcW w:w="1701" w:type="dxa"/>
            <w:tcBorders>
              <w:top w:val="nil"/>
              <w:left w:val="nil"/>
              <w:bottom w:val="nil"/>
              <w:right w:val="single" w:sz="11" w:space="0" w:color="000000"/>
            </w:tcBorders>
            <w:shd w:val="clear" w:color="auto" w:fill="FFFFFF"/>
            <w:tcMar>
              <w:left w:w="67" w:type="dxa"/>
              <w:right w:w="67" w:type="dxa"/>
            </w:tcMar>
          </w:tcPr>
          <w:p w14:paraId="3E406E7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62 (92.54%)</w:t>
            </w:r>
          </w:p>
        </w:tc>
      </w:tr>
      <w:tr w:rsidR="009A3C2D" w:rsidRPr="0082484A" w14:paraId="2B772A2A" w14:textId="77777777" w:rsidTr="0082484A">
        <w:trPr>
          <w:cantSplit/>
        </w:trPr>
        <w:tc>
          <w:tcPr>
            <w:tcW w:w="1888" w:type="dxa"/>
            <w:tcBorders>
              <w:top w:val="nil"/>
              <w:left w:val="single" w:sz="11" w:space="0" w:color="000000"/>
              <w:bottom w:val="nil"/>
              <w:right w:val="nil"/>
            </w:tcBorders>
            <w:shd w:val="clear" w:color="auto" w:fill="FFFFFF"/>
            <w:tcMar>
              <w:left w:w="67" w:type="dxa"/>
              <w:right w:w="67" w:type="dxa"/>
            </w:tcMar>
          </w:tcPr>
          <w:p w14:paraId="127810E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500" w:type="dxa"/>
            <w:tcBorders>
              <w:top w:val="nil"/>
              <w:left w:val="nil"/>
              <w:bottom w:val="nil"/>
              <w:right w:val="nil"/>
            </w:tcBorders>
            <w:shd w:val="clear" w:color="auto" w:fill="FFFFFF"/>
            <w:tcMar>
              <w:left w:w="67" w:type="dxa"/>
              <w:right w:w="67" w:type="dxa"/>
            </w:tcMar>
          </w:tcPr>
          <w:p w14:paraId="232D982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 (15.00%)</w:t>
            </w:r>
          </w:p>
        </w:tc>
        <w:tc>
          <w:tcPr>
            <w:tcW w:w="1560" w:type="dxa"/>
            <w:tcBorders>
              <w:top w:val="nil"/>
              <w:left w:val="nil"/>
              <w:bottom w:val="nil"/>
              <w:right w:val="nil"/>
            </w:tcBorders>
            <w:shd w:val="clear" w:color="auto" w:fill="FFFFFF"/>
            <w:tcMar>
              <w:left w:w="67" w:type="dxa"/>
              <w:right w:w="67" w:type="dxa"/>
            </w:tcMar>
          </w:tcPr>
          <w:p w14:paraId="27330462"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275" w:type="dxa"/>
            <w:tcBorders>
              <w:top w:val="nil"/>
              <w:left w:val="nil"/>
              <w:bottom w:val="nil"/>
              <w:right w:val="nil"/>
            </w:tcBorders>
            <w:shd w:val="clear" w:color="auto" w:fill="FFFFFF"/>
            <w:tcMar>
              <w:left w:w="67" w:type="dxa"/>
              <w:right w:w="67" w:type="dxa"/>
            </w:tcMar>
          </w:tcPr>
          <w:p w14:paraId="6B3BF2E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(18.18%)</w:t>
            </w:r>
          </w:p>
        </w:tc>
        <w:tc>
          <w:tcPr>
            <w:tcW w:w="1560" w:type="dxa"/>
            <w:tcBorders>
              <w:top w:val="nil"/>
              <w:left w:val="nil"/>
              <w:bottom w:val="nil"/>
              <w:right w:val="nil"/>
            </w:tcBorders>
            <w:shd w:val="clear" w:color="auto" w:fill="FFFFFF"/>
            <w:tcMar>
              <w:left w:w="67" w:type="dxa"/>
              <w:right w:w="67" w:type="dxa"/>
            </w:tcMar>
          </w:tcPr>
          <w:p w14:paraId="75E15BF4"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701" w:type="dxa"/>
            <w:tcBorders>
              <w:top w:val="nil"/>
              <w:left w:val="nil"/>
              <w:bottom w:val="nil"/>
              <w:right w:val="single" w:sz="11" w:space="0" w:color="000000"/>
            </w:tcBorders>
            <w:shd w:val="clear" w:color="auto" w:fill="FFFFFF"/>
            <w:tcMar>
              <w:left w:w="67" w:type="dxa"/>
              <w:right w:w="67" w:type="dxa"/>
            </w:tcMar>
          </w:tcPr>
          <w:p w14:paraId="6191A51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 (7.46%)</w:t>
            </w:r>
          </w:p>
        </w:tc>
      </w:tr>
      <w:tr w:rsidR="009A3C2D" w:rsidRPr="0082484A" w14:paraId="580D0E0A" w14:textId="77777777" w:rsidTr="0082484A">
        <w:trPr>
          <w:cantSplit/>
        </w:trPr>
        <w:tc>
          <w:tcPr>
            <w:tcW w:w="1888" w:type="dxa"/>
            <w:tcBorders>
              <w:top w:val="nil"/>
              <w:left w:val="single" w:sz="11" w:space="0" w:color="000000"/>
              <w:bottom w:val="single" w:sz="11" w:space="0" w:color="000000"/>
              <w:right w:val="nil"/>
            </w:tcBorders>
            <w:shd w:val="clear" w:color="auto" w:fill="FFFFFF"/>
            <w:tcMar>
              <w:left w:w="67" w:type="dxa"/>
              <w:right w:w="67" w:type="dxa"/>
            </w:tcMar>
          </w:tcPr>
          <w:p w14:paraId="159959B0"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500" w:type="dxa"/>
            <w:tcBorders>
              <w:top w:val="nil"/>
              <w:left w:val="nil"/>
              <w:bottom w:val="single" w:sz="11" w:space="0" w:color="000000"/>
              <w:right w:val="nil"/>
            </w:tcBorders>
            <w:shd w:val="clear" w:color="auto" w:fill="FFFFFF"/>
            <w:tcMar>
              <w:left w:w="67" w:type="dxa"/>
              <w:right w:w="67" w:type="dxa"/>
            </w:tcMar>
          </w:tcPr>
          <w:p w14:paraId="371272E7"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560" w:type="dxa"/>
            <w:tcBorders>
              <w:top w:val="nil"/>
              <w:left w:val="nil"/>
              <w:bottom w:val="single" w:sz="11" w:space="0" w:color="000000"/>
              <w:right w:val="nil"/>
            </w:tcBorders>
            <w:shd w:val="clear" w:color="auto" w:fill="FFFFFF"/>
            <w:tcMar>
              <w:left w:w="67" w:type="dxa"/>
              <w:right w:w="67" w:type="dxa"/>
            </w:tcMar>
          </w:tcPr>
          <w:p w14:paraId="59CEEA13"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275" w:type="dxa"/>
            <w:tcBorders>
              <w:top w:val="nil"/>
              <w:left w:val="nil"/>
              <w:bottom w:val="single" w:sz="11" w:space="0" w:color="000000"/>
              <w:right w:val="nil"/>
            </w:tcBorders>
            <w:shd w:val="clear" w:color="auto" w:fill="FFFFFF"/>
            <w:tcMar>
              <w:left w:w="67" w:type="dxa"/>
              <w:right w:w="67" w:type="dxa"/>
            </w:tcMar>
          </w:tcPr>
          <w:p w14:paraId="71F6B2CA"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560" w:type="dxa"/>
            <w:tcBorders>
              <w:top w:val="nil"/>
              <w:left w:val="nil"/>
              <w:bottom w:val="single" w:sz="11" w:space="0" w:color="000000"/>
              <w:right w:val="nil"/>
            </w:tcBorders>
            <w:shd w:val="clear" w:color="auto" w:fill="FFFFFF"/>
            <w:tcMar>
              <w:left w:w="67" w:type="dxa"/>
              <w:right w:w="67" w:type="dxa"/>
            </w:tcMar>
          </w:tcPr>
          <w:p w14:paraId="2035F20F"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c>
          <w:tcPr>
            <w:tcW w:w="1701" w:type="dxa"/>
            <w:tcBorders>
              <w:top w:val="nil"/>
              <w:left w:val="nil"/>
              <w:bottom w:val="single" w:sz="11" w:space="0" w:color="000000"/>
              <w:right w:val="single" w:sz="11" w:space="0" w:color="000000"/>
            </w:tcBorders>
            <w:shd w:val="clear" w:color="auto" w:fill="FFFFFF"/>
            <w:tcMar>
              <w:left w:w="67" w:type="dxa"/>
              <w:right w:w="67" w:type="dxa"/>
            </w:tcMar>
          </w:tcPr>
          <w:p w14:paraId="5093FAE5" w14:textId="77777777" w:rsidR="009A3C2D" w:rsidRPr="0082484A" w:rsidRDefault="009A3C2D" w:rsidP="009A3C2D">
            <w:pPr>
              <w:autoSpaceDE w:val="0"/>
              <w:autoSpaceDN w:val="0"/>
              <w:adjustRightInd w:val="0"/>
              <w:spacing w:before="67" w:after="67" w:line="240" w:lineRule="auto"/>
              <w:rPr>
                <w:rFonts w:eastAsia="Times New Roman"/>
                <w:color w:val="FF0000"/>
                <w:sz w:val="22"/>
                <w:szCs w:val="22"/>
                <w:lang w:eastAsia="en-GB"/>
              </w:rPr>
            </w:pPr>
          </w:p>
        </w:tc>
      </w:tr>
    </w:tbl>
    <w:p w14:paraId="07E0703A" w14:textId="77777777" w:rsidR="009A3C2D" w:rsidRPr="0082484A" w:rsidRDefault="009A3C2D" w:rsidP="009A3C2D">
      <w:pPr>
        <w:spacing w:before="0" w:after="160" w:line="259" w:lineRule="auto"/>
        <w:rPr>
          <w:rFonts w:eastAsia="Calibri"/>
          <w:color w:val="FF0000"/>
          <w:sz w:val="22"/>
          <w:szCs w:val="22"/>
        </w:rPr>
      </w:pPr>
    </w:p>
    <w:p w14:paraId="45098F0B" w14:textId="77777777" w:rsidR="001D1443" w:rsidRPr="0082484A" w:rsidRDefault="001D1443">
      <w:pPr>
        <w:spacing w:before="0" w:after="200"/>
        <w:rPr>
          <w:bCs/>
          <w:sz w:val="22"/>
          <w:szCs w:val="22"/>
        </w:rPr>
      </w:pPr>
      <w:bookmarkStart w:id="296" w:name="_Ref501107922"/>
      <w:bookmarkStart w:id="297" w:name="_Toc8728156"/>
      <w:r w:rsidRPr="0082484A">
        <w:rPr>
          <w:bCs/>
          <w:sz w:val="22"/>
          <w:szCs w:val="22"/>
        </w:rPr>
        <w:br w:type="page"/>
      </w:r>
    </w:p>
    <w:p w14:paraId="483E0556" w14:textId="5CEE37F2" w:rsidR="009A3C2D" w:rsidRPr="0082484A" w:rsidRDefault="009A3C2D" w:rsidP="009A3C2D">
      <w:pPr>
        <w:spacing w:before="0" w:line="240" w:lineRule="auto"/>
        <w:rPr>
          <w:rFonts w:eastAsia="Times New Roman"/>
          <w:sz w:val="22"/>
          <w:szCs w:val="22"/>
          <w:lang w:eastAsia="en-GB"/>
        </w:rPr>
      </w:pPr>
      <w:bookmarkStart w:id="298" w:name="_Toc19526809"/>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80</w:t>
      </w:r>
      <w:r w:rsidRPr="0082484A">
        <w:rPr>
          <w:bCs/>
          <w:noProof/>
          <w:sz w:val="22"/>
          <w:szCs w:val="22"/>
        </w:rPr>
        <w:fldChar w:fldCharType="end"/>
      </w:r>
      <w:bookmarkEnd w:id="296"/>
      <w:r w:rsidRPr="0082484A">
        <w:rPr>
          <w:bCs/>
          <w:sz w:val="22"/>
          <w:szCs w:val="22"/>
        </w:rPr>
        <w:t>: Number of practices with clinical topic key leaders present at outreach visit 2 (by trial arm) (WP5)</w:t>
      </w:r>
      <w:bookmarkEnd w:id="297"/>
      <w:bookmarkEnd w:id="298"/>
    </w:p>
    <w:tbl>
      <w:tblPr>
        <w:tblW w:w="0" w:type="auto"/>
        <w:tblLayout w:type="fixed"/>
        <w:tblCellMar>
          <w:left w:w="0" w:type="dxa"/>
          <w:right w:w="0" w:type="dxa"/>
        </w:tblCellMar>
        <w:tblLook w:val="0000" w:firstRow="0" w:lastRow="0" w:firstColumn="0" w:lastColumn="0" w:noHBand="0" w:noVBand="0"/>
      </w:tblPr>
      <w:tblGrid>
        <w:gridCol w:w="1404"/>
        <w:gridCol w:w="1649"/>
        <w:gridCol w:w="1328"/>
        <w:gridCol w:w="141"/>
        <w:gridCol w:w="1701"/>
        <w:gridCol w:w="1418"/>
        <w:gridCol w:w="1276"/>
      </w:tblGrid>
      <w:tr w:rsidR="009A3C2D" w:rsidRPr="0082484A" w14:paraId="398308B3" w14:textId="77777777" w:rsidTr="0082484A">
        <w:trPr>
          <w:cantSplit/>
          <w:tblHeader/>
        </w:trPr>
        <w:tc>
          <w:tcPr>
            <w:tcW w:w="1404"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E5F8ACA"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bookmarkStart w:id="299" w:name="IDX22"/>
            <w:bookmarkEnd w:id="299"/>
            <w:r w:rsidRPr="0082484A">
              <w:rPr>
                <w:rFonts w:eastAsia="Times New Roman"/>
                <w:bCs/>
                <w:sz w:val="22"/>
                <w:szCs w:val="22"/>
                <w:lang w:eastAsia="en-GB"/>
              </w:rPr>
              <w:t>Key leaders present</w:t>
            </w:r>
          </w:p>
        </w:tc>
        <w:tc>
          <w:tcPr>
            <w:tcW w:w="164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25C12FF"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w:t>
            </w:r>
          </w:p>
        </w:tc>
        <w:tc>
          <w:tcPr>
            <w:tcW w:w="132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151692D"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(n=3)</w:t>
            </w:r>
          </w:p>
        </w:tc>
        <w:tc>
          <w:tcPr>
            <w:tcW w:w="1842" w:type="dxa"/>
            <w:gridSpan w:val="2"/>
            <w:tcBorders>
              <w:top w:val="single" w:sz="11" w:space="0" w:color="000000"/>
              <w:left w:val="nil"/>
              <w:bottom w:val="single" w:sz="4" w:space="0" w:color="000000"/>
              <w:right w:val="nil"/>
            </w:tcBorders>
            <w:shd w:val="clear" w:color="auto" w:fill="FFFFFF"/>
            <w:tcMar>
              <w:left w:w="67" w:type="dxa"/>
              <w:right w:w="67" w:type="dxa"/>
            </w:tcMar>
            <w:vAlign w:val="bottom"/>
          </w:tcPr>
          <w:p w14:paraId="4B3CA117"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Blood pressure control (n=1)</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FFCD39B"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Anticoagulation in AF </w:t>
            </w:r>
          </w:p>
          <w:p w14:paraId="514EE2DC"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(n=2)</w:t>
            </w:r>
          </w:p>
        </w:tc>
        <w:tc>
          <w:tcPr>
            <w:tcW w:w="1276"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A61EE02"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79F4A5A1"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(n=8)</w:t>
            </w:r>
          </w:p>
        </w:tc>
      </w:tr>
      <w:tr w:rsidR="009A3C2D" w:rsidRPr="0082484A" w14:paraId="0EA3A00C" w14:textId="77777777" w:rsidTr="0082484A">
        <w:trPr>
          <w:cantSplit/>
        </w:trPr>
        <w:tc>
          <w:tcPr>
            <w:tcW w:w="1404" w:type="dxa"/>
            <w:tcBorders>
              <w:top w:val="nil"/>
              <w:left w:val="single" w:sz="11" w:space="0" w:color="000000"/>
              <w:bottom w:val="nil"/>
              <w:right w:val="nil"/>
            </w:tcBorders>
            <w:shd w:val="clear" w:color="auto" w:fill="FFFFFF"/>
            <w:tcMar>
              <w:left w:w="67" w:type="dxa"/>
              <w:right w:w="67" w:type="dxa"/>
            </w:tcMar>
          </w:tcPr>
          <w:p w14:paraId="72F1949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649" w:type="dxa"/>
            <w:tcBorders>
              <w:top w:val="nil"/>
              <w:left w:val="nil"/>
              <w:bottom w:val="nil"/>
              <w:right w:val="nil"/>
            </w:tcBorders>
            <w:shd w:val="clear" w:color="auto" w:fill="FFFFFF"/>
            <w:tcMar>
              <w:left w:w="67" w:type="dxa"/>
              <w:right w:w="67" w:type="dxa"/>
            </w:tcMar>
          </w:tcPr>
          <w:p w14:paraId="38DD5AD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(100.00%)</w:t>
            </w:r>
          </w:p>
        </w:tc>
        <w:tc>
          <w:tcPr>
            <w:tcW w:w="1469" w:type="dxa"/>
            <w:gridSpan w:val="2"/>
            <w:tcBorders>
              <w:top w:val="nil"/>
              <w:left w:val="nil"/>
              <w:bottom w:val="nil"/>
              <w:right w:val="nil"/>
            </w:tcBorders>
            <w:shd w:val="clear" w:color="auto" w:fill="FFFFFF"/>
            <w:tcMar>
              <w:left w:w="67" w:type="dxa"/>
              <w:right w:w="67" w:type="dxa"/>
            </w:tcMar>
          </w:tcPr>
          <w:p w14:paraId="1EF2ADC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(66.67%)</w:t>
            </w:r>
          </w:p>
        </w:tc>
        <w:tc>
          <w:tcPr>
            <w:tcW w:w="1701" w:type="dxa"/>
            <w:tcBorders>
              <w:top w:val="nil"/>
              <w:left w:val="nil"/>
              <w:bottom w:val="nil"/>
              <w:right w:val="nil"/>
            </w:tcBorders>
            <w:shd w:val="clear" w:color="auto" w:fill="FFFFFF"/>
            <w:tcMar>
              <w:left w:w="67" w:type="dxa"/>
              <w:right w:w="67" w:type="dxa"/>
            </w:tcMar>
          </w:tcPr>
          <w:p w14:paraId="5F0112D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(100.00%)</w:t>
            </w:r>
          </w:p>
        </w:tc>
        <w:tc>
          <w:tcPr>
            <w:tcW w:w="1418" w:type="dxa"/>
            <w:tcBorders>
              <w:top w:val="nil"/>
              <w:left w:val="nil"/>
              <w:bottom w:val="nil"/>
              <w:right w:val="nil"/>
            </w:tcBorders>
            <w:shd w:val="clear" w:color="auto" w:fill="FFFFFF"/>
            <w:tcMar>
              <w:left w:w="67" w:type="dxa"/>
              <w:right w:w="67" w:type="dxa"/>
            </w:tcMar>
          </w:tcPr>
          <w:p w14:paraId="473DA03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(100.00%)</w:t>
            </w:r>
          </w:p>
        </w:tc>
        <w:tc>
          <w:tcPr>
            <w:tcW w:w="1276" w:type="dxa"/>
            <w:tcBorders>
              <w:top w:val="nil"/>
              <w:left w:val="nil"/>
              <w:bottom w:val="nil"/>
              <w:right w:val="single" w:sz="11" w:space="0" w:color="000000"/>
            </w:tcBorders>
            <w:shd w:val="clear" w:color="auto" w:fill="FFFFFF"/>
            <w:tcMar>
              <w:left w:w="67" w:type="dxa"/>
              <w:right w:w="67" w:type="dxa"/>
            </w:tcMar>
          </w:tcPr>
          <w:p w14:paraId="2239634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7 (87.50%)</w:t>
            </w:r>
          </w:p>
        </w:tc>
      </w:tr>
      <w:tr w:rsidR="009A3C2D" w:rsidRPr="0082484A" w14:paraId="1AF6B529" w14:textId="77777777" w:rsidTr="0082484A">
        <w:trPr>
          <w:cantSplit/>
        </w:trPr>
        <w:tc>
          <w:tcPr>
            <w:tcW w:w="1404" w:type="dxa"/>
            <w:tcBorders>
              <w:top w:val="nil"/>
              <w:left w:val="single" w:sz="11" w:space="0" w:color="000000"/>
              <w:bottom w:val="nil"/>
              <w:right w:val="nil"/>
            </w:tcBorders>
            <w:shd w:val="clear" w:color="auto" w:fill="FFFFFF"/>
            <w:tcMar>
              <w:left w:w="67" w:type="dxa"/>
              <w:right w:w="67" w:type="dxa"/>
            </w:tcMar>
          </w:tcPr>
          <w:p w14:paraId="363FB7B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649" w:type="dxa"/>
            <w:tcBorders>
              <w:top w:val="nil"/>
              <w:left w:val="nil"/>
              <w:bottom w:val="nil"/>
              <w:right w:val="nil"/>
            </w:tcBorders>
            <w:shd w:val="clear" w:color="auto" w:fill="FFFFFF"/>
            <w:tcMar>
              <w:left w:w="67" w:type="dxa"/>
              <w:right w:w="67" w:type="dxa"/>
            </w:tcMar>
          </w:tcPr>
          <w:p w14:paraId="45789D2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69" w:type="dxa"/>
            <w:gridSpan w:val="2"/>
            <w:tcBorders>
              <w:top w:val="nil"/>
              <w:left w:val="nil"/>
              <w:bottom w:val="nil"/>
              <w:right w:val="nil"/>
            </w:tcBorders>
            <w:shd w:val="clear" w:color="auto" w:fill="FFFFFF"/>
            <w:tcMar>
              <w:left w:w="67" w:type="dxa"/>
              <w:right w:w="67" w:type="dxa"/>
            </w:tcMar>
          </w:tcPr>
          <w:p w14:paraId="3F31FD0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(33.33%)</w:t>
            </w:r>
          </w:p>
        </w:tc>
        <w:tc>
          <w:tcPr>
            <w:tcW w:w="1701" w:type="dxa"/>
            <w:tcBorders>
              <w:top w:val="nil"/>
              <w:left w:val="nil"/>
              <w:bottom w:val="nil"/>
              <w:right w:val="nil"/>
            </w:tcBorders>
            <w:shd w:val="clear" w:color="auto" w:fill="FFFFFF"/>
            <w:tcMar>
              <w:left w:w="67" w:type="dxa"/>
              <w:right w:w="67" w:type="dxa"/>
            </w:tcMar>
          </w:tcPr>
          <w:p w14:paraId="7BC47B76"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18" w:type="dxa"/>
            <w:tcBorders>
              <w:top w:val="nil"/>
              <w:left w:val="nil"/>
              <w:bottom w:val="nil"/>
              <w:right w:val="nil"/>
            </w:tcBorders>
            <w:shd w:val="clear" w:color="auto" w:fill="FFFFFF"/>
            <w:tcMar>
              <w:left w:w="67" w:type="dxa"/>
              <w:right w:w="67" w:type="dxa"/>
            </w:tcMar>
          </w:tcPr>
          <w:p w14:paraId="3BC1451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276" w:type="dxa"/>
            <w:tcBorders>
              <w:top w:val="nil"/>
              <w:left w:val="nil"/>
              <w:bottom w:val="nil"/>
              <w:right w:val="single" w:sz="11" w:space="0" w:color="000000"/>
            </w:tcBorders>
            <w:shd w:val="clear" w:color="auto" w:fill="FFFFFF"/>
            <w:tcMar>
              <w:left w:w="67" w:type="dxa"/>
              <w:right w:w="67" w:type="dxa"/>
            </w:tcMar>
          </w:tcPr>
          <w:p w14:paraId="0085756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(12.50%)</w:t>
            </w:r>
          </w:p>
        </w:tc>
      </w:tr>
      <w:tr w:rsidR="009A3C2D" w:rsidRPr="0082484A" w14:paraId="3AD032B2" w14:textId="77777777" w:rsidTr="0082484A">
        <w:trPr>
          <w:cantSplit/>
        </w:trPr>
        <w:tc>
          <w:tcPr>
            <w:tcW w:w="1404" w:type="dxa"/>
            <w:tcBorders>
              <w:top w:val="nil"/>
              <w:left w:val="single" w:sz="11" w:space="0" w:color="000000"/>
              <w:bottom w:val="single" w:sz="11" w:space="0" w:color="000000"/>
              <w:right w:val="nil"/>
            </w:tcBorders>
            <w:shd w:val="clear" w:color="auto" w:fill="FFFFFF"/>
            <w:tcMar>
              <w:left w:w="67" w:type="dxa"/>
              <w:right w:w="67" w:type="dxa"/>
            </w:tcMar>
          </w:tcPr>
          <w:p w14:paraId="0590A23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649" w:type="dxa"/>
            <w:tcBorders>
              <w:top w:val="nil"/>
              <w:left w:val="nil"/>
              <w:bottom w:val="single" w:sz="11" w:space="0" w:color="000000"/>
              <w:right w:val="nil"/>
            </w:tcBorders>
            <w:shd w:val="clear" w:color="auto" w:fill="FFFFFF"/>
            <w:tcMar>
              <w:left w:w="67" w:type="dxa"/>
              <w:right w:w="67" w:type="dxa"/>
            </w:tcMar>
          </w:tcPr>
          <w:p w14:paraId="18ABDF6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69" w:type="dxa"/>
            <w:gridSpan w:val="2"/>
            <w:tcBorders>
              <w:top w:val="nil"/>
              <w:left w:val="nil"/>
              <w:bottom w:val="single" w:sz="11" w:space="0" w:color="000000"/>
              <w:right w:val="nil"/>
            </w:tcBorders>
            <w:shd w:val="clear" w:color="auto" w:fill="FFFFFF"/>
            <w:tcMar>
              <w:left w:w="67" w:type="dxa"/>
              <w:right w:w="67" w:type="dxa"/>
            </w:tcMar>
          </w:tcPr>
          <w:p w14:paraId="14A726B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701" w:type="dxa"/>
            <w:tcBorders>
              <w:top w:val="nil"/>
              <w:left w:val="nil"/>
              <w:bottom w:val="single" w:sz="11" w:space="0" w:color="000000"/>
              <w:right w:val="nil"/>
            </w:tcBorders>
            <w:shd w:val="clear" w:color="auto" w:fill="FFFFFF"/>
            <w:tcMar>
              <w:left w:w="67" w:type="dxa"/>
              <w:right w:w="67" w:type="dxa"/>
            </w:tcMar>
          </w:tcPr>
          <w:p w14:paraId="6B84E89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18" w:type="dxa"/>
            <w:tcBorders>
              <w:top w:val="nil"/>
              <w:left w:val="nil"/>
              <w:bottom w:val="single" w:sz="11" w:space="0" w:color="000000"/>
              <w:right w:val="nil"/>
            </w:tcBorders>
            <w:shd w:val="clear" w:color="auto" w:fill="FFFFFF"/>
            <w:tcMar>
              <w:left w:w="67" w:type="dxa"/>
              <w:right w:w="67" w:type="dxa"/>
            </w:tcMar>
          </w:tcPr>
          <w:p w14:paraId="64DC1AEC"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276" w:type="dxa"/>
            <w:tcBorders>
              <w:top w:val="nil"/>
              <w:left w:val="nil"/>
              <w:bottom w:val="single" w:sz="11" w:space="0" w:color="000000"/>
              <w:right w:val="single" w:sz="11" w:space="0" w:color="000000"/>
            </w:tcBorders>
            <w:shd w:val="clear" w:color="auto" w:fill="FFFFFF"/>
            <w:tcMar>
              <w:left w:w="67" w:type="dxa"/>
              <w:right w:w="67" w:type="dxa"/>
            </w:tcMar>
          </w:tcPr>
          <w:p w14:paraId="6B01B02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r>
    </w:tbl>
    <w:p w14:paraId="60359ED2" w14:textId="77777777" w:rsidR="009A3C2D" w:rsidRPr="0082484A" w:rsidRDefault="009A3C2D" w:rsidP="009A3C2D">
      <w:pPr>
        <w:spacing w:before="0" w:after="160" w:line="259" w:lineRule="auto"/>
        <w:rPr>
          <w:rFonts w:eastAsia="Calibri"/>
          <w:color w:val="FF0000"/>
          <w:sz w:val="22"/>
          <w:szCs w:val="22"/>
        </w:rPr>
      </w:pPr>
    </w:p>
    <w:p w14:paraId="2F9D1B0A" w14:textId="14DFBD88" w:rsidR="00B26806" w:rsidRPr="0082484A" w:rsidRDefault="00B26806" w:rsidP="00B26806">
      <w:pPr>
        <w:spacing w:before="0" w:line="240" w:lineRule="auto"/>
        <w:rPr>
          <w:rFonts w:eastAsia="Times New Roman"/>
          <w:sz w:val="22"/>
          <w:szCs w:val="22"/>
          <w:lang w:eastAsia="en-GB"/>
        </w:rPr>
      </w:pPr>
      <w:bookmarkStart w:id="300" w:name="_Toc19526810"/>
      <w:bookmarkStart w:id="301" w:name="_Ref501107926"/>
      <w:bookmarkStart w:id="302" w:name="_Toc8728157"/>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81</w:t>
      </w:r>
      <w:r w:rsidRPr="0082484A">
        <w:rPr>
          <w:bCs/>
          <w:noProof/>
          <w:sz w:val="22"/>
          <w:szCs w:val="22"/>
        </w:rPr>
        <w:fldChar w:fldCharType="end"/>
      </w:r>
      <w:r w:rsidRPr="0082484A">
        <w:rPr>
          <w:bCs/>
          <w:sz w:val="22"/>
          <w:szCs w:val="22"/>
        </w:rPr>
        <w:t>: Number of practices developing action plans following receipt of outreach visit 2 (by trial arm) (WP5)</w:t>
      </w:r>
      <w:bookmarkEnd w:id="300"/>
    </w:p>
    <w:tbl>
      <w:tblPr>
        <w:tblW w:w="0" w:type="auto"/>
        <w:tblLayout w:type="fixed"/>
        <w:tblCellMar>
          <w:left w:w="0" w:type="dxa"/>
          <w:right w:w="0" w:type="dxa"/>
        </w:tblCellMar>
        <w:tblLook w:val="0000" w:firstRow="0" w:lastRow="0" w:firstColumn="0" w:lastColumn="0" w:noHBand="0" w:noVBand="0"/>
      </w:tblPr>
      <w:tblGrid>
        <w:gridCol w:w="1417"/>
        <w:gridCol w:w="1474"/>
        <w:gridCol w:w="1474"/>
        <w:gridCol w:w="1474"/>
        <w:gridCol w:w="1474"/>
        <w:gridCol w:w="1474"/>
      </w:tblGrid>
      <w:tr w:rsidR="00B26806" w:rsidRPr="0082484A" w14:paraId="04B378D6" w14:textId="77777777" w:rsidTr="00B26806">
        <w:trPr>
          <w:cantSplit/>
          <w:tblHeader/>
        </w:trPr>
        <w:tc>
          <w:tcPr>
            <w:tcW w:w="1417"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9231717"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Action plan developed and received</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3999A3"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Diabetes control </w:t>
            </w:r>
          </w:p>
          <w:p w14:paraId="46C7B23E"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(n=2)</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760DDEEB"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(n=3)</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D2DDAE1"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Blood pressure control </w:t>
            </w:r>
          </w:p>
          <w:p w14:paraId="3332A6CE"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(n=1)</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9360819"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(n=2)</w:t>
            </w:r>
          </w:p>
        </w:tc>
        <w:tc>
          <w:tcPr>
            <w:tcW w:w="147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68E18A0F"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2F7A5FA1"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(n=8)</w:t>
            </w:r>
          </w:p>
        </w:tc>
      </w:tr>
      <w:tr w:rsidR="00B26806" w:rsidRPr="0082484A" w14:paraId="2D4AB148" w14:textId="77777777" w:rsidTr="00B26806">
        <w:trPr>
          <w:cantSplit/>
        </w:trPr>
        <w:tc>
          <w:tcPr>
            <w:tcW w:w="1417" w:type="dxa"/>
            <w:tcBorders>
              <w:top w:val="nil"/>
              <w:left w:val="single" w:sz="11" w:space="0" w:color="000000"/>
              <w:bottom w:val="nil"/>
              <w:right w:val="nil"/>
            </w:tcBorders>
            <w:shd w:val="clear" w:color="auto" w:fill="FFFFFF"/>
            <w:tcMar>
              <w:left w:w="67" w:type="dxa"/>
              <w:right w:w="67" w:type="dxa"/>
            </w:tcMar>
          </w:tcPr>
          <w:p w14:paraId="742F58F2"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474" w:type="dxa"/>
            <w:tcBorders>
              <w:top w:val="nil"/>
              <w:left w:val="nil"/>
              <w:bottom w:val="nil"/>
              <w:right w:val="nil"/>
            </w:tcBorders>
            <w:shd w:val="clear" w:color="auto" w:fill="FFFFFF"/>
            <w:tcMar>
              <w:left w:w="67" w:type="dxa"/>
              <w:right w:w="67" w:type="dxa"/>
            </w:tcMar>
          </w:tcPr>
          <w:p w14:paraId="57742663"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(50.00%)</w:t>
            </w:r>
          </w:p>
        </w:tc>
        <w:tc>
          <w:tcPr>
            <w:tcW w:w="1474" w:type="dxa"/>
            <w:tcBorders>
              <w:top w:val="nil"/>
              <w:left w:val="nil"/>
              <w:bottom w:val="nil"/>
              <w:right w:val="nil"/>
            </w:tcBorders>
            <w:shd w:val="clear" w:color="auto" w:fill="FFFFFF"/>
            <w:tcMar>
              <w:left w:w="67" w:type="dxa"/>
              <w:right w:w="67" w:type="dxa"/>
            </w:tcMar>
          </w:tcPr>
          <w:p w14:paraId="1DF18227"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(66.67%)</w:t>
            </w:r>
          </w:p>
        </w:tc>
        <w:tc>
          <w:tcPr>
            <w:tcW w:w="1474" w:type="dxa"/>
            <w:tcBorders>
              <w:top w:val="nil"/>
              <w:left w:val="nil"/>
              <w:bottom w:val="nil"/>
              <w:right w:val="nil"/>
            </w:tcBorders>
            <w:shd w:val="clear" w:color="auto" w:fill="FFFFFF"/>
            <w:tcMar>
              <w:left w:w="67" w:type="dxa"/>
              <w:right w:w="67" w:type="dxa"/>
            </w:tcMar>
          </w:tcPr>
          <w:p w14:paraId="551AD202"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(100.00%)</w:t>
            </w:r>
          </w:p>
        </w:tc>
        <w:tc>
          <w:tcPr>
            <w:tcW w:w="1474" w:type="dxa"/>
            <w:tcBorders>
              <w:top w:val="nil"/>
              <w:left w:val="nil"/>
              <w:bottom w:val="nil"/>
              <w:right w:val="nil"/>
            </w:tcBorders>
            <w:shd w:val="clear" w:color="auto" w:fill="FFFFFF"/>
            <w:tcMar>
              <w:left w:w="67" w:type="dxa"/>
              <w:right w:w="67" w:type="dxa"/>
            </w:tcMar>
          </w:tcPr>
          <w:p w14:paraId="00F76747"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74" w:type="dxa"/>
            <w:tcBorders>
              <w:top w:val="nil"/>
              <w:left w:val="nil"/>
              <w:bottom w:val="nil"/>
              <w:right w:val="single" w:sz="11" w:space="0" w:color="000000"/>
            </w:tcBorders>
            <w:shd w:val="clear" w:color="auto" w:fill="FFFFFF"/>
            <w:tcMar>
              <w:left w:w="67" w:type="dxa"/>
              <w:right w:w="67" w:type="dxa"/>
            </w:tcMar>
          </w:tcPr>
          <w:p w14:paraId="2E41CC63"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 (50.00%)</w:t>
            </w:r>
          </w:p>
        </w:tc>
      </w:tr>
      <w:tr w:rsidR="00B26806" w:rsidRPr="0082484A" w14:paraId="4A984801" w14:textId="77777777" w:rsidTr="00B26806">
        <w:trPr>
          <w:cantSplit/>
        </w:trPr>
        <w:tc>
          <w:tcPr>
            <w:tcW w:w="1417" w:type="dxa"/>
            <w:tcBorders>
              <w:top w:val="nil"/>
              <w:left w:val="single" w:sz="11" w:space="0" w:color="000000"/>
              <w:bottom w:val="nil"/>
              <w:right w:val="nil"/>
            </w:tcBorders>
            <w:shd w:val="clear" w:color="auto" w:fill="FFFFFF"/>
            <w:tcMar>
              <w:left w:w="67" w:type="dxa"/>
              <w:right w:w="67" w:type="dxa"/>
            </w:tcMar>
          </w:tcPr>
          <w:p w14:paraId="257FE8CB"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474" w:type="dxa"/>
            <w:tcBorders>
              <w:top w:val="nil"/>
              <w:left w:val="nil"/>
              <w:bottom w:val="nil"/>
              <w:right w:val="nil"/>
            </w:tcBorders>
            <w:shd w:val="clear" w:color="auto" w:fill="FFFFFF"/>
            <w:tcMar>
              <w:left w:w="67" w:type="dxa"/>
              <w:right w:w="67" w:type="dxa"/>
            </w:tcMar>
          </w:tcPr>
          <w:p w14:paraId="37127678"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(50.00%)</w:t>
            </w:r>
          </w:p>
        </w:tc>
        <w:tc>
          <w:tcPr>
            <w:tcW w:w="1474" w:type="dxa"/>
            <w:tcBorders>
              <w:top w:val="nil"/>
              <w:left w:val="nil"/>
              <w:bottom w:val="nil"/>
              <w:right w:val="nil"/>
            </w:tcBorders>
            <w:shd w:val="clear" w:color="auto" w:fill="FFFFFF"/>
            <w:tcMar>
              <w:left w:w="67" w:type="dxa"/>
              <w:right w:w="67" w:type="dxa"/>
            </w:tcMar>
          </w:tcPr>
          <w:p w14:paraId="5A57BD0F"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(33.33%)</w:t>
            </w:r>
          </w:p>
        </w:tc>
        <w:tc>
          <w:tcPr>
            <w:tcW w:w="1474" w:type="dxa"/>
            <w:tcBorders>
              <w:top w:val="nil"/>
              <w:left w:val="nil"/>
              <w:bottom w:val="nil"/>
              <w:right w:val="nil"/>
            </w:tcBorders>
            <w:shd w:val="clear" w:color="auto" w:fill="FFFFFF"/>
            <w:tcMar>
              <w:left w:w="67" w:type="dxa"/>
              <w:right w:w="67" w:type="dxa"/>
            </w:tcMar>
          </w:tcPr>
          <w:p w14:paraId="72FCDA56"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474" w:type="dxa"/>
            <w:tcBorders>
              <w:top w:val="nil"/>
              <w:left w:val="nil"/>
              <w:bottom w:val="nil"/>
              <w:right w:val="nil"/>
            </w:tcBorders>
            <w:shd w:val="clear" w:color="auto" w:fill="FFFFFF"/>
            <w:tcMar>
              <w:left w:w="67" w:type="dxa"/>
              <w:right w:w="67" w:type="dxa"/>
            </w:tcMar>
          </w:tcPr>
          <w:p w14:paraId="6951190A"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(100.00%)</w:t>
            </w:r>
          </w:p>
        </w:tc>
        <w:tc>
          <w:tcPr>
            <w:tcW w:w="1474" w:type="dxa"/>
            <w:tcBorders>
              <w:top w:val="nil"/>
              <w:left w:val="nil"/>
              <w:bottom w:val="nil"/>
              <w:right w:val="single" w:sz="11" w:space="0" w:color="000000"/>
            </w:tcBorders>
            <w:shd w:val="clear" w:color="auto" w:fill="FFFFFF"/>
            <w:tcMar>
              <w:left w:w="67" w:type="dxa"/>
              <w:right w:w="67" w:type="dxa"/>
            </w:tcMar>
          </w:tcPr>
          <w:p w14:paraId="673A81F3"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 (50.00%)</w:t>
            </w:r>
          </w:p>
        </w:tc>
      </w:tr>
      <w:tr w:rsidR="00B26806" w:rsidRPr="0082484A" w14:paraId="746AB9F4" w14:textId="77777777" w:rsidTr="00B26806">
        <w:trPr>
          <w:cantSplit/>
        </w:trPr>
        <w:tc>
          <w:tcPr>
            <w:tcW w:w="1417" w:type="dxa"/>
            <w:tcBorders>
              <w:top w:val="nil"/>
              <w:left w:val="single" w:sz="11" w:space="0" w:color="000000"/>
              <w:bottom w:val="single" w:sz="11" w:space="0" w:color="000000"/>
              <w:right w:val="nil"/>
            </w:tcBorders>
            <w:shd w:val="clear" w:color="auto" w:fill="FFFFFF"/>
            <w:tcMar>
              <w:left w:w="67" w:type="dxa"/>
              <w:right w:w="67" w:type="dxa"/>
            </w:tcMar>
          </w:tcPr>
          <w:p w14:paraId="4F0F2A73"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13DC60B0"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0875EA6D"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2EAF0AB3"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0C3A4A39"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474" w:type="dxa"/>
            <w:tcBorders>
              <w:top w:val="nil"/>
              <w:left w:val="nil"/>
              <w:bottom w:val="single" w:sz="11" w:space="0" w:color="000000"/>
              <w:right w:val="single" w:sz="11" w:space="0" w:color="000000"/>
            </w:tcBorders>
            <w:shd w:val="clear" w:color="auto" w:fill="FFFFFF"/>
            <w:tcMar>
              <w:left w:w="67" w:type="dxa"/>
              <w:right w:w="67" w:type="dxa"/>
            </w:tcMar>
          </w:tcPr>
          <w:p w14:paraId="333E3457"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r>
    </w:tbl>
    <w:p w14:paraId="3D6CC95D" w14:textId="77777777" w:rsidR="00B26806" w:rsidRPr="0082484A" w:rsidRDefault="00B26806" w:rsidP="00B26806">
      <w:pPr>
        <w:spacing w:before="0" w:after="160" w:line="259" w:lineRule="auto"/>
        <w:rPr>
          <w:rFonts w:eastAsia="Calibri"/>
          <w:color w:val="FF0000"/>
          <w:sz w:val="22"/>
          <w:szCs w:val="22"/>
        </w:rPr>
      </w:pPr>
    </w:p>
    <w:p w14:paraId="71678C11" w14:textId="6676B437" w:rsidR="00B26806" w:rsidRPr="0082484A" w:rsidRDefault="00B26806" w:rsidP="00B26806">
      <w:pPr>
        <w:spacing w:before="0" w:line="240" w:lineRule="auto"/>
        <w:rPr>
          <w:bCs/>
          <w:sz w:val="22"/>
          <w:szCs w:val="22"/>
        </w:rPr>
      </w:pPr>
      <w:bookmarkStart w:id="303" w:name="_Toc1952681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82</w:t>
      </w:r>
      <w:r w:rsidRPr="0082484A">
        <w:rPr>
          <w:bCs/>
          <w:noProof/>
          <w:sz w:val="22"/>
          <w:szCs w:val="22"/>
        </w:rPr>
        <w:fldChar w:fldCharType="end"/>
      </w:r>
      <w:r w:rsidRPr="0082484A">
        <w:rPr>
          <w:bCs/>
          <w:sz w:val="22"/>
          <w:szCs w:val="22"/>
        </w:rPr>
        <w:t>: Number of practices that joined the organisational groups (by trial arm) (WP5)</w:t>
      </w:r>
      <w:bookmarkEnd w:id="303"/>
    </w:p>
    <w:tbl>
      <w:tblPr>
        <w:tblW w:w="9767" w:type="dxa"/>
        <w:tblLayout w:type="fixed"/>
        <w:tblCellMar>
          <w:left w:w="0" w:type="dxa"/>
          <w:right w:w="0" w:type="dxa"/>
        </w:tblCellMar>
        <w:tblLook w:val="0000" w:firstRow="0" w:lastRow="0" w:firstColumn="0" w:lastColumn="0" w:noHBand="0" w:noVBand="0"/>
      </w:tblPr>
      <w:tblGrid>
        <w:gridCol w:w="1687"/>
        <w:gridCol w:w="1560"/>
        <w:gridCol w:w="1701"/>
        <w:gridCol w:w="1559"/>
        <w:gridCol w:w="1559"/>
        <w:gridCol w:w="1701"/>
      </w:tblGrid>
      <w:tr w:rsidR="00B26806" w:rsidRPr="0082484A" w14:paraId="5BF1D393" w14:textId="77777777" w:rsidTr="00B26806">
        <w:trPr>
          <w:cantSplit/>
          <w:tblHeader/>
        </w:trPr>
        <w:tc>
          <w:tcPr>
            <w:tcW w:w="1687"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2C756622"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Joined organisational groups</w:t>
            </w:r>
          </w:p>
        </w:tc>
        <w:tc>
          <w:tcPr>
            <w:tcW w:w="156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2EDBE6DE"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Diabetes control </w:t>
            </w:r>
          </w:p>
          <w:p w14:paraId="4534952F"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(n=40)</w:t>
            </w:r>
          </w:p>
        </w:tc>
        <w:tc>
          <w:tcPr>
            <w:tcW w:w="170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D4C114E"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(n=40)</w:t>
            </w:r>
          </w:p>
        </w:tc>
        <w:tc>
          <w:tcPr>
            <w:tcW w:w="155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A40A006"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Blood pressure control </w:t>
            </w:r>
          </w:p>
          <w:p w14:paraId="5C47D2FB"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(n=32)</w:t>
            </w:r>
          </w:p>
        </w:tc>
        <w:tc>
          <w:tcPr>
            <w:tcW w:w="155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A75C7FE"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(n=32)</w:t>
            </w:r>
          </w:p>
        </w:tc>
        <w:tc>
          <w:tcPr>
            <w:tcW w:w="170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238628D4"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6CD9006A" w14:textId="77777777" w:rsidR="00B26806" w:rsidRPr="0082484A" w:rsidRDefault="00B26806" w:rsidP="00B26806">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(n=144)</w:t>
            </w:r>
          </w:p>
        </w:tc>
      </w:tr>
      <w:tr w:rsidR="00B26806" w:rsidRPr="0082484A" w14:paraId="4B743E06" w14:textId="77777777" w:rsidTr="00B26806">
        <w:trPr>
          <w:cantSplit/>
        </w:trPr>
        <w:tc>
          <w:tcPr>
            <w:tcW w:w="1687" w:type="dxa"/>
            <w:tcBorders>
              <w:top w:val="nil"/>
              <w:left w:val="single" w:sz="11" w:space="0" w:color="000000"/>
              <w:bottom w:val="nil"/>
              <w:right w:val="nil"/>
            </w:tcBorders>
            <w:shd w:val="clear" w:color="auto" w:fill="FFFFFF"/>
            <w:tcMar>
              <w:left w:w="67" w:type="dxa"/>
              <w:right w:w="67" w:type="dxa"/>
            </w:tcMar>
          </w:tcPr>
          <w:p w14:paraId="674E8BFC"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560" w:type="dxa"/>
            <w:tcBorders>
              <w:top w:val="nil"/>
              <w:left w:val="nil"/>
              <w:bottom w:val="nil"/>
              <w:right w:val="nil"/>
            </w:tcBorders>
            <w:shd w:val="clear" w:color="auto" w:fill="FFFFFF"/>
            <w:tcMar>
              <w:left w:w="67" w:type="dxa"/>
              <w:right w:w="67" w:type="dxa"/>
            </w:tcMar>
          </w:tcPr>
          <w:p w14:paraId="4B5D3DBB"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38 (95.00%)</w:t>
            </w:r>
          </w:p>
        </w:tc>
        <w:tc>
          <w:tcPr>
            <w:tcW w:w="1701" w:type="dxa"/>
            <w:tcBorders>
              <w:top w:val="nil"/>
              <w:left w:val="nil"/>
              <w:bottom w:val="nil"/>
              <w:right w:val="nil"/>
            </w:tcBorders>
            <w:shd w:val="clear" w:color="auto" w:fill="FFFFFF"/>
            <w:tcMar>
              <w:left w:w="67" w:type="dxa"/>
              <w:right w:w="67" w:type="dxa"/>
            </w:tcMar>
          </w:tcPr>
          <w:p w14:paraId="5315FA16"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40 (100.00%)</w:t>
            </w:r>
          </w:p>
        </w:tc>
        <w:tc>
          <w:tcPr>
            <w:tcW w:w="1559" w:type="dxa"/>
            <w:tcBorders>
              <w:top w:val="nil"/>
              <w:left w:val="nil"/>
              <w:bottom w:val="nil"/>
              <w:right w:val="nil"/>
            </w:tcBorders>
            <w:shd w:val="clear" w:color="auto" w:fill="FFFFFF"/>
            <w:tcMar>
              <w:left w:w="67" w:type="dxa"/>
              <w:right w:w="67" w:type="dxa"/>
            </w:tcMar>
          </w:tcPr>
          <w:p w14:paraId="0D27FEF4"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23 (71.88%)</w:t>
            </w:r>
          </w:p>
        </w:tc>
        <w:tc>
          <w:tcPr>
            <w:tcW w:w="1559" w:type="dxa"/>
            <w:tcBorders>
              <w:top w:val="nil"/>
              <w:left w:val="nil"/>
              <w:bottom w:val="nil"/>
              <w:right w:val="nil"/>
            </w:tcBorders>
            <w:shd w:val="clear" w:color="auto" w:fill="FFFFFF"/>
            <w:tcMar>
              <w:left w:w="67" w:type="dxa"/>
              <w:right w:w="67" w:type="dxa"/>
            </w:tcMar>
          </w:tcPr>
          <w:p w14:paraId="526C8BC4"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25 (78.13%)</w:t>
            </w:r>
          </w:p>
        </w:tc>
        <w:tc>
          <w:tcPr>
            <w:tcW w:w="1701" w:type="dxa"/>
            <w:tcBorders>
              <w:top w:val="nil"/>
              <w:left w:val="nil"/>
              <w:bottom w:val="nil"/>
              <w:right w:val="single" w:sz="11" w:space="0" w:color="000000"/>
            </w:tcBorders>
            <w:shd w:val="clear" w:color="auto" w:fill="FFFFFF"/>
            <w:tcMar>
              <w:left w:w="67" w:type="dxa"/>
              <w:right w:w="67" w:type="dxa"/>
            </w:tcMar>
          </w:tcPr>
          <w:p w14:paraId="293AAFBA"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126 (87.50%)</w:t>
            </w:r>
          </w:p>
        </w:tc>
      </w:tr>
      <w:tr w:rsidR="00B26806" w:rsidRPr="0082484A" w14:paraId="27CD27DC" w14:textId="77777777" w:rsidTr="00B26806">
        <w:trPr>
          <w:cantSplit/>
        </w:trPr>
        <w:tc>
          <w:tcPr>
            <w:tcW w:w="1687" w:type="dxa"/>
            <w:tcBorders>
              <w:top w:val="nil"/>
              <w:left w:val="single" w:sz="11" w:space="0" w:color="000000"/>
              <w:bottom w:val="nil"/>
              <w:right w:val="nil"/>
            </w:tcBorders>
            <w:shd w:val="clear" w:color="auto" w:fill="FFFFFF"/>
            <w:tcMar>
              <w:left w:w="67" w:type="dxa"/>
              <w:right w:w="67" w:type="dxa"/>
            </w:tcMar>
          </w:tcPr>
          <w:p w14:paraId="457C42A6"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560" w:type="dxa"/>
            <w:tcBorders>
              <w:top w:val="nil"/>
              <w:left w:val="nil"/>
              <w:bottom w:val="nil"/>
              <w:right w:val="nil"/>
            </w:tcBorders>
            <w:shd w:val="clear" w:color="auto" w:fill="FFFFFF"/>
            <w:tcMar>
              <w:left w:w="67" w:type="dxa"/>
              <w:right w:w="67" w:type="dxa"/>
            </w:tcMar>
          </w:tcPr>
          <w:p w14:paraId="4B15A54F"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(5.00%)</w:t>
            </w:r>
          </w:p>
        </w:tc>
        <w:tc>
          <w:tcPr>
            <w:tcW w:w="1701" w:type="dxa"/>
            <w:tcBorders>
              <w:top w:val="nil"/>
              <w:left w:val="nil"/>
              <w:bottom w:val="nil"/>
              <w:right w:val="nil"/>
            </w:tcBorders>
            <w:shd w:val="clear" w:color="auto" w:fill="FFFFFF"/>
            <w:tcMar>
              <w:left w:w="67" w:type="dxa"/>
              <w:right w:w="67" w:type="dxa"/>
            </w:tcMar>
          </w:tcPr>
          <w:p w14:paraId="18739AB9"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559" w:type="dxa"/>
            <w:tcBorders>
              <w:top w:val="nil"/>
              <w:left w:val="nil"/>
              <w:bottom w:val="nil"/>
              <w:right w:val="nil"/>
            </w:tcBorders>
            <w:shd w:val="clear" w:color="auto" w:fill="FFFFFF"/>
            <w:tcMar>
              <w:left w:w="67" w:type="dxa"/>
              <w:right w:w="67" w:type="dxa"/>
            </w:tcMar>
          </w:tcPr>
          <w:p w14:paraId="26036893"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8 (25.00%)</w:t>
            </w:r>
          </w:p>
        </w:tc>
        <w:tc>
          <w:tcPr>
            <w:tcW w:w="1559" w:type="dxa"/>
            <w:tcBorders>
              <w:top w:val="nil"/>
              <w:left w:val="nil"/>
              <w:bottom w:val="nil"/>
              <w:right w:val="nil"/>
            </w:tcBorders>
            <w:shd w:val="clear" w:color="auto" w:fill="FFFFFF"/>
            <w:tcMar>
              <w:left w:w="67" w:type="dxa"/>
              <w:right w:w="67" w:type="dxa"/>
            </w:tcMar>
          </w:tcPr>
          <w:p w14:paraId="6BCFA02C"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5 (15.63%)</w:t>
            </w:r>
          </w:p>
        </w:tc>
        <w:tc>
          <w:tcPr>
            <w:tcW w:w="1701" w:type="dxa"/>
            <w:tcBorders>
              <w:top w:val="nil"/>
              <w:left w:val="nil"/>
              <w:bottom w:val="nil"/>
              <w:right w:val="single" w:sz="11" w:space="0" w:color="000000"/>
            </w:tcBorders>
            <w:shd w:val="clear" w:color="auto" w:fill="FFFFFF"/>
            <w:tcMar>
              <w:left w:w="67" w:type="dxa"/>
              <w:right w:w="67" w:type="dxa"/>
            </w:tcMar>
          </w:tcPr>
          <w:p w14:paraId="1740B0D9"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15 (10.42%)</w:t>
            </w:r>
          </w:p>
        </w:tc>
      </w:tr>
      <w:tr w:rsidR="00B26806" w:rsidRPr="0082484A" w14:paraId="7956CF58" w14:textId="77777777" w:rsidTr="00B26806">
        <w:trPr>
          <w:cantSplit/>
        </w:trPr>
        <w:tc>
          <w:tcPr>
            <w:tcW w:w="1687" w:type="dxa"/>
            <w:tcBorders>
              <w:top w:val="nil"/>
              <w:left w:val="single" w:sz="11" w:space="0" w:color="000000"/>
              <w:bottom w:val="nil"/>
              <w:right w:val="nil"/>
            </w:tcBorders>
            <w:shd w:val="clear" w:color="auto" w:fill="FFFFFF"/>
            <w:tcMar>
              <w:left w:w="67" w:type="dxa"/>
              <w:right w:w="67" w:type="dxa"/>
            </w:tcMar>
          </w:tcPr>
          <w:p w14:paraId="047EF127"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Missing</w:t>
            </w:r>
          </w:p>
        </w:tc>
        <w:tc>
          <w:tcPr>
            <w:tcW w:w="1560" w:type="dxa"/>
            <w:tcBorders>
              <w:top w:val="nil"/>
              <w:left w:val="nil"/>
              <w:bottom w:val="nil"/>
              <w:right w:val="nil"/>
            </w:tcBorders>
            <w:shd w:val="clear" w:color="auto" w:fill="FFFFFF"/>
            <w:tcMar>
              <w:left w:w="67" w:type="dxa"/>
              <w:right w:w="67" w:type="dxa"/>
            </w:tcMar>
          </w:tcPr>
          <w:p w14:paraId="14F60A8F"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701" w:type="dxa"/>
            <w:tcBorders>
              <w:top w:val="nil"/>
              <w:left w:val="nil"/>
              <w:bottom w:val="nil"/>
              <w:right w:val="nil"/>
            </w:tcBorders>
            <w:shd w:val="clear" w:color="auto" w:fill="FFFFFF"/>
            <w:tcMar>
              <w:left w:w="67" w:type="dxa"/>
              <w:right w:w="67" w:type="dxa"/>
            </w:tcMar>
          </w:tcPr>
          <w:p w14:paraId="3DFFDBED"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0 (0.00%)</w:t>
            </w:r>
          </w:p>
        </w:tc>
        <w:tc>
          <w:tcPr>
            <w:tcW w:w="1559" w:type="dxa"/>
            <w:tcBorders>
              <w:top w:val="nil"/>
              <w:left w:val="nil"/>
              <w:bottom w:val="nil"/>
              <w:right w:val="nil"/>
            </w:tcBorders>
            <w:shd w:val="clear" w:color="auto" w:fill="FFFFFF"/>
            <w:tcMar>
              <w:left w:w="67" w:type="dxa"/>
              <w:right w:w="67" w:type="dxa"/>
            </w:tcMar>
          </w:tcPr>
          <w:p w14:paraId="1BA4F3FC"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(3.13%)</w:t>
            </w:r>
          </w:p>
        </w:tc>
        <w:tc>
          <w:tcPr>
            <w:tcW w:w="1559" w:type="dxa"/>
            <w:tcBorders>
              <w:top w:val="nil"/>
              <w:left w:val="nil"/>
              <w:bottom w:val="nil"/>
              <w:right w:val="nil"/>
            </w:tcBorders>
            <w:shd w:val="clear" w:color="auto" w:fill="FFFFFF"/>
            <w:tcMar>
              <w:left w:w="67" w:type="dxa"/>
              <w:right w:w="67" w:type="dxa"/>
            </w:tcMar>
          </w:tcPr>
          <w:p w14:paraId="2230B8B4"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 (6.25%)</w:t>
            </w:r>
          </w:p>
        </w:tc>
        <w:tc>
          <w:tcPr>
            <w:tcW w:w="1701" w:type="dxa"/>
            <w:tcBorders>
              <w:top w:val="nil"/>
              <w:left w:val="nil"/>
              <w:bottom w:val="nil"/>
              <w:right w:val="single" w:sz="11" w:space="0" w:color="000000"/>
            </w:tcBorders>
            <w:shd w:val="clear" w:color="auto" w:fill="FFFFFF"/>
            <w:tcMar>
              <w:left w:w="67" w:type="dxa"/>
              <w:right w:w="67" w:type="dxa"/>
            </w:tcMar>
          </w:tcPr>
          <w:p w14:paraId="422AA709" w14:textId="77777777" w:rsidR="00B26806" w:rsidRPr="0082484A" w:rsidRDefault="00B26806" w:rsidP="00B26806">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3 (2.08%)</w:t>
            </w:r>
          </w:p>
        </w:tc>
      </w:tr>
      <w:tr w:rsidR="00B26806" w:rsidRPr="0082484A" w14:paraId="2BF13AC2" w14:textId="77777777" w:rsidTr="00B26806">
        <w:trPr>
          <w:cantSplit/>
        </w:trPr>
        <w:tc>
          <w:tcPr>
            <w:tcW w:w="1687" w:type="dxa"/>
            <w:tcBorders>
              <w:top w:val="nil"/>
              <w:left w:val="single" w:sz="11" w:space="0" w:color="000000"/>
              <w:bottom w:val="single" w:sz="11" w:space="0" w:color="000000"/>
              <w:right w:val="nil"/>
            </w:tcBorders>
            <w:shd w:val="clear" w:color="auto" w:fill="FFFFFF"/>
            <w:tcMar>
              <w:left w:w="67" w:type="dxa"/>
              <w:right w:w="67" w:type="dxa"/>
            </w:tcMar>
          </w:tcPr>
          <w:p w14:paraId="125D6353"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560" w:type="dxa"/>
            <w:tcBorders>
              <w:top w:val="nil"/>
              <w:left w:val="nil"/>
              <w:bottom w:val="single" w:sz="11" w:space="0" w:color="000000"/>
              <w:right w:val="nil"/>
            </w:tcBorders>
            <w:shd w:val="clear" w:color="auto" w:fill="FFFFFF"/>
            <w:tcMar>
              <w:left w:w="67" w:type="dxa"/>
              <w:right w:w="67" w:type="dxa"/>
            </w:tcMar>
          </w:tcPr>
          <w:p w14:paraId="23B82079"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701" w:type="dxa"/>
            <w:tcBorders>
              <w:top w:val="nil"/>
              <w:left w:val="nil"/>
              <w:bottom w:val="single" w:sz="11" w:space="0" w:color="000000"/>
              <w:right w:val="nil"/>
            </w:tcBorders>
            <w:shd w:val="clear" w:color="auto" w:fill="FFFFFF"/>
            <w:tcMar>
              <w:left w:w="67" w:type="dxa"/>
              <w:right w:w="67" w:type="dxa"/>
            </w:tcMar>
          </w:tcPr>
          <w:p w14:paraId="69C29A12"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559" w:type="dxa"/>
            <w:tcBorders>
              <w:top w:val="nil"/>
              <w:left w:val="nil"/>
              <w:bottom w:val="single" w:sz="11" w:space="0" w:color="000000"/>
              <w:right w:val="nil"/>
            </w:tcBorders>
            <w:shd w:val="clear" w:color="auto" w:fill="FFFFFF"/>
            <w:tcMar>
              <w:left w:w="67" w:type="dxa"/>
              <w:right w:w="67" w:type="dxa"/>
            </w:tcMar>
          </w:tcPr>
          <w:p w14:paraId="699D95C1"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559" w:type="dxa"/>
            <w:tcBorders>
              <w:top w:val="nil"/>
              <w:left w:val="nil"/>
              <w:bottom w:val="single" w:sz="11" w:space="0" w:color="000000"/>
              <w:right w:val="nil"/>
            </w:tcBorders>
            <w:shd w:val="clear" w:color="auto" w:fill="FFFFFF"/>
            <w:tcMar>
              <w:left w:w="67" w:type="dxa"/>
              <w:right w:w="67" w:type="dxa"/>
            </w:tcMar>
          </w:tcPr>
          <w:p w14:paraId="5D86F88F"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c>
          <w:tcPr>
            <w:tcW w:w="1701" w:type="dxa"/>
            <w:tcBorders>
              <w:top w:val="nil"/>
              <w:left w:val="nil"/>
              <w:bottom w:val="single" w:sz="11" w:space="0" w:color="000000"/>
              <w:right w:val="single" w:sz="11" w:space="0" w:color="000000"/>
            </w:tcBorders>
            <w:shd w:val="clear" w:color="auto" w:fill="FFFFFF"/>
            <w:tcMar>
              <w:left w:w="67" w:type="dxa"/>
              <w:right w:w="67" w:type="dxa"/>
            </w:tcMar>
          </w:tcPr>
          <w:p w14:paraId="1DFA71EC" w14:textId="77777777" w:rsidR="00B26806" w:rsidRPr="0082484A" w:rsidRDefault="00B26806" w:rsidP="00B26806">
            <w:pPr>
              <w:autoSpaceDE w:val="0"/>
              <w:autoSpaceDN w:val="0"/>
              <w:adjustRightInd w:val="0"/>
              <w:spacing w:before="67" w:after="67" w:line="240" w:lineRule="auto"/>
              <w:rPr>
                <w:rFonts w:eastAsia="Times New Roman"/>
                <w:color w:val="FF0000"/>
                <w:sz w:val="22"/>
                <w:szCs w:val="22"/>
                <w:lang w:eastAsia="en-GB"/>
              </w:rPr>
            </w:pPr>
          </w:p>
        </w:tc>
      </w:tr>
    </w:tbl>
    <w:p w14:paraId="6067FE04" w14:textId="77777777" w:rsidR="00B26806" w:rsidRPr="0082484A" w:rsidRDefault="00B26806" w:rsidP="00B26806">
      <w:pPr>
        <w:spacing w:before="0" w:after="160" w:line="259" w:lineRule="auto"/>
        <w:rPr>
          <w:rFonts w:eastAsia="Calibri"/>
          <w:color w:val="FF0000"/>
          <w:sz w:val="22"/>
          <w:szCs w:val="22"/>
        </w:rPr>
      </w:pPr>
    </w:p>
    <w:p w14:paraId="1088BB9E" w14:textId="72EC8974" w:rsidR="00B26806" w:rsidRPr="0082484A" w:rsidRDefault="00B26806" w:rsidP="00B26806">
      <w:pPr>
        <w:spacing w:before="0" w:after="200"/>
        <w:rPr>
          <w:bCs/>
          <w:sz w:val="22"/>
          <w:szCs w:val="22"/>
        </w:rPr>
      </w:pPr>
    </w:p>
    <w:p w14:paraId="0776CEEA" w14:textId="77777777" w:rsidR="001D1443" w:rsidRPr="0082484A" w:rsidRDefault="001D1443">
      <w:pPr>
        <w:spacing w:before="0" w:after="200"/>
        <w:rPr>
          <w:bCs/>
          <w:sz w:val="22"/>
          <w:szCs w:val="22"/>
        </w:rPr>
      </w:pPr>
      <w:r w:rsidRPr="0082484A">
        <w:rPr>
          <w:bCs/>
          <w:sz w:val="22"/>
          <w:szCs w:val="22"/>
        </w:rPr>
        <w:br w:type="page"/>
      </w:r>
    </w:p>
    <w:p w14:paraId="041AB50F" w14:textId="7762216C" w:rsidR="009A3C2D" w:rsidRPr="0082484A" w:rsidRDefault="009A3C2D" w:rsidP="009A3C2D">
      <w:pPr>
        <w:spacing w:before="0" w:line="240" w:lineRule="auto"/>
        <w:rPr>
          <w:rFonts w:eastAsia="Times New Roman"/>
          <w:sz w:val="22"/>
          <w:szCs w:val="22"/>
          <w:lang w:eastAsia="en-GB"/>
        </w:rPr>
      </w:pPr>
      <w:bookmarkStart w:id="304" w:name="_Toc19526812"/>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83</w:t>
      </w:r>
      <w:r w:rsidRPr="0082484A">
        <w:rPr>
          <w:bCs/>
          <w:noProof/>
          <w:sz w:val="22"/>
          <w:szCs w:val="22"/>
        </w:rPr>
        <w:fldChar w:fldCharType="end"/>
      </w:r>
      <w:bookmarkEnd w:id="301"/>
      <w:r w:rsidRPr="0082484A">
        <w:rPr>
          <w:bCs/>
          <w:sz w:val="22"/>
          <w:szCs w:val="22"/>
        </w:rPr>
        <w:t>: Number of practices participating in other quality improvement initiatives (by trial arm) (WP5)</w:t>
      </w:r>
      <w:bookmarkEnd w:id="302"/>
      <w:bookmarkEnd w:id="304"/>
    </w:p>
    <w:tbl>
      <w:tblPr>
        <w:tblW w:w="9484" w:type="dxa"/>
        <w:tblLayout w:type="fixed"/>
        <w:tblCellMar>
          <w:left w:w="0" w:type="dxa"/>
          <w:right w:w="0" w:type="dxa"/>
        </w:tblCellMar>
        <w:tblLook w:val="0000" w:firstRow="0" w:lastRow="0" w:firstColumn="0" w:lastColumn="0" w:noHBand="0" w:noVBand="0"/>
      </w:tblPr>
      <w:tblGrid>
        <w:gridCol w:w="1888"/>
        <w:gridCol w:w="1500"/>
        <w:gridCol w:w="1560"/>
        <w:gridCol w:w="1417"/>
        <w:gridCol w:w="1418"/>
        <w:gridCol w:w="1701"/>
      </w:tblGrid>
      <w:tr w:rsidR="009A3C2D" w:rsidRPr="0082484A" w14:paraId="2975154D" w14:textId="77777777" w:rsidTr="0082484A">
        <w:trPr>
          <w:cantSplit/>
          <w:tblHeader/>
        </w:trPr>
        <w:tc>
          <w:tcPr>
            <w:tcW w:w="1888"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0FA0C0F7" w14:textId="77777777" w:rsidR="009A3C2D" w:rsidRPr="0082484A" w:rsidRDefault="009A3C2D" w:rsidP="009A3C2D">
            <w:pPr>
              <w:spacing w:before="0" w:line="240" w:lineRule="auto"/>
              <w:rPr>
                <w:rFonts w:eastAsia="Times New Roman"/>
                <w:sz w:val="22"/>
                <w:szCs w:val="22"/>
                <w:lang w:eastAsia="en-GB"/>
              </w:rPr>
            </w:pPr>
            <w:r w:rsidRPr="0082484A">
              <w:rPr>
                <w:rFonts w:eastAsia="Times New Roman"/>
                <w:bCs/>
                <w:sz w:val="22"/>
                <w:szCs w:val="22"/>
                <w:lang w:eastAsia="en-GB"/>
              </w:rPr>
              <w:t>Practices participating in other quality improvement initiatives</w:t>
            </w:r>
          </w:p>
          <w:p w14:paraId="25178645"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p>
        </w:tc>
        <w:tc>
          <w:tcPr>
            <w:tcW w:w="150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286C3EF"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Diabetes control (n=20)</w:t>
            </w:r>
          </w:p>
        </w:tc>
        <w:tc>
          <w:tcPr>
            <w:tcW w:w="1560"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7176A82"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(n=25)</w:t>
            </w:r>
          </w:p>
        </w:tc>
        <w:tc>
          <w:tcPr>
            <w:tcW w:w="1417"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85DF06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Blood pressure control (n=11)</w:t>
            </w:r>
          </w:p>
        </w:tc>
        <w:tc>
          <w:tcPr>
            <w:tcW w:w="1418"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6DC0D2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(n=11)</w:t>
            </w:r>
          </w:p>
        </w:tc>
        <w:tc>
          <w:tcPr>
            <w:tcW w:w="170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2F0C544"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29CC9B78"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(n=67)</w:t>
            </w:r>
          </w:p>
        </w:tc>
      </w:tr>
      <w:tr w:rsidR="009A3C2D" w:rsidRPr="0082484A" w14:paraId="2AEBF90C" w14:textId="77777777" w:rsidTr="0082484A">
        <w:trPr>
          <w:cantSplit/>
        </w:trPr>
        <w:tc>
          <w:tcPr>
            <w:tcW w:w="1888" w:type="dxa"/>
            <w:tcBorders>
              <w:top w:val="nil"/>
              <w:left w:val="single" w:sz="11" w:space="0" w:color="000000"/>
              <w:bottom w:val="nil"/>
              <w:right w:val="nil"/>
            </w:tcBorders>
            <w:shd w:val="clear" w:color="auto" w:fill="FFFFFF"/>
            <w:tcMar>
              <w:left w:w="67" w:type="dxa"/>
              <w:right w:w="67" w:type="dxa"/>
            </w:tcMar>
          </w:tcPr>
          <w:p w14:paraId="0BBEE22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500" w:type="dxa"/>
            <w:tcBorders>
              <w:top w:val="nil"/>
              <w:left w:val="nil"/>
              <w:bottom w:val="nil"/>
              <w:right w:val="nil"/>
            </w:tcBorders>
            <w:shd w:val="clear" w:color="auto" w:fill="FFFFFF"/>
            <w:tcMar>
              <w:left w:w="67" w:type="dxa"/>
              <w:right w:w="67" w:type="dxa"/>
            </w:tcMar>
          </w:tcPr>
          <w:p w14:paraId="34F58D1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14 (70.00%)</w:t>
            </w:r>
          </w:p>
        </w:tc>
        <w:tc>
          <w:tcPr>
            <w:tcW w:w="1560" w:type="dxa"/>
            <w:tcBorders>
              <w:top w:val="nil"/>
              <w:left w:val="nil"/>
              <w:bottom w:val="nil"/>
              <w:right w:val="nil"/>
            </w:tcBorders>
            <w:shd w:val="clear" w:color="auto" w:fill="FFFFFF"/>
            <w:tcMar>
              <w:left w:w="67" w:type="dxa"/>
              <w:right w:w="67" w:type="dxa"/>
            </w:tcMar>
          </w:tcPr>
          <w:p w14:paraId="4B3360C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14 (56.00%)</w:t>
            </w:r>
          </w:p>
        </w:tc>
        <w:tc>
          <w:tcPr>
            <w:tcW w:w="1417" w:type="dxa"/>
            <w:tcBorders>
              <w:top w:val="nil"/>
              <w:left w:val="nil"/>
              <w:bottom w:val="nil"/>
              <w:right w:val="nil"/>
            </w:tcBorders>
            <w:shd w:val="clear" w:color="auto" w:fill="FFFFFF"/>
            <w:tcMar>
              <w:left w:w="67" w:type="dxa"/>
              <w:right w:w="67" w:type="dxa"/>
            </w:tcMar>
          </w:tcPr>
          <w:p w14:paraId="0D15C5C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7 (63.64%)</w:t>
            </w:r>
          </w:p>
        </w:tc>
        <w:tc>
          <w:tcPr>
            <w:tcW w:w="1418" w:type="dxa"/>
            <w:tcBorders>
              <w:top w:val="nil"/>
              <w:left w:val="nil"/>
              <w:bottom w:val="nil"/>
              <w:right w:val="nil"/>
            </w:tcBorders>
            <w:shd w:val="clear" w:color="auto" w:fill="FFFFFF"/>
            <w:tcMar>
              <w:left w:w="67" w:type="dxa"/>
              <w:right w:w="67" w:type="dxa"/>
            </w:tcMar>
          </w:tcPr>
          <w:p w14:paraId="175168AB"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9 (81.82%)</w:t>
            </w:r>
          </w:p>
        </w:tc>
        <w:tc>
          <w:tcPr>
            <w:tcW w:w="1701" w:type="dxa"/>
            <w:tcBorders>
              <w:top w:val="nil"/>
              <w:left w:val="nil"/>
              <w:bottom w:val="nil"/>
              <w:right w:val="single" w:sz="11" w:space="0" w:color="000000"/>
            </w:tcBorders>
            <w:shd w:val="clear" w:color="auto" w:fill="FFFFFF"/>
            <w:tcMar>
              <w:left w:w="67" w:type="dxa"/>
              <w:right w:w="67" w:type="dxa"/>
            </w:tcMar>
          </w:tcPr>
          <w:p w14:paraId="292927E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44 (65.67%)</w:t>
            </w:r>
          </w:p>
        </w:tc>
      </w:tr>
      <w:tr w:rsidR="009A3C2D" w:rsidRPr="0082484A" w14:paraId="3AE26E7E" w14:textId="77777777" w:rsidTr="0082484A">
        <w:trPr>
          <w:cantSplit/>
        </w:trPr>
        <w:tc>
          <w:tcPr>
            <w:tcW w:w="1888" w:type="dxa"/>
            <w:tcBorders>
              <w:top w:val="nil"/>
              <w:left w:val="single" w:sz="11" w:space="0" w:color="000000"/>
              <w:bottom w:val="nil"/>
              <w:right w:val="nil"/>
            </w:tcBorders>
            <w:shd w:val="clear" w:color="auto" w:fill="FFFFFF"/>
            <w:tcMar>
              <w:left w:w="67" w:type="dxa"/>
              <w:right w:w="67" w:type="dxa"/>
            </w:tcMar>
          </w:tcPr>
          <w:p w14:paraId="39BE0312"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500" w:type="dxa"/>
            <w:tcBorders>
              <w:top w:val="nil"/>
              <w:left w:val="nil"/>
              <w:bottom w:val="nil"/>
              <w:right w:val="nil"/>
            </w:tcBorders>
            <w:shd w:val="clear" w:color="auto" w:fill="FFFFFF"/>
            <w:tcMar>
              <w:left w:w="67" w:type="dxa"/>
              <w:right w:w="67" w:type="dxa"/>
            </w:tcMar>
          </w:tcPr>
          <w:p w14:paraId="4988AED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6 (30.00%)</w:t>
            </w:r>
          </w:p>
        </w:tc>
        <w:tc>
          <w:tcPr>
            <w:tcW w:w="1560" w:type="dxa"/>
            <w:tcBorders>
              <w:top w:val="nil"/>
              <w:left w:val="nil"/>
              <w:bottom w:val="nil"/>
              <w:right w:val="nil"/>
            </w:tcBorders>
            <w:shd w:val="clear" w:color="auto" w:fill="FFFFFF"/>
            <w:tcMar>
              <w:left w:w="67" w:type="dxa"/>
              <w:right w:w="67" w:type="dxa"/>
            </w:tcMar>
          </w:tcPr>
          <w:p w14:paraId="1BA85E2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11 (44.00%)</w:t>
            </w:r>
          </w:p>
        </w:tc>
        <w:tc>
          <w:tcPr>
            <w:tcW w:w="1417" w:type="dxa"/>
            <w:tcBorders>
              <w:top w:val="nil"/>
              <w:left w:val="nil"/>
              <w:bottom w:val="nil"/>
              <w:right w:val="nil"/>
            </w:tcBorders>
            <w:shd w:val="clear" w:color="auto" w:fill="FFFFFF"/>
            <w:tcMar>
              <w:left w:w="67" w:type="dxa"/>
              <w:right w:w="67" w:type="dxa"/>
            </w:tcMar>
          </w:tcPr>
          <w:p w14:paraId="252FBA4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4 (36.36%)</w:t>
            </w:r>
          </w:p>
        </w:tc>
        <w:tc>
          <w:tcPr>
            <w:tcW w:w="1418" w:type="dxa"/>
            <w:tcBorders>
              <w:top w:val="nil"/>
              <w:left w:val="nil"/>
              <w:bottom w:val="nil"/>
              <w:right w:val="nil"/>
            </w:tcBorders>
            <w:shd w:val="clear" w:color="auto" w:fill="FFFFFF"/>
            <w:tcMar>
              <w:left w:w="67" w:type="dxa"/>
              <w:right w:w="67" w:type="dxa"/>
            </w:tcMar>
          </w:tcPr>
          <w:p w14:paraId="330B238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2 (18.18%)</w:t>
            </w:r>
          </w:p>
        </w:tc>
        <w:tc>
          <w:tcPr>
            <w:tcW w:w="1701" w:type="dxa"/>
            <w:tcBorders>
              <w:top w:val="nil"/>
              <w:left w:val="nil"/>
              <w:bottom w:val="nil"/>
              <w:right w:val="single" w:sz="11" w:space="0" w:color="000000"/>
            </w:tcBorders>
            <w:shd w:val="clear" w:color="auto" w:fill="FFFFFF"/>
            <w:tcMar>
              <w:left w:w="67" w:type="dxa"/>
              <w:right w:w="67" w:type="dxa"/>
            </w:tcMar>
          </w:tcPr>
          <w:p w14:paraId="4D5E6F5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Calibri"/>
                <w:color w:val="000000"/>
                <w:sz w:val="22"/>
                <w:szCs w:val="22"/>
              </w:rPr>
              <w:t>23 (34.33%)</w:t>
            </w:r>
          </w:p>
        </w:tc>
      </w:tr>
      <w:tr w:rsidR="009A3C2D" w:rsidRPr="0082484A" w14:paraId="4A191550" w14:textId="77777777" w:rsidTr="0082484A">
        <w:trPr>
          <w:cantSplit/>
        </w:trPr>
        <w:tc>
          <w:tcPr>
            <w:tcW w:w="1888" w:type="dxa"/>
            <w:tcBorders>
              <w:top w:val="nil"/>
              <w:left w:val="single" w:sz="11" w:space="0" w:color="000000"/>
              <w:bottom w:val="single" w:sz="11" w:space="0" w:color="000000"/>
              <w:right w:val="nil"/>
            </w:tcBorders>
            <w:shd w:val="clear" w:color="auto" w:fill="FFFFFF"/>
            <w:tcMar>
              <w:left w:w="67" w:type="dxa"/>
              <w:right w:w="67" w:type="dxa"/>
            </w:tcMar>
          </w:tcPr>
          <w:p w14:paraId="1BB5A45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500" w:type="dxa"/>
            <w:tcBorders>
              <w:top w:val="nil"/>
              <w:left w:val="nil"/>
              <w:bottom w:val="single" w:sz="11" w:space="0" w:color="000000"/>
              <w:right w:val="nil"/>
            </w:tcBorders>
            <w:shd w:val="clear" w:color="auto" w:fill="FFFFFF"/>
            <w:tcMar>
              <w:left w:w="67" w:type="dxa"/>
              <w:right w:w="67" w:type="dxa"/>
            </w:tcMar>
          </w:tcPr>
          <w:p w14:paraId="226EDC9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560" w:type="dxa"/>
            <w:tcBorders>
              <w:top w:val="nil"/>
              <w:left w:val="nil"/>
              <w:bottom w:val="single" w:sz="11" w:space="0" w:color="000000"/>
              <w:right w:val="nil"/>
            </w:tcBorders>
            <w:shd w:val="clear" w:color="auto" w:fill="FFFFFF"/>
            <w:tcMar>
              <w:left w:w="67" w:type="dxa"/>
              <w:right w:w="67" w:type="dxa"/>
            </w:tcMar>
          </w:tcPr>
          <w:p w14:paraId="1211B38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17" w:type="dxa"/>
            <w:tcBorders>
              <w:top w:val="nil"/>
              <w:left w:val="nil"/>
              <w:bottom w:val="single" w:sz="11" w:space="0" w:color="000000"/>
              <w:right w:val="nil"/>
            </w:tcBorders>
            <w:shd w:val="clear" w:color="auto" w:fill="FFFFFF"/>
            <w:tcMar>
              <w:left w:w="67" w:type="dxa"/>
              <w:right w:w="67" w:type="dxa"/>
            </w:tcMar>
          </w:tcPr>
          <w:p w14:paraId="4C1FE7C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18" w:type="dxa"/>
            <w:tcBorders>
              <w:top w:val="nil"/>
              <w:left w:val="nil"/>
              <w:bottom w:val="single" w:sz="11" w:space="0" w:color="000000"/>
              <w:right w:val="nil"/>
            </w:tcBorders>
            <w:shd w:val="clear" w:color="auto" w:fill="FFFFFF"/>
            <w:tcMar>
              <w:left w:w="67" w:type="dxa"/>
              <w:right w:w="67" w:type="dxa"/>
            </w:tcMar>
          </w:tcPr>
          <w:p w14:paraId="7F0B928F"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701" w:type="dxa"/>
            <w:tcBorders>
              <w:top w:val="nil"/>
              <w:left w:val="nil"/>
              <w:bottom w:val="single" w:sz="11" w:space="0" w:color="000000"/>
              <w:right w:val="single" w:sz="11" w:space="0" w:color="000000"/>
            </w:tcBorders>
            <w:shd w:val="clear" w:color="auto" w:fill="FFFFFF"/>
            <w:tcMar>
              <w:left w:w="67" w:type="dxa"/>
              <w:right w:w="67" w:type="dxa"/>
            </w:tcMar>
          </w:tcPr>
          <w:p w14:paraId="7A026CE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r>
    </w:tbl>
    <w:p w14:paraId="3F5382D7" w14:textId="77777777" w:rsidR="009A3C2D" w:rsidRPr="0082484A" w:rsidRDefault="009A3C2D" w:rsidP="009A3C2D">
      <w:pPr>
        <w:spacing w:before="0" w:line="240" w:lineRule="auto"/>
        <w:rPr>
          <w:rFonts w:eastAsia="Calibri"/>
          <w:color w:val="FF0000"/>
          <w:sz w:val="22"/>
          <w:szCs w:val="22"/>
        </w:rPr>
      </w:pPr>
      <w:bookmarkStart w:id="305" w:name="_Ref501107927"/>
    </w:p>
    <w:p w14:paraId="7DB8A9A9" w14:textId="39ACAC11" w:rsidR="00B26806" w:rsidRPr="0082484A" w:rsidRDefault="009A3C2D" w:rsidP="00B26806">
      <w:pPr>
        <w:spacing w:before="0" w:line="240" w:lineRule="auto"/>
        <w:rPr>
          <w:rFonts w:eastAsia="Times New Roman"/>
          <w:sz w:val="22"/>
          <w:szCs w:val="22"/>
          <w:lang w:eastAsia="en-GB"/>
        </w:rPr>
      </w:pPr>
      <w:r w:rsidRPr="0082484A">
        <w:rPr>
          <w:rFonts w:eastAsia="Calibri"/>
          <w:bCs/>
          <w:color w:val="FF0000"/>
          <w:sz w:val="22"/>
          <w:szCs w:val="22"/>
        </w:rPr>
        <w:br w:type="page"/>
      </w:r>
      <w:bookmarkStart w:id="306" w:name="_Toc19526813"/>
      <w:r w:rsidR="00B26806" w:rsidRPr="0082484A">
        <w:rPr>
          <w:bCs/>
          <w:sz w:val="22"/>
          <w:szCs w:val="22"/>
        </w:rPr>
        <w:t xml:space="preserve">Table </w:t>
      </w:r>
      <w:r w:rsidR="00B26806" w:rsidRPr="0082484A">
        <w:rPr>
          <w:bCs/>
          <w:noProof/>
          <w:sz w:val="22"/>
          <w:szCs w:val="22"/>
        </w:rPr>
        <w:fldChar w:fldCharType="begin"/>
      </w:r>
      <w:r w:rsidR="00B26806" w:rsidRPr="0082484A">
        <w:rPr>
          <w:bCs/>
          <w:noProof/>
          <w:sz w:val="22"/>
          <w:szCs w:val="22"/>
        </w:rPr>
        <w:instrText xml:space="preserve"> SEQ Table \* ARABIC </w:instrText>
      </w:r>
      <w:r w:rsidR="00B26806" w:rsidRPr="0082484A">
        <w:rPr>
          <w:bCs/>
          <w:noProof/>
          <w:sz w:val="22"/>
          <w:szCs w:val="22"/>
        </w:rPr>
        <w:fldChar w:fldCharType="separate"/>
      </w:r>
      <w:r w:rsidR="00CC779E">
        <w:rPr>
          <w:bCs/>
          <w:noProof/>
          <w:sz w:val="22"/>
          <w:szCs w:val="22"/>
        </w:rPr>
        <w:t>84</w:t>
      </w:r>
      <w:r w:rsidR="00B26806" w:rsidRPr="0082484A">
        <w:rPr>
          <w:bCs/>
          <w:noProof/>
          <w:sz w:val="22"/>
          <w:szCs w:val="22"/>
        </w:rPr>
        <w:fldChar w:fldCharType="end"/>
      </w:r>
      <w:r w:rsidR="00B26806" w:rsidRPr="0082484A">
        <w:rPr>
          <w:bCs/>
          <w:sz w:val="22"/>
          <w:szCs w:val="22"/>
        </w:rPr>
        <w:t>: Other quality improvement initiatives identified by participating practices (WP5)</w:t>
      </w:r>
      <w:bookmarkEnd w:id="306"/>
    </w:p>
    <w:tbl>
      <w:tblPr>
        <w:tblW w:w="0" w:type="auto"/>
        <w:tblInd w:w="-14" w:type="dxa"/>
        <w:tblLayout w:type="fixed"/>
        <w:tblCellMar>
          <w:left w:w="0" w:type="dxa"/>
          <w:right w:w="0" w:type="dxa"/>
        </w:tblCellMar>
        <w:tblLook w:val="0000" w:firstRow="0" w:lastRow="0" w:firstColumn="0" w:lastColumn="0" w:noHBand="0" w:noVBand="0"/>
      </w:tblPr>
      <w:tblGrid>
        <w:gridCol w:w="2866"/>
        <w:gridCol w:w="1165"/>
        <w:gridCol w:w="1154"/>
        <w:gridCol w:w="1063"/>
        <w:gridCol w:w="1539"/>
        <w:gridCol w:w="1165"/>
      </w:tblGrid>
      <w:tr w:rsidR="00B26806" w:rsidRPr="0082484A" w14:paraId="493A11D3" w14:textId="77777777" w:rsidTr="00B26806">
        <w:trPr>
          <w:cantSplit/>
          <w:tblHeader/>
        </w:trPr>
        <w:tc>
          <w:tcPr>
            <w:tcW w:w="2866"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051B214"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Variable</w:t>
            </w:r>
          </w:p>
        </w:tc>
        <w:tc>
          <w:tcPr>
            <w:tcW w:w="1165" w:type="dxa"/>
            <w:tcBorders>
              <w:top w:val="single" w:sz="11" w:space="0" w:color="000000"/>
              <w:left w:val="nil"/>
              <w:bottom w:val="single" w:sz="4" w:space="0" w:color="000000"/>
              <w:right w:val="nil"/>
            </w:tcBorders>
            <w:shd w:val="clear" w:color="auto" w:fill="FFFFFF"/>
            <w:tcMar>
              <w:left w:w="67" w:type="dxa"/>
              <w:right w:w="67" w:type="dxa"/>
            </w:tcMar>
            <w:vAlign w:val="bottom"/>
          </w:tcPr>
          <w:p w14:paraId="49298281"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Diabetes control (n=19)</w:t>
            </w:r>
          </w:p>
        </w:tc>
        <w:tc>
          <w:tcPr>
            <w:tcW w:w="115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8807584"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Risky prescribing (n=19)</w:t>
            </w:r>
          </w:p>
        </w:tc>
        <w:tc>
          <w:tcPr>
            <w:tcW w:w="1063" w:type="dxa"/>
            <w:tcBorders>
              <w:top w:val="single" w:sz="11" w:space="0" w:color="000000"/>
              <w:left w:val="nil"/>
              <w:bottom w:val="single" w:sz="4" w:space="0" w:color="000000"/>
              <w:right w:val="nil"/>
            </w:tcBorders>
            <w:shd w:val="clear" w:color="auto" w:fill="FFFFFF"/>
            <w:tcMar>
              <w:left w:w="67" w:type="dxa"/>
              <w:right w:w="67" w:type="dxa"/>
            </w:tcMar>
            <w:vAlign w:val="bottom"/>
          </w:tcPr>
          <w:p w14:paraId="53291CF2"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Blood pressure control (n=7)</w:t>
            </w:r>
          </w:p>
        </w:tc>
        <w:tc>
          <w:tcPr>
            <w:tcW w:w="1539"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B486181"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Anticoagulation in AF (n=12)</w:t>
            </w:r>
          </w:p>
        </w:tc>
        <w:tc>
          <w:tcPr>
            <w:tcW w:w="1165"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2D179CA"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Total (n=57)</w:t>
            </w:r>
          </w:p>
        </w:tc>
      </w:tr>
      <w:tr w:rsidR="00B26806" w:rsidRPr="0082484A" w14:paraId="23818F5C"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53CAA484" w14:textId="77777777" w:rsidR="00B26806" w:rsidRPr="0082484A" w:rsidRDefault="00B26806" w:rsidP="00B26806">
            <w:pPr>
              <w:adjustRightInd w:val="0"/>
              <w:spacing w:before="67" w:after="67" w:line="259" w:lineRule="auto"/>
              <w:rPr>
                <w:rFonts w:eastAsia="Calibri"/>
                <w:bCs/>
                <w:color w:val="000000"/>
                <w:sz w:val="22"/>
                <w:szCs w:val="22"/>
              </w:rPr>
            </w:pPr>
            <w:r w:rsidRPr="0082484A">
              <w:rPr>
                <w:rFonts w:eastAsia="Calibri"/>
                <w:bCs/>
                <w:color w:val="000000"/>
                <w:sz w:val="22"/>
                <w:szCs w:val="22"/>
              </w:rPr>
              <w:t>Quality improvement initiative</w:t>
            </w:r>
          </w:p>
        </w:tc>
        <w:tc>
          <w:tcPr>
            <w:tcW w:w="1165" w:type="dxa"/>
            <w:tcBorders>
              <w:top w:val="nil"/>
              <w:left w:val="nil"/>
              <w:bottom w:val="nil"/>
              <w:right w:val="nil"/>
            </w:tcBorders>
            <w:shd w:val="clear" w:color="auto" w:fill="FFFFFF"/>
            <w:tcMar>
              <w:left w:w="67" w:type="dxa"/>
              <w:right w:w="67" w:type="dxa"/>
            </w:tcMar>
          </w:tcPr>
          <w:p w14:paraId="20164621" w14:textId="77777777" w:rsidR="00B26806" w:rsidRPr="0082484A" w:rsidRDefault="00B26806" w:rsidP="00B26806">
            <w:pPr>
              <w:adjustRightInd w:val="0"/>
              <w:spacing w:before="67" w:after="67" w:line="259" w:lineRule="auto"/>
              <w:rPr>
                <w:rFonts w:eastAsia="Calibri"/>
                <w:color w:val="000000"/>
                <w:sz w:val="22"/>
                <w:szCs w:val="22"/>
              </w:rPr>
            </w:pPr>
          </w:p>
        </w:tc>
        <w:tc>
          <w:tcPr>
            <w:tcW w:w="1154" w:type="dxa"/>
            <w:tcBorders>
              <w:top w:val="nil"/>
              <w:left w:val="nil"/>
              <w:bottom w:val="nil"/>
              <w:right w:val="nil"/>
            </w:tcBorders>
            <w:shd w:val="clear" w:color="auto" w:fill="FFFFFF"/>
            <w:tcMar>
              <w:left w:w="67" w:type="dxa"/>
              <w:right w:w="67" w:type="dxa"/>
            </w:tcMar>
          </w:tcPr>
          <w:p w14:paraId="118D223A" w14:textId="77777777" w:rsidR="00B26806" w:rsidRPr="0082484A" w:rsidRDefault="00B26806" w:rsidP="00B26806">
            <w:pPr>
              <w:adjustRightInd w:val="0"/>
              <w:spacing w:before="67" w:after="67" w:line="259" w:lineRule="auto"/>
              <w:rPr>
                <w:rFonts w:eastAsia="Calibri"/>
                <w:color w:val="000000"/>
                <w:sz w:val="22"/>
                <w:szCs w:val="22"/>
              </w:rPr>
            </w:pPr>
          </w:p>
        </w:tc>
        <w:tc>
          <w:tcPr>
            <w:tcW w:w="1063" w:type="dxa"/>
            <w:tcBorders>
              <w:top w:val="nil"/>
              <w:left w:val="nil"/>
              <w:bottom w:val="nil"/>
              <w:right w:val="nil"/>
            </w:tcBorders>
            <w:shd w:val="clear" w:color="auto" w:fill="FFFFFF"/>
            <w:tcMar>
              <w:left w:w="67" w:type="dxa"/>
              <w:right w:w="67" w:type="dxa"/>
            </w:tcMar>
          </w:tcPr>
          <w:p w14:paraId="6E66D46C" w14:textId="77777777" w:rsidR="00B26806" w:rsidRPr="0082484A" w:rsidRDefault="00B26806" w:rsidP="00B26806">
            <w:pPr>
              <w:adjustRightInd w:val="0"/>
              <w:spacing w:before="67" w:after="67" w:line="259" w:lineRule="auto"/>
              <w:rPr>
                <w:rFonts w:eastAsia="Calibri"/>
                <w:color w:val="000000"/>
                <w:sz w:val="22"/>
                <w:szCs w:val="22"/>
              </w:rPr>
            </w:pPr>
          </w:p>
        </w:tc>
        <w:tc>
          <w:tcPr>
            <w:tcW w:w="1539" w:type="dxa"/>
            <w:tcBorders>
              <w:top w:val="nil"/>
              <w:left w:val="nil"/>
              <w:bottom w:val="nil"/>
              <w:right w:val="nil"/>
            </w:tcBorders>
            <w:shd w:val="clear" w:color="auto" w:fill="FFFFFF"/>
            <w:tcMar>
              <w:left w:w="67" w:type="dxa"/>
              <w:right w:w="67" w:type="dxa"/>
            </w:tcMar>
          </w:tcPr>
          <w:p w14:paraId="79F02CC4" w14:textId="77777777" w:rsidR="00B26806" w:rsidRPr="0082484A" w:rsidRDefault="00B26806" w:rsidP="00B26806">
            <w:pPr>
              <w:adjustRightInd w:val="0"/>
              <w:spacing w:before="67" w:after="67" w:line="259" w:lineRule="auto"/>
              <w:rPr>
                <w:rFonts w:eastAsia="Calibri"/>
                <w:color w:val="000000"/>
                <w:sz w:val="22"/>
                <w:szCs w:val="22"/>
              </w:rPr>
            </w:pPr>
          </w:p>
        </w:tc>
        <w:tc>
          <w:tcPr>
            <w:tcW w:w="1165" w:type="dxa"/>
            <w:tcBorders>
              <w:top w:val="nil"/>
              <w:left w:val="nil"/>
              <w:bottom w:val="nil"/>
              <w:right w:val="single" w:sz="11" w:space="0" w:color="000000"/>
            </w:tcBorders>
            <w:shd w:val="clear" w:color="auto" w:fill="FFFFFF"/>
            <w:tcMar>
              <w:left w:w="67" w:type="dxa"/>
              <w:right w:w="67" w:type="dxa"/>
            </w:tcMar>
          </w:tcPr>
          <w:p w14:paraId="0DF24D06" w14:textId="77777777" w:rsidR="00B26806" w:rsidRPr="0082484A" w:rsidRDefault="00B26806" w:rsidP="00B26806">
            <w:pPr>
              <w:adjustRightInd w:val="0"/>
              <w:spacing w:before="67" w:after="67" w:line="259" w:lineRule="auto"/>
              <w:rPr>
                <w:rFonts w:eastAsia="Calibri"/>
                <w:color w:val="000000"/>
                <w:sz w:val="22"/>
                <w:szCs w:val="22"/>
              </w:rPr>
            </w:pPr>
          </w:p>
        </w:tc>
      </w:tr>
      <w:tr w:rsidR="00B26806" w:rsidRPr="0082484A" w14:paraId="0367BE77"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3C658E65"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Year of Care</w:t>
            </w:r>
          </w:p>
        </w:tc>
        <w:tc>
          <w:tcPr>
            <w:tcW w:w="1165" w:type="dxa"/>
            <w:tcBorders>
              <w:top w:val="nil"/>
              <w:left w:val="nil"/>
              <w:bottom w:val="nil"/>
              <w:right w:val="nil"/>
            </w:tcBorders>
            <w:shd w:val="clear" w:color="auto" w:fill="FFFFFF"/>
            <w:tcMar>
              <w:left w:w="67" w:type="dxa"/>
              <w:right w:w="67" w:type="dxa"/>
            </w:tcMar>
          </w:tcPr>
          <w:p w14:paraId="1F148798"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2 (10.53%)</w:t>
            </w:r>
          </w:p>
        </w:tc>
        <w:tc>
          <w:tcPr>
            <w:tcW w:w="1154" w:type="dxa"/>
            <w:tcBorders>
              <w:top w:val="nil"/>
              <w:left w:val="nil"/>
              <w:bottom w:val="nil"/>
              <w:right w:val="nil"/>
            </w:tcBorders>
            <w:shd w:val="clear" w:color="auto" w:fill="FFFFFF"/>
            <w:tcMar>
              <w:left w:w="67" w:type="dxa"/>
              <w:right w:w="67" w:type="dxa"/>
            </w:tcMar>
          </w:tcPr>
          <w:p w14:paraId="71A28FF5"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4 (21.05%)</w:t>
            </w:r>
          </w:p>
        </w:tc>
        <w:tc>
          <w:tcPr>
            <w:tcW w:w="1063" w:type="dxa"/>
            <w:tcBorders>
              <w:top w:val="nil"/>
              <w:left w:val="nil"/>
              <w:bottom w:val="nil"/>
              <w:right w:val="nil"/>
            </w:tcBorders>
            <w:shd w:val="clear" w:color="auto" w:fill="FFFFFF"/>
            <w:tcMar>
              <w:left w:w="67" w:type="dxa"/>
              <w:right w:w="67" w:type="dxa"/>
            </w:tcMar>
          </w:tcPr>
          <w:p w14:paraId="04799D9F"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1 (14.29%)</w:t>
            </w:r>
          </w:p>
        </w:tc>
        <w:tc>
          <w:tcPr>
            <w:tcW w:w="1539" w:type="dxa"/>
            <w:tcBorders>
              <w:top w:val="nil"/>
              <w:left w:val="nil"/>
              <w:bottom w:val="nil"/>
              <w:right w:val="nil"/>
            </w:tcBorders>
            <w:shd w:val="clear" w:color="auto" w:fill="FFFFFF"/>
            <w:tcMar>
              <w:left w:w="67" w:type="dxa"/>
              <w:right w:w="67" w:type="dxa"/>
            </w:tcMar>
          </w:tcPr>
          <w:p w14:paraId="48A09ABA"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3 (25.00%)</w:t>
            </w:r>
          </w:p>
        </w:tc>
        <w:tc>
          <w:tcPr>
            <w:tcW w:w="1165" w:type="dxa"/>
            <w:tcBorders>
              <w:top w:val="nil"/>
              <w:left w:val="nil"/>
              <w:bottom w:val="nil"/>
              <w:right w:val="single" w:sz="11" w:space="0" w:color="000000"/>
            </w:tcBorders>
            <w:shd w:val="clear" w:color="auto" w:fill="FFFFFF"/>
            <w:tcMar>
              <w:left w:w="67" w:type="dxa"/>
              <w:right w:w="67" w:type="dxa"/>
            </w:tcMar>
          </w:tcPr>
          <w:p w14:paraId="545CB3BA"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10 (17.54%)</w:t>
            </w:r>
          </w:p>
        </w:tc>
      </w:tr>
      <w:tr w:rsidR="00B26806" w:rsidRPr="0082484A" w14:paraId="0BBBCD06"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3E02912E"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GRASP-AF</w:t>
            </w:r>
          </w:p>
        </w:tc>
        <w:tc>
          <w:tcPr>
            <w:tcW w:w="1165" w:type="dxa"/>
            <w:tcBorders>
              <w:top w:val="nil"/>
              <w:left w:val="nil"/>
              <w:bottom w:val="nil"/>
              <w:right w:val="nil"/>
            </w:tcBorders>
            <w:shd w:val="clear" w:color="auto" w:fill="FFFFFF"/>
            <w:tcMar>
              <w:left w:w="67" w:type="dxa"/>
              <w:right w:w="67" w:type="dxa"/>
            </w:tcMar>
          </w:tcPr>
          <w:p w14:paraId="03886329"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2 (10.53%)</w:t>
            </w:r>
          </w:p>
        </w:tc>
        <w:tc>
          <w:tcPr>
            <w:tcW w:w="1154" w:type="dxa"/>
            <w:tcBorders>
              <w:top w:val="nil"/>
              <w:left w:val="nil"/>
              <w:bottom w:val="nil"/>
              <w:right w:val="nil"/>
            </w:tcBorders>
            <w:shd w:val="clear" w:color="auto" w:fill="FFFFFF"/>
            <w:tcMar>
              <w:left w:w="67" w:type="dxa"/>
              <w:right w:w="67" w:type="dxa"/>
            </w:tcMar>
          </w:tcPr>
          <w:p w14:paraId="2250E062"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0 (0.00%)</w:t>
            </w:r>
          </w:p>
        </w:tc>
        <w:tc>
          <w:tcPr>
            <w:tcW w:w="1063" w:type="dxa"/>
            <w:tcBorders>
              <w:top w:val="nil"/>
              <w:left w:val="nil"/>
              <w:bottom w:val="nil"/>
              <w:right w:val="nil"/>
            </w:tcBorders>
            <w:shd w:val="clear" w:color="auto" w:fill="FFFFFF"/>
            <w:tcMar>
              <w:left w:w="67" w:type="dxa"/>
              <w:right w:w="67" w:type="dxa"/>
            </w:tcMar>
          </w:tcPr>
          <w:p w14:paraId="13BCC3D4"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0 (0.00%)</w:t>
            </w:r>
          </w:p>
        </w:tc>
        <w:tc>
          <w:tcPr>
            <w:tcW w:w="1539" w:type="dxa"/>
            <w:tcBorders>
              <w:top w:val="nil"/>
              <w:left w:val="nil"/>
              <w:bottom w:val="nil"/>
              <w:right w:val="nil"/>
            </w:tcBorders>
            <w:shd w:val="clear" w:color="auto" w:fill="FFFFFF"/>
            <w:tcMar>
              <w:left w:w="67" w:type="dxa"/>
              <w:right w:w="67" w:type="dxa"/>
            </w:tcMar>
          </w:tcPr>
          <w:p w14:paraId="4BB166A5"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0 (0.00%)</w:t>
            </w:r>
          </w:p>
        </w:tc>
        <w:tc>
          <w:tcPr>
            <w:tcW w:w="1165" w:type="dxa"/>
            <w:tcBorders>
              <w:top w:val="nil"/>
              <w:left w:val="nil"/>
              <w:bottom w:val="nil"/>
              <w:right w:val="single" w:sz="11" w:space="0" w:color="000000"/>
            </w:tcBorders>
            <w:shd w:val="clear" w:color="auto" w:fill="FFFFFF"/>
            <w:tcMar>
              <w:left w:w="67" w:type="dxa"/>
              <w:right w:w="67" w:type="dxa"/>
            </w:tcMar>
          </w:tcPr>
          <w:p w14:paraId="6FBB9E7B"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2 (3.51%)</w:t>
            </w:r>
          </w:p>
        </w:tc>
      </w:tr>
      <w:tr w:rsidR="00B26806" w:rsidRPr="0082484A" w14:paraId="40492448"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3EB507DE"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Bradford Beating Diabetes</w:t>
            </w:r>
          </w:p>
        </w:tc>
        <w:tc>
          <w:tcPr>
            <w:tcW w:w="1165" w:type="dxa"/>
            <w:tcBorders>
              <w:top w:val="nil"/>
              <w:left w:val="nil"/>
              <w:bottom w:val="nil"/>
              <w:right w:val="nil"/>
            </w:tcBorders>
            <w:shd w:val="clear" w:color="auto" w:fill="FFFFFF"/>
            <w:tcMar>
              <w:left w:w="67" w:type="dxa"/>
              <w:right w:w="67" w:type="dxa"/>
            </w:tcMar>
          </w:tcPr>
          <w:p w14:paraId="41FB9B54"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2 (10.53%)</w:t>
            </w:r>
          </w:p>
        </w:tc>
        <w:tc>
          <w:tcPr>
            <w:tcW w:w="1154" w:type="dxa"/>
            <w:tcBorders>
              <w:top w:val="nil"/>
              <w:left w:val="nil"/>
              <w:bottom w:val="nil"/>
              <w:right w:val="nil"/>
            </w:tcBorders>
            <w:shd w:val="clear" w:color="auto" w:fill="FFFFFF"/>
            <w:tcMar>
              <w:left w:w="67" w:type="dxa"/>
              <w:right w:w="67" w:type="dxa"/>
            </w:tcMar>
          </w:tcPr>
          <w:p w14:paraId="6C82AA86"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5 (26.32%)</w:t>
            </w:r>
          </w:p>
        </w:tc>
        <w:tc>
          <w:tcPr>
            <w:tcW w:w="1063" w:type="dxa"/>
            <w:tcBorders>
              <w:top w:val="nil"/>
              <w:left w:val="nil"/>
              <w:bottom w:val="nil"/>
              <w:right w:val="nil"/>
            </w:tcBorders>
            <w:shd w:val="clear" w:color="auto" w:fill="FFFFFF"/>
            <w:tcMar>
              <w:left w:w="67" w:type="dxa"/>
              <w:right w:w="67" w:type="dxa"/>
            </w:tcMar>
          </w:tcPr>
          <w:p w14:paraId="6BD4BBAE"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3 (42.86%)</w:t>
            </w:r>
          </w:p>
        </w:tc>
        <w:tc>
          <w:tcPr>
            <w:tcW w:w="1539" w:type="dxa"/>
            <w:tcBorders>
              <w:top w:val="nil"/>
              <w:left w:val="nil"/>
              <w:bottom w:val="nil"/>
              <w:right w:val="nil"/>
            </w:tcBorders>
            <w:shd w:val="clear" w:color="auto" w:fill="FFFFFF"/>
            <w:tcMar>
              <w:left w:w="67" w:type="dxa"/>
              <w:right w:w="67" w:type="dxa"/>
            </w:tcMar>
          </w:tcPr>
          <w:p w14:paraId="5B30FCB8"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3 (25.00%)</w:t>
            </w:r>
          </w:p>
        </w:tc>
        <w:tc>
          <w:tcPr>
            <w:tcW w:w="1165" w:type="dxa"/>
            <w:tcBorders>
              <w:top w:val="nil"/>
              <w:left w:val="nil"/>
              <w:bottom w:val="nil"/>
              <w:right w:val="single" w:sz="11" w:space="0" w:color="000000"/>
            </w:tcBorders>
            <w:shd w:val="clear" w:color="auto" w:fill="FFFFFF"/>
            <w:tcMar>
              <w:left w:w="67" w:type="dxa"/>
              <w:right w:w="67" w:type="dxa"/>
            </w:tcMar>
          </w:tcPr>
          <w:p w14:paraId="015BF816"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13 (22.81%)</w:t>
            </w:r>
          </w:p>
        </w:tc>
      </w:tr>
      <w:tr w:rsidR="00B26806" w:rsidRPr="0082484A" w14:paraId="0AC3A0CA"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5101B227" w14:textId="77777777" w:rsidR="00B26806" w:rsidRPr="0082484A" w:rsidRDefault="00B26806" w:rsidP="00B26806">
            <w:pPr>
              <w:adjustRightInd w:val="0"/>
              <w:spacing w:before="67" w:after="67" w:line="259" w:lineRule="auto"/>
              <w:rPr>
                <w:rFonts w:eastAsia="Calibri"/>
                <w:color w:val="000000"/>
                <w:sz w:val="22"/>
                <w:szCs w:val="22"/>
              </w:rPr>
            </w:pPr>
          </w:p>
        </w:tc>
        <w:tc>
          <w:tcPr>
            <w:tcW w:w="1165" w:type="dxa"/>
            <w:tcBorders>
              <w:top w:val="nil"/>
              <w:left w:val="nil"/>
              <w:bottom w:val="nil"/>
              <w:right w:val="nil"/>
            </w:tcBorders>
            <w:shd w:val="clear" w:color="auto" w:fill="FFFFFF"/>
            <w:tcMar>
              <w:left w:w="67" w:type="dxa"/>
              <w:right w:w="67" w:type="dxa"/>
            </w:tcMar>
          </w:tcPr>
          <w:p w14:paraId="491C58DC" w14:textId="77777777" w:rsidR="00B26806" w:rsidRPr="0082484A" w:rsidRDefault="00B26806" w:rsidP="00B26806">
            <w:pPr>
              <w:adjustRightInd w:val="0"/>
              <w:spacing w:before="67" w:after="67" w:line="259" w:lineRule="auto"/>
              <w:rPr>
                <w:rFonts w:eastAsia="Calibri"/>
                <w:color w:val="000000"/>
                <w:sz w:val="22"/>
                <w:szCs w:val="22"/>
              </w:rPr>
            </w:pPr>
          </w:p>
        </w:tc>
        <w:tc>
          <w:tcPr>
            <w:tcW w:w="1154" w:type="dxa"/>
            <w:tcBorders>
              <w:top w:val="nil"/>
              <w:left w:val="nil"/>
              <w:bottom w:val="nil"/>
              <w:right w:val="nil"/>
            </w:tcBorders>
            <w:shd w:val="clear" w:color="auto" w:fill="FFFFFF"/>
            <w:tcMar>
              <w:left w:w="67" w:type="dxa"/>
              <w:right w:w="67" w:type="dxa"/>
            </w:tcMar>
          </w:tcPr>
          <w:p w14:paraId="5F89CFD4" w14:textId="77777777" w:rsidR="00B26806" w:rsidRPr="0082484A" w:rsidRDefault="00B26806" w:rsidP="00B26806">
            <w:pPr>
              <w:adjustRightInd w:val="0"/>
              <w:spacing w:before="67" w:after="67" w:line="259" w:lineRule="auto"/>
              <w:rPr>
                <w:rFonts w:eastAsia="Calibri"/>
                <w:color w:val="000000"/>
                <w:sz w:val="22"/>
                <w:szCs w:val="22"/>
              </w:rPr>
            </w:pPr>
          </w:p>
        </w:tc>
        <w:tc>
          <w:tcPr>
            <w:tcW w:w="1063" w:type="dxa"/>
            <w:tcBorders>
              <w:top w:val="nil"/>
              <w:left w:val="nil"/>
              <w:bottom w:val="nil"/>
              <w:right w:val="nil"/>
            </w:tcBorders>
            <w:shd w:val="clear" w:color="auto" w:fill="FFFFFF"/>
            <w:tcMar>
              <w:left w:w="67" w:type="dxa"/>
              <w:right w:w="67" w:type="dxa"/>
            </w:tcMar>
          </w:tcPr>
          <w:p w14:paraId="44F6E509"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w:t>
            </w:r>
          </w:p>
        </w:tc>
        <w:tc>
          <w:tcPr>
            <w:tcW w:w="1539" w:type="dxa"/>
            <w:tcBorders>
              <w:top w:val="nil"/>
              <w:left w:val="nil"/>
              <w:bottom w:val="nil"/>
              <w:right w:val="nil"/>
            </w:tcBorders>
            <w:shd w:val="clear" w:color="auto" w:fill="FFFFFF"/>
            <w:tcMar>
              <w:left w:w="67" w:type="dxa"/>
              <w:right w:w="67" w:type="dxa"/>
            </w:tcMar>
          </w:tcPr>
          <w:p w14:paraId="4EBD6F1F" w14:textId="77777777" w:rsidR="00B26806" w:rsidRPr="0082484A" w:rsidRDefault="00B26806" w:rsidP="00B26806">
            <w:pPr>
              <w:adjustRightInd w:val="0"/>
              <w:spacing w:before="67" w:after="67" w:line="259" w:lineRule="auto"/>
              <w:rPr>
                <w:rFonts w:eastAsia="Calibri"/>
                <w:color w:val="000000"/>
                <w:sz w:val="22"/>
                <w:szCs w:val="22"/>
              </w:rPr>
            </w:pPr>
          </w:p>
        </w:tc>
        <w:tc>
          <w:tcPr>
            <w:tcW w:w="1165" w:type="dxa"/>
            <w:tcBorders>
              <w:top w:val="nil"/>
              <w:left w:val="nil"/>
              <w:bottom w:val="nil"/>
              <w:right w:val="single" w:sz="11" w:space="0" w:color="000000"/>
            </w:tcBorders>
            <w:shd w:val="clear" w:color="auto" w:fill="FFFFFF"/>
            <w:tcMar>
              <w:left w:w="67" w:type="dxa"/>
              <w:right w:w="67" w:type="dxa"/>
            </w:tcMar>
          </w:tcPr>
          <w:p w14:paraId="545CE4D5" w14:textId="77777777" w:rsidR="00B26806" w:rsidRPr="0082484A" w:rsidRDefault="00B26806" w:rsidP="00B26806">
            <w:pPr>
              <w:adjustRightInd w:val="0"/>
              <w:spacing w:before="67" w:after="67" w:line="259" w:lineRule="auto"/>
              <w:rPr>
                <w:rFonts w:eastAsia="Calibri"/>
                <w:color w:val="000000"/>
                <w:sz w:val="22"/>
                <w:szCs w:val="22"/>
              </w:rPr>
            </w:pPr>
          </w:p>
        </w:tc>
      </w:tr>
      <w:tr w:rsidR="00B26806" w:rsidRPr="0082484A" w14:paraId="4973403C" w14:textId="77777777" w:rsidTr="00B26806">
        <w:trPr>
          <w:cantSplit/>
        </w:trPr>
        <w:tc>
          <w:tcPr>
            <w:tcW w:w="2866" w:type="dxa"/>
            <w:tcBorders>
              <w:top w:val="nil"/>
              <w:left w:val="single" w:sz="11" w:space="0" w:color="000000"/>
              <w:bottom w:val="nil"/>
              <w:right w:val="nil"/>
            </w:tcBorders>
            <w:shd w:val="clear" w:color="auto" w:fill="FFFFFF"/>
            <w:tcMar>
              <w:left w:w="67" w:type="dxa"/>
              <w:right w:w="67" w:type="dxa"/>
            </w:tcMar>
          </w:tcPr>
          <w:p w14:paraId="0DFC1DF5"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Other</w:t>
            </w:r>
          </w:p>
        </w:tc>
        <w:tc>
          <w:tcPr>
            <w:tcW w:w="1165" w:type="dxa"/>
            <w:tcBorders>
              <w:top w:val="nil"/>
              <w:left w:val="nil"/>
              <w:bottom w:val="nil"/>
              <w:right w:val="nil"/>
            </w:tcBorders>
            <w:shd w:val="clear" w:color="auto" w:fill="FFFFFF"/>
            <w:tcMar>
              <w:left w:w="67" w:type="dxa"/>
              <w:right w:w="67" w:type="dxa"/>
            </w:tcMar>
          </w:tcPr>
          <w:p w14:paraId="1C15F8CD"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13 (68.42%)</w:t>
            </w:r>
          </w:p>
        </w:tc>
        <w:tc>
          <w:tcPr>
            <w:tcW w:w="1154" w:type="dxa"/>
            <w:tcBorders>
              <w:top w:val="nil"/>
              <w:left w:val="nil"/>
              <w:bottom w:val="nil"/>
              <w:right w:val="nil"/>
            </w:tcBorders>
            <w:shd w:val="clear" w:color="auto" w:fill="FFFFFF"/>
            <w:tcMar>
              <w:left w:w="67" w:type="dxa"/>
              <w:right w:w="67" w:type="dxa"/>
            </w:tcMar>
          </w:tcPr>
          <w:p w14:paraId="11F69E2D"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10 (52.63%)</w:t>
            </w:r>
          </w:p>
        </w:tc>
        <w:tc>
          <w:tcPr>
            <w:tcW w:w="1063" w:type="dxa"/>
            <w:tcBorders>
              <w:top w:val="nil"/>
              <w:left w:val="nil"/>
              <w:bottom w:val="nil"/>
              <w:right w:val="nil"/>
            </w:tcBorders>
            <w:shd w:val="clear" w:color="auto" w:fill="FFFFFF"/>
            <w:tcMar>
              <w:left w:w="67" w:type="dxa"/>
              <w:right w:w="67" w:type="dxa"/>
            </w:tcMar>
          </w:tcPr>
          <w:p w14:paraId="3D1EE5B0"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3 (42.86%)</w:t>
            </w:r>
          </w:p>
        </w:tc>
        <w:tc>
          <w:tcPr>
            <w:tcW w:w="1539" w:type="dxa"/>
            <w:tcBorders>
              <w:top w:val="nil"/>
              <w:left w:val="nil"/>
              <w:bottom w:val="nil"/>
              <w:right w:val="nil"/>
            </w:tcBorders>
            <w:shd w:val="clear" w:color="auto" w:fill="FFFFFF"/>
            <w:tcMar>
              <w:left w:w="67" w:type="dxa"/>
              <w:right w:w="67" w:type="dxa"/>
            </w:tcMar>
          </w:tcPr>
          <w:p w14:paraId="655E5366"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6 (50.00%)</w:t>
            </w:r>
          </w:p>
        </w:tc>
        <w:tc>
          <w:tcPr>
            <w:tcW w:w="1165" w:type="dxa"/>
            <w:tcBorders>
              <w:top w:val="nil"/>
              <w:left w:val="nil"/>
              <w:bottom w:val="nil"/>
              <w:right w:val="single" w:sz="11" w:space="0" w:color="000000"/>
            </w:tcBorders>
            <w:shd w:val="clear" w:color="auto" w:fill="FFFFFF"/>
            <w:tcMar>
              <w:left w:w="67" w:type="dxa"/>
              <w:right w:w="67" w:type="dxa"/>
            </w:tcMar>
          </w:tcPr>
          <w:p w14:paraId="6EB24E50" w14:textId="77777777" w:rsidR="00B26806" w:rsidRPr="0082484A" w:rsidRDefault="00B26806" w:rsidP="00B26806">
            <w:pPr>
              <w:adjustRightInd w:val="0"/>
              <w:spacing w:before="67" w:after="67" w:line="259" w:lineRule="auto"/>
              <w:rPr>
                <w:rFonts w:eastAsia="Calibri"/>
                <w:color w:val="000000"/>
                <w:sz w:val="22"/>
                <w:szCs w:val="22"/>
              </w:rPr>
            </w:pPr>
            <w:r w:rsidRPr="0082484A">
              <w:rPr>
                <w:rFonts w:eastAsia="Calibri"/>
                <w:color w:val="000000"/>
                <w:sz w:val="22"/>
                <w:szCs w:val="22"/>
              </w:rPr>
              <w:t>32 (56.14%)</w:t>
            </w:r>
          </w:p>
        </w:tc>
      </w:tr>
      <w:tr w:rsidR="00B26806" w:rsidRPr="0082484A" w14:paraId="7E9F2BAB" w14:textId="77777777" w:rsidTr="00B26806">
        <w:trPr>
          <w:cantSplit/>
        </w:trPr>
        <w:tc>
          <w:tcPr>
            <w:tcW w:w="2866" w:type="dxa"/>
            <w:tcBorders>
              <w:top w:val="nil"/>
              <w:left w:val="single" w:sz="11" w:space="0" w:color="000000"/>
              <w:bottom w:val="single" w:sz="11" w:space="0" w:color="000000"/>
              <w:right w:val="nil"/>
            </w:tcBorders>
            <w:shd w:val="clear" w:color="auto" w:fill="FFFFFF"/>
            <w:tcMar>
              <w:left w:w="67" w:type="dxa"/>
              <w:right w:w="67" w:type="dxa"/>
            </w:tcMar>
          </w:tcPr>
          <w:p w14:paraId="65740A4C" w14:textId="77777777" w:rsidR="00B26806" w:rsidRPr="0082484A" w:rsidRDefault="00B26806" w:rsidP="00B26806">
            <w:pPr>
              <w:adjustRightInd w:val="0"/>
              <w:spacing w:before="67" w:after="67" w:line="259" w:lineRule="auto"/>
              <w:rPr>
                <w:rFonts w:eastAsia="Calibri"/>
                <w:color w:val="000000"/>
                <w:sz w:val="22"/>
                <w:szCs w:val="22"/>
              </w:rPr>
            </w:pPr>
          </w:p>
        </w:tc>
        <w:tc>
          <w:tcPr>
            <w:tcW w:w="1165" w:type="dxa"/>
            <w:tcBorders>
              <w:top w:val="nil"/>
              <w:left w:val="nil"/>
              <w:bottom w:val="single" w:sz="11" w:space="0" w:color="000000"/>
              <w:right w:val="nil"/>
            </w:tcBorders>
            <w:shd w:val="clear" w:color="auto" w:fill="FFFFFF"/>
            <w:tcMar>
              <w:left w:w="67" w:type="dxa"/>
              <w:right w:w="67" w:type="dxa"/>
            </w:tcMar>
          </w:tcPr>
          <w:p w14:paraId="2FBBF0E8" w14:textId="77777777" w:rsidR="00B26806" w:rsidRPr="0082484A" w:rsidRDefault="00B26806" w:rsidP="00B26806">
            <w:pPr>
              <w:adjustRightInd w:val="0"/>
              <w:spacing w:before="67" w:after="67" w:line="259" w:lineRule="auto"/>
              <w:rPr>
                <w:rFonts w:eastAsia="Calibri"/>
                <w:color w:val="000000"/>
                <w:sz w:val="22"/>
                <w:szCs w:val="22"/>
              </w:rPr>
            </w:pPr>
          </w:p>
        </w:tc>
        <w:tc>
          <w:tcPr>
            <w:tcW w:w="1154" w:type="dxa"/>
            <w:tcBorders>
              <w:top w:val="nil"/>
              <w:left w:val="nil"/>
              <w:bottom w:val="single" w:sz="11" w:space="0" w:color="000000"/>
              <w:right w:val="nil"/>
            </w:tcBorders>
            <w:shd w:val="clear" w:color="auto" w:fill="FFFFFF"/>
            <w:tcMar>
              <w:left w:w="67" w:type="dxa"/>
              <w:right w:w="67" w:type="dxa"/>
            </w:tcMar>
          </w:tcPr>
          <w:p w14:paraId="5815D251" w14:textId="77777777" w:rsidR="00B26806" w:rsidRPr="0082484A" w:rsidRDefault="00B26806" w:rsidP="00B26806">
            <w:pPr>
              <w:adjustRightInd w:val="0"/>
              <w:spacing w:before="67" w:after="67" w:line="259" w:lineRule="auto"/>
              <w:rPr>
                <w:rFonts w:eastAsia="Calibri"/>
                <w:color w:val="000000"/>
                <w:sz w:val="22"/>
                <w:szCs w:val="22"/>
              </w:rPr>
            </w:pPr>
          </w:p>
        </w:tc>
        <w:tc>
          <w:tcPr>
            <w:tcW w:w="1063" w:type="dxa"/>
            <w:tcBorders>
              <w:top w:val="nil"/>
              <w:left w:val="nil"/>
              <w:bottom w:val="single" w:sz="11" w:space="0" w:color="000000"/>
              <w:right w:val="nil"/>
            </w:tcBorders>
            <w:shd w:val="clear" w:color="auto" w:fill="FFFFFF"/>
            <w:tcMar>
              <w:left w:w="67" w:type="dxa"/>
              <w:right w:w="67" w:type="dxa"/>
            </w:tcMar>
          </w:tcPr>
          <w:p w14:paraId="583245B1" w14:textId="77777777" w:rsidR="00B26806" w:rsidRPr="0082484A" w:rsidRDefault="00B26806" w:rsidP="00B26806">
            <w:pPr>
              <w:adjustRightInd w:val="0"/>
              <w:spacing w:before="67" w:after="67" w:line="259" w:lineRule="auto"/>
              <w:rPr>
                <w:rFonts w:eastAsia="Calibri"/>
                <w:color w:val="000000"/>
                <w:sz w:val="22"/>
                <w:szCs w:val="22"/>
              </w:rPr>
            </w:pPr>
          </w:p>
        </w:tc>
        <w:tc>
          <w:tcPr>
            <w:tcW w:w="1539" w:type="dxa"/>
            <w:tcBorders>
              <w:top w:val="nil"/>
              <w:left w:val="nil"/>
              <w:bottom w:val="single" w:sz="11" w:space="0" w:color="000000"/>
              <w:right w:val="nil"/>
            </w:tcBorders>
            <w:shd w:val="clear" w:color="auto" w:fill="FFFFFF"/>
            <w:tcMar>
              <w:left w:w="67" w:type="dxa"/>
              <w:right w:w="67" w:type="dxa"/>
            </w:tcMar>
          </w:tcPr>
          <w:p w14:paraId="1BA87018" w14:textId="77777777" w:rsidR="00B26806" w:rsidRPr="0082484A" w:rsidRDefault="00B26806" w:rsidP="00B26806">
            <w:pPr>
              <w:adjustRightInd w:val="0"/>
              <w:spacing w:before="67" w:after="67" w:line="259" w:lineRule="auto"/>
              <w:rPr>
                <w:rFonts w:eastAsia="Calibri"/>
                <w:color w:val="000000"/>
                <w:sz w:val="22"/>
                <w:szCs w:val="22"/>
              </w:rPr>
            </w:pPr>
          </w:p>
        </w:tc>
        <w:tc>
          <w:tcPr>
            <w:tcW w:w="1165" w:type="dxa"/>
            <w:tcBorders>
              <w:top w:val="nil"/>
              <w:left w:val="nil"/>
              <w:bottom w:val="single" w:sz="11" w:space="0" w:color="000000"/>
              <w:right w:val="single" w:sz="11" w:space="0" w:color="000000"/>
            </w:tcBorders>
            <w:shd w:val="clear" w:color="auto" w:fill="FFFFFF"/>
            <w:tcMar>
              <w:left w:w="67" w:type="dxa"/>
              <w:right w:w="67" w:type="dxa"/>
            </w:tcMar>
          </w:tcPr>
          <w:p w14:paraId="27E10590" w14:textId="77777777" w:rsidR="00B26806" w:rsidRPr="0082484A" w:rsidRDefault="00B26806" w:rsidP="00B26806">
            <w:pPr>
              <w:adjustRightInd w:val="0"/>
              <w:spacing w:before="67" w:after="67" w:line="259" w:lineRule="auto"/>
              <w:rPr>
                <w:rFonts w:eastAsia="Calibri"/>
                <w:color w:val="000000"/>
                <w:sz w:val="22"/>
                <w:szCs w:val="22"/>
              </w:rPr>
            </w:pPr>
          </w:p>
        </w:tc>
      </w:tr>
    </w:tbl>
    <w:p w14:paraId="3B5B2E77" w14:textId="77777777" w:rsidR="00B26806" w:rsidRPr="0082484A" w:rsidRDefault="00B26806" w:rsidP="00B26806">
      <w:pPr>
        <w:spacing w:before="0" w:after="160" w:line="259" w:lineRule="auto"/>
        <w:rPr>
          <w:rFonts w:eastAsia="Calibri"/>
          <w:sz w:val="22"/>
          <w:szCs w:val="22"/>
        </w:rPr>
      </w:pPr>
      <w:r w:rsidRPr="0082484A">
        <w:rPr>
          <w:rFonts w:eastAsia="Calibri"/>
          <w:sz w:val="22"/>
          <w:szCs w:val="22"/>
        </w:rPr>
        <w:t>NB: Some practices have provided more than one response for participation in other quality improvement initiatives, all responses are included above. In total, 44 practices provided 57 responses.</w:t>
      </w:r>
    </w:p>
    <w:p w14:paraId="01CF57B6" w14:textId="77777777" w:rsidR="009A3C2D" w:rsidRPr="0082484A" w:rsidRDefault="009A3C2D" w:rsidP="009A3C2D">
      <w:pPr>
        <w:spacing w:before="0" w:after="200"/>
        <w:rPr>
          <w:rFonts w:eastAsia="Calibri"/>
          <w:bCs/>
          <w:color w:val="FF0000"/>
          <w:sz w:val="22"/>
          <w:szCs w:val="22"/>
        </w:rPr>
      </w:pPr>
    </w:p>
    <w:p w14:paraId="5165C8B8" w14:textId="3051EB02" w:rsidR="009A3C2D" w:rsidRPr="0082484A" w:rsidRDefault="009A3C2D" w:rsidP="009A3C2D">
      <w:pPr>
        <w:pStyle w:val="Caption"/>
        <w:rPr>
          <w:b w:val="0"/>
          <w:bCs w:val="0"/>
          <w:color w:val="000000"/>
          <w:sz w:val="22"/>
          <w:szCs w:val="22"/>
        </w:rPr>
      </w:pPr>
      <w:bookmarkStart w:id="307" w:name="_Ref8726858"/>
      <w:bookmarkStart w:id="308" w:name="_Toc8728167"/>
      <w:bookmarkStart w:id="309" w:name="_Toc19526814"/>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85</w:t>
      </w:r>
      <w:r w:rsidRPr="0082484A">
        <w:rPr>
          <w:b w:val="0"/>
          <w:noProof/>
          <w:sz w:val="22"/>
          <w:szCs w:val="22"/>
        </w:rPr>
        <w:fldChar w:fldCharType="end"/>
      </w:r>
      <w:bookmarkEnd w:id="307"/>
      <w:r w:rsidRPr="0082484A">
        <w:rPr>
          <w:b w:val="0"/>
          <w:bCs w:val="0"/>
          <w:color w:val="000000"/>
          <w:sz w:val="22"/>
          <w:szCs w:val="22"/>
        </w:rPr>
        <w:t xml:space="preserve">: </w:t>
      </w:r>
      <w:r w:rsidRPr="0082484A">
        <w:rPr>
          <w:b w:val="0"/>
          <w:sz w:val="22"/>
          <w:szCs w:val="22"/>
        </w:rPr>
        <w:t>Characteristics of process evaluation practices by trial (WP5)</w:t>
      </w:r>
      <w:bookmarkEnd w:id="308"/>
      <w:bookmarkEnd w:id="309"/>
    </w:p>
    <w:tbl>
      <w:tblPr>
        <w:tblW w:w="9354" w:type="dxa"/>
        <w:tblLayout w:type="fixed"/>
        <w:tblCellMar>
          <w:left w:w="0" w:type="dxa"/>
          <w:right w:w="0" w:type="dxa"/>
        </w:tblCellMar>
        <w:tblLook w:val="0000" w:firstRow="0" w:lastRow="0" w:firstColumn="0" w:lastColumn="0" w:noHBand="0" w:noVBand="0"/>
      </w:tblPr>
      <w:tblGrid>
        <w:gridCol w:w="1701"/>
        <w:gridCol w:w="2551"/>
        <w:gridCol w:w="2551"/>
        <w:gridCol w:w="2551"/>
      </w:tblGrid>
      <w:tr w:rsidR="009A3C2D" w:rsidRPr="0082484A" w14:paraId="26B4A8E7" w14:textId="77777777" w:rsidTr="00272145">
        <w:trPr>
          <w:cantSplit/>
          <w:tblHeader/>
        </w:trPr>
        <w:tc>
          <w:tcPr>
            <w:tcW w:w="1701"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3D75DE7C" w14:textId="77777777" w:rsidR="009A3C2D" w:rsidRPr="0082484A" w:rsidRDefault="009A3C2D" w:rsidP="00272145">
            <w:pPr>
              <w:adjustRightInd w:val="0"/>
              <w:spacing w:before="67" w:after="67"/>
              <w:contextualSpacing/>
              <w:rPr>
                <w:bCs/>
                <w:color w:val="000000"/>
                <w:sz w:val="22"/>
                <w:szCs w:val="22"/>
              </w:rPr>
            </w:pPr>
          </w:p>
        </w:tc>
        <w:tc>
          <w:tcPr>
            <w:tcW w:w="255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6DE51F99"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Trial 1 (n=4)</w:t>
            </w:r>
          </w:p>
        </w:tc>
        <w:tc>
          <w:tcPr>
            <w:tcW w:w="2551" w:type="dxa"/>
            <w:tcBorders>
              <w:top w:val="single" w:sz="11" w:space="0" w:color="000000"/>
              <w:left w:val="nil"/>
              <w:bottom w:val="single" w:sz="4" w:space="0" w:color="000000"/>
              <w:right w:val="nil"/>
            </w:tcBorders>
            <w:shd w:val="clear" w:color="auto" w:fill="FFFFFF"/>
            <w:tcMar>
              <w:left w:w="67" w:type="dxa"/>
              <w:right w:w="67" w:type="dxa"/>
            </w:tcMar>
            <w:vAlign w:val="bottom"/>
          </w:tcPr>
          <w:p w14:paraId="09FA27A6"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Trial 2 (n=4)</w:t>
            </w:r>
          </w:p>
        </w:tc>
        <w:tc>
          <w:tcPr>
            <w:tcW w:w="2551"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5CCFB08B"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Total (n=8)</w:t>
            </w:r>
          </w:p>
        </w:tc>
      </w:tr>
      <w:tr w:rsidR="009A3C2D" w:rsidRPr="0082484A" w14:paraId="082D6037"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7BC068AD"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List size</w:t>
            </w:r>
          </w:p>
        </w:tc>
        <w:tc>
          <w:tcPr>
            <w:tcW w:w="2551" w:type="dxa"/>
            <w:tcBorders>
              <w:top w:val="nil"/>
              <w:left w:val="nil"/>
              <w:bottom w:val="nil"/>
              <w:right w:val="nil"/>
            </w:tcBorders>
            <w:shd w:val="clear" w:color="auto" w:fill="FFFFFF"/>
            <w:tcMar>
              <w:left w:w="67" w:type="dxa"/>
              <w:right w:w="67" w:type="dxa"/>
            </w:tcMar>
          </w:tcPr>
          <w:p w14:paraId="1F7CAEFC"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D51B006"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11DA8BAE" w14:textId="77777777" w:rsidR="009A3C2D" w:rsidRPr="0082484A" w:rsidRDefault="009A3C2D" w:rsidP="00272145">
            <w:pPr>
              <w:adjustRightInd w:val="0"/>
              <w:spacing w:before="67" w:after="67"/>
              <w:contextualSpacing/>
              <w:rPr>
                <w:color w:val="000000"/>
                <w:sz w:val="22"/>
                <w:szCs w:val="22"/>
              </w:rPr>
            </w:pPr>
          </w:p>
        </w:tc>
      </w:tr>
      <w:tr w:rsidR="009A3C2D" w:rsidRPr="0082484A" w14:paraId="597B3DD2"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4FD0D4D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1981A15C"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7660.50 (2262.68)</w:t>
            </w:r>
          </w:p>
        </w:tc>
        <w:tc>
          <w:tcPr>
            <w:tcW w:w="2551" w:type="dxa"/>
            <w:tcBorders>
              <w:top w:val="nil"/>
              <w:left w:val="nil"/>
              <w:bottom w:val="nil"/>
              <w:right w:val="nil"/>
            </w:tcBorders>
            <w:shd w:val="clear" w:color="auto" w:fill="FFFFFF"/>
            <w:tcMar>
              <w:left w:w="67" w:type="dxa"/>
              <w:right w:w="67" w:type="dxa"/>
            </w:tcMar>
          </w:tcPr>
          <w:p w14:paraId="1D17FFD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9516.25 (3612.47)</w:t>
            </w:r>
          </w:p>
        </w:tc>
        <w:tc>
          <w:tcPr>
            <w:tcW w:w="2551" w:type="dxa"/>
            <w:tcBorders>
              <w:top w:val="nil"/>
              <w:left w:val="nil"/>
              <w:bottom w:val="nil"/>
              <w:right w:val="single" w:sz="11" w:space="0" w:color="000000"/>
            </w:tcBorders>
            <w:shd w:val="clear" w:color="auto" w:fill="FFFFFF"/>
            <w:tcMar>
              <w:left w:w="67" w:type="dxa"/>
              <w:right w:w="67" w:type="dxa"/>
            </w:tcMar>
          </w:tcPr>
          <w:p w14:paraId="3CBDD40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8588.38 (2961.58)</w:t>
            </w:r>
          </w:p>
        </w:tc>
      </w:tr>
      <w:tr w:rsidR="009A3C2D" w:rsidRPr="0082484A" w14:paraId="15DC0433"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67FF8D1C"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Median (Range)</w:t>
            </w:r>
          </w:p>
        </w:tc>
        <w:tc>
          <w:tcPr>
            <w:tcW w:w="2551" w:type="dxa"/>
            <w:tcBorders>
              <w:top w:val="nil"/>
              <w:left w:val="nil"/>
              <w:bottom w:val="nil"/>
              <w:right w:val="nil"/>
            </w:tcBorders>
            <w:shd w:val="clear" w:color="auto" w:fill="FFFFFF"/>
            <w:tcMar>
              <w:left w:w="67" w:type="dxa"/>
              <w:right w:w="67" w:type="dxa"/>
            </w:tcMar>
          </w:tcPr>
          <w:p w14:paraId="51D5539F"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8597.00 (4334.00, 9114.00)</w:t>
            </w:r>
          </w:p>
        </w:tc>
        <w:tc>
          <w:tcPr>
            <w:tcW w:w="2551" w:type="dxa"/>
            <w:tcBorders>
              <w:top w:val="nil"/>
              <w:left w:val="nil"/>
              <w:bottom w:val="nil"/>
              <w:right w:val="nil"/>
            </w:tcBorders>
            <w:shd w:val="clear" w:color="auto" w:fill="FFFFFF"/>
            <w:tcMar>
              <w:left w:w="67" w:type="dxa"/>
              <w:right w:w="67" w:type="dxa"/>
            </w:tcMar>
          </w:tcPr>
          <w:p w14:paraId="7FF5DC8A"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9318.00 (5330.00, 14099.00)</w:t>
            </w:r>
          </w:p>
        </w:tc>
        <w:tc>
          <w:tcPr>
            <w:tcW w:w="2551" w:type="dxa"/>
            <w:tcBorders>
              <w:top w:val="nil"/>
              <w:left w:val="nil"/>
              <w:bottom w:val="nil"/>
              <w:right w:val="single" w:sz="11" w:space="0" w:color="000000"/>
            </w:tcBorders>
            <w:shd w:val="clear" w:color="auto" w:fill="FFFFFF"/>
            <w:tcMar>
              <w:left w:w="67" w:type="dxa"/>
              <w:right w:w="67" w:type="dxa"/>
            </w:tcMar>
          </w:tcPr>
          <w:p w14:paraId="161A9BE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8927.50 (4334.00, 14099.00)</w:t>
            </w:r>
          </w:p>
        </w:tc>
      </w:tr>
      <w:tr w:rsidR="009A3C2D" w:rsidRPr="0082484A" w14:paraId="4133BDF6"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3499E81A"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F6A038B"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711693A8"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0A2B7BA9" w14:textId="77777777" w:rsidR="009A3C2D" w:rsidRPr="0082484A" w:rsidRDefault="009A3C2D" w:rsidP="00272145">
            <w:pPr>
              <w:adjustRightInd w:val="0"/>
              <w:spacing w:before="67" w:after="67"/>
              <w:contextualSpacing/>
              <w:rPr>
                <w:color w:val="000000"/>
                <w:sz w:val="22"/>
                <w:szCs w:val="22"/>
              </w:rPr>
            </w:pPr>
          </w:p>
        </w:tc>
      </w:tr>
      <w:tr w:rsidR="009A3C2D" w:rsidRPr="0082484A" w14:paraId="69C7BC3D"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790B6FB7" w14:textId="77777777" w:rsidR="009A3C2D" w:rsidRPr="0082484A" w:rsidRDefault="009A3C2D" w:rsidP="00272145">
            <w:pPr>
              <w:adjustRightInd w:val="0"/>
              <w:spacing w:before="67" w:after="67"/>
              <w:contextualSpacing/>
              <w:rPr>
                <w:bCs/>
                <w:color w:val="000000"/>
                <w:sz w:val="22"/>
                <w:szCs w:val="22"/>
                <w:vertAlign w:val="superscript"/>
              </w:rPr>
            </w:pPr>
            <w:r w:rsidRPr="0082484A">
              <w:rPr>
                <w:bCs/>
                <w:color w:val="000000"/>
                <w:sz w:val="22"/>
                <w:szCs w:val="22"/>
              </w:rPr>
              <w:t>Overall QOF score</w:t>
            </w:r>
            <w:r w:rsidRPr="0082484A">
              <w:rPr>
                <w:bCs/>
                <w:color w:val="000000"/>
                <w:sz w:val="22"/>
                <w:szCs w:val="22"/>
                <w:vertAlign w:val="superscript"/>
              </w:rPr>
              <w:t>a</w:t>
            </w:r>
          </w:p>
        </w:tc>
        <w:tc>
          <w:tcPr>
            <w:tcW w:w="2551" w:type="dxa"/>
            <w:tcBorders>
              <w:top w:val="nil"/>
              <w:left w:val="nil"/>
              <w:bottom w:val="nil"/>
              <w:right w:val="nil"/>
            </w:tcBorders>
            <w:shd w:val="clear" w:color="auto" w:fill="FFFFFF"/>
            <w:tcMar>
              <w:left w:w="67" w:type="dxa"/>
              <w:right w:w="67" w:type="dxa"/>
            </w:tcMar>
          </w:tcPr>
          <w:p w14:paraId="46C9A828"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4144D6EE"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08F63E7B" w14:textId="77777777" w:rsidR="009A3C2D" w:rsidRPr="0082484A" w:rsidRDefault="009A3C2D" w:rsidP="00272145">
            <w:pPr>
              <w:adjustRightInd w:val="0"/>
              <w:spacing w:before="67" w:after="67"/>
              <w:contextualSpacing/>
              <w:rPr>
                <w:color w:val="000000"/>
                <w:sz w:val="22"/>
                <w:szCs w:val="22"/>
              </w:rPr>
            </w:pPr>
          </w:p>
        </w:tc>
      </w:tr>
      <w:tr w:rsidR="009A3C2D" w:rsidRPr="0082484A" w14:paraId="6A9CD786"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2E8D5BE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000BB4C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538.97 (9.54)</w:t>
            </w:r>
          </w:p>
        </w:tc>
        <w:tc>
          <w:tcPr>
            <w:tcW w:w="2551" w:type="dxa"/>
            <w:tcBorders>
              <w:top w:val="nil"/>
              <w:left w:val="nil"/>
              <w:bottom w:val="nil"/>
              <w:right w:val="nil"/>
            </w:tcBorders>
            <w:shd w:val="clear" w:color="auto" w:fill="FFFFFF"/>
            <w:tcMar>
              <w:left w:w="67" w:type="dxa"/>
              <w:right w:w="67" w:type="dxa"/>
            </w:tcMar>
          </w:tcPr>
          <w:p w14:paraId="5C2282B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529.16 (21.43)</w:t>
            </w:r>
          </w:p>
        </w:tc>
        <w:tc>
          <w:tcPr>
            <w:tcW w:w="2551" w:type="dxa"/>
            <w:tcBorders>
              <w:top w:val="nil"/>
              <w:left w:val="nil"/>
              <w:bottom w:val="nil"/>
              <w:right w:val="single" w:sz="11" w:space="0" w:color="000000"/>
            </w:tcBorders>
            <w:shd w:val="clear" w:color="auto" w:fill="FFFFFF"/>
            <w:tcMar>
              <w:left w:w="67" w:type="dxa"/>
              <w:right w:w="67" w:type="dxa"/>
            </w:tcMar>
          </w:tcPr>
          <w:p w14:paraId="32FE8E10"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534.07 (16.23)</w:t>
            </w:r>
          </w:p>
        </w:tc>
      </w:tr>
      <w:tr w:rsidR="009A3C2D" w:rsidRPr="0082484A" w14:paraId="6DF2ED45"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1E05161C"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Median (Range)</w:t>
            </w:r>
          </w:p>
        </w:tc>
        <w:tc>
          <w:tcPr>
            <w:tcW w:w="2551" w:type="dxa"/>
            <w:tcBorders>
              <w:top w:val="nil"/>
              <w:left w:val="nil"/>
              <w:bottom w:val="nil"/>
              <w:right w:val="nil"/>
            </w:tcBorders>
            <w:shd w:val="clear" w:color="auto" w:fill="FFFFFF"/>
            <w:tcMar>
              <w:left w:w="67" w:type="dxa"/>
              <w:right w:w="67" w:type="dxa"/>
            </w:tcMar>
          </w:tcPr>
          <w:p w14:paraId="442DEF4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539.41 (527.80, 549.28)</w:t>
            </w:r>
          </w:p>
        </w:tc>
        <w:tc>
          <w:tcPr>
            <w:tcW w:w="2551" w:type="dxa"/>
            <w:tcBorders>
              <w:top w:val="nil"/>
              <w:left w:val="nil"/>
              <w:bottom w:val="nil"/>
              <w:right w:val="nil"/>
            </w:tcBorders>
            <w:shd w:val="clear" w:color="auto" w:fill="FFFFFF"/>
            <w:tcMar>
              <w:left w:w="67" w:type="dxa"/>
              <w:right w:w="67" w:type="dxa"/>
            </w:tcMar>
          </w:tcPr>
          <w:p w14:paraId="3140B4EF"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532.32 (500.73, 551.27)</w:t>
            </w:r>
          </w:p>
        </w:tc>
        <w:tc>
          <w:tcPr>
            <w:tcW w:w="2551" w:type="dxa"/>
            <w:tcBorders>
              <w:top w:val="nil"/>
              <w:left w:val="nil"/>
              <w:bottom w:val="nil"/>
              <w:right w:val="single" w:sz="11" w:space="0" w:color="000000"/>
            </w:tcBorders>
            <w:shd w:val="clear" w:color="auto" w:fill="FFFFFF"/>
            <w:tcMar>
              <w:left w:w="67" w:type="dxa"/>
              <w:right w:w="67" w:type="dxa"/>
            </w:tcMar>
          </w:tcPr>
          <w:p w14:paraId="1A69F54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536.32 (500.73, 551.27)</w:t>
            </w:r>
          </w:p>
        </w:tc>
      </w:tr>
      <w:tr w:rsidR="009A3C2D" w:rsidRPr="0082484A" w14:paraId="0C88C2E5"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1B85596B"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65C42055"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30193B24"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52FE9AE2" w14:textId="77777777" w:rsidR="009A3C2D" w:rsidRPr="0082484A" w:rsidRDefault="009A3C2D" w:rsidP="00272145">
            <w:pPr>
              <w:adjustRightInd w:val="0"/>
              <w:spacing w:before="67" w:after="67"/>
              <w:contextualSpacing/>
              <w:rPr>
                <w:color w:val="000000"/>
                <w:sz w:val="22"/>
                <w:szCs w:val="22"/>
              </w:rPr>
            </w:pPr>
          </w:p>
        </w:tc>
      </w:tr>
      <w:tr w:rsidR="009A3C2D" w:rsidRPr="0082484A" w14:paraId="110E20C0"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75A98927"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Pre-intervention achievement</w:t>
            </w:r>
          </w:p>
        </w:tc>
        <w:tc>
          <w:tcPr>
            <w:tcW w:w="2551" w:type="dxa"/>
            <w:tcBorders>
              <w:top w:val="nil"/>
              <w:left w:val="nil"/>
              <w:bottom w:val="nil"/>
              <w:right w:val="nil"/>
            </w:tcBorders>
            <w:shd w:val="clear" w:color="auto" w:fill="FFFFFF"/>
            <w:tcMar>
              <w:left w:w="67" w:type="dxa"/>
              <w:right w:w="67" w:type="dxa"/>
            </w:tcMar>
          </w:tcPr>
          <w:p w14:paraId="03FFA5B1"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18428FB"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4624E912" w14:textId="77777777" w:rsidR="009A3C2D" w:rsidRPr="0082484A" w:rsidRDefault="009A3C2D" w:rsidP="00272145">
            <w:pPr>
              <w:adjustRightInd w:val="0"/>
              <w:spacing w:before="67" w:after="67"/>
              <w:contextualSpacing/>
              <w:rPr>
                <w:color w:val="000000"/>
                <w:sz w:val="22"/>
                <w:szCs w:val="22"/>
              </w:rPr>
            </w:pPr>
          </w:p>
        </w:tc>
      </w:tr>
      <w:tr w:rsidR="009A3C2D" w:rsidRPr="0082484A" w14:paraId="72239A07"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660B1015"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Diabetes control</w:t>
            </w:r>
          </w:p>
        </w:tc>
        <w:tc>
          <w:tcPr>
            <w:tcW w:w="2551" w:type="dxa"/>
            <w:tcBorders>
              <w:top w:val="nil"/>
              <w:left w:val="nil"/>
              <w:bottom w:val="nil"/>
              <w:right w:val="nil"/>
            </w:tcBorders>
            <w:shd w:val="clear" w:color="auto" w:fill="FFFFFF"/>
            <w:tcMar>
              <w:left w:w="67" w:type="dxa"/>
              <w:right w:w="67" w:type="dxa"/>
            </w:tcMar>
          </w:tcPr>
          <w:p w14:paraId="5174E785"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CE2B6C1"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7089D0FE" w14:textId="77777777" w:rsidR="009A3C2D" w:rsidRPr="0082484A" w:rsidRDefault="009A3C2D" w:rsidP="00272145">
            <w:pPr>
              <w:adjustRightInd w:val="0"/>
              <w:spacing w:before="67" w:after="67"/>
              <w:contextualSpacing/>
              <w:rPr>
                <w:color w:val="000000"/>
                <w:sz w:val="22"/>
                <w:szCs w:val="22"/>
              </w:rPr>
            </w:pPr>
          </w:p>
        </w:tc>
      </w:tr>
      <w:tr w:rsidR="009A3C2D" w:rsidRPr="0082484A" w14:paraId="76AFCB91"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5AD90530"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52A8EC0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32.28% (3.19%)</w:t>
            </w:r>
          </w:p>
        </w:tc>
        <w:tc>
          <w:tcPr>
            <w:tcW w:w="2551" w:type="dxa"/>
            <w:tcBorders>
              <w:top w:val="nil"/>
              <w:left w:val="nil"/>
              <w:bottom w:val="nil"/>
              <w:right w:val="nil"/>
            </w:tcBorders>
            <w:shd w:val="clear" w:color="auto" w:fill="FFFFFF"/>
            <w:tcMar>
              <w:left w:w="67" w:type="dxa"/>
              <w:right w:w="67" w:type="dxa"/>
            </w:tcMar>
          </w:tcPr>
          <w:p w14:paraId="3573064F"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33.97% (7.66%)</w:t>
            </w:r>
          </w:p>
        </w:tc>
        <w:tc>
          <w:tcPr>
            <w:tcW w:w="2551" w:type="dxa"/>
            <w:tcBorders>
              <w:top w:val="nil"/>
              <w:left w:val="nil"/>
              <w:bottom w:val="nil"/>
              <w:right w:val="single" w:sz="11" w:space="0" w:color="000000"/>
            </w:tcBorders>
            <w:shd w:val="clear" w:color="auto" w:fill="FFFFFF"/>
            <w:tcMar>
              <w:left w:w="67" w:type="dxa"/>
              <w:right w:w="67" w:type="dxa"/>
            </w:tcMar>
          </w:tcPr>
          <w:p w14:paraId="18C5C8A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33.12% (5.51%)</w:t>
            </w:r>
          </w:p>
        </w:tc>
      </w:tr>
      <w:tr w:rsidR="009A3C2D" w:rsidRPr="0082484A" w14:paraId="114906E7"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51216127"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898E92B"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6D35BB7C"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41666BF9" w14:textId="77777777" w:rsidR="009A3C2D" w:rsidRPr="0082484A" w:rsidRDefault="009A3C2D" w:rsidP="00272145">
            <w:pPr>
              <w:adjustRightInd w:val="0"/>
              <w:spacing w:before="67" w:after="67"/>
              <w:contextualSpacing/>
              <w:rPr>
                <w:color w:val="000000"/>
                <w:sz w:val="22"/>
                <w:szCs w:val="22"/>
              </w:rPr>
            </w:pPr>
          </w:p>
        </w:tc>
      </w:tr>
      <w:tr w:rsidR="009A3C2D" w:rsidRPr="0082484A" w14:paraId="11AD035C"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399A7E6C"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Risky prescribing</w:t>
            </w:r>
          </w:p>
        </w:tc>
        <w:tc>
          <w:tcPr>
            <w:tcW w:w="2551" w:type="dxa"/>
            <w:tcBorders>
              <w:top w:val="nil"/>
              <w:left w:val="nil"/>
              <w:bottom w:val="nil"/>
              <w:right w:val="nil"/>
            </w:tcBorders>
            <w:shd w:val="clear" w:color="auto" w:fill="FFFFFF"/>
            <w:tcMar>
              <w:left w:w="67" w:type="dxa"/>
              <w:right w:w="67" w:type="dxa"/>
            </w:tcMar>
          </w:tcPr>
          <w:p w14:paraId="76F0B90B"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BF7C399"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3B178DF0" w14:textId="77777777" w:rsidR="009A3C2D" w:rsidRPr="0082484A" w:rsidRDefault="009A3C2D" w:rsidP="00272145">
            <w:pPr>
              <w:adjustRightInd w:val="0"/>
              <w:spacing w:before="67" w:after="67"/>
              <w:contextualSpacing/>
              <w:rPr>
                <w:color w:val="000000"/>
                <w:sz w:val="22"/>
                <w:szCs w:val="22"/>
              </w:rPr>
            </w:pPr>
          </w:p>
        </w:tc>
      </w:tr>
      <w:tr w:rsidR="009A3C2D" w:rsidRPr="0082484A" w14:paraId="3A201ED0"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3566ABBA"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3ED6C71A"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9.73% (5.32%)</w:t>
            </w:r>
          </w:p>
        </w:tc>
        <w:tc>
          <w:tcPr>
            <w:tcW w:w="2551" w:type="dxa"/>
            <w:tcBorders>
              <w:top w:val="nil"/>
              <w:left w:val="nil"/>
              <w:bottom w:val="nil"/>
              <w:right w:val="nil"/>
            </w:tcBorders>
            <w:shd w:val="clear" w:color="auto" w:fill="FFFFFF"/>
            <w:tcMar>
              <w:left w:w="67" w:type="dxa"/>
              <w:right w:w="67" w:type="dxa"/>
            </w:tcMar>
          </w:tcPr>
          <w:p w14:paraId="50A103B1"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4.70% (1.68%)</w:t>
            </w:r>
          </w:p>
        </w:tc>
        <w:tc>
          <w:tcPr>
            <w:tcW w:w="2551" w:type="dxa"/>
            <w:tcBorders>
              <w:top w:val="nil"/>
              <w:left w:val="nil"/>
              <w:bottom w:val="nil"/>
              <w:right w:val="single" w:sz="11" w:space="0" w:color="000000"/>
            </w:tcBorders>
            <w:shd w:val="clear" w:color="auto" w:fill="FFFFFF"/>
            <w:tcMar>
              <w:left w:w="67" w:type="dxa"/>
              <w:right w:w="67" w:type="dxa"/>
            </w:tcMar>
          </w:tcPr>
          <w:p w14:paraId="4C176F9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7.22% (4.53%)</w:t>
            </w:r>
          </w:p>
        </w:tc>
      </w:tr>
      <w:tr w:rsidR="009A3C2D" w:rsidRPr="0082484A" w14:paraId="1FB5850E"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7D4AE52E"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3D470AD3"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697716E5"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18B62BA8" w14:textId="77777777" w:rsidR="009A3C2D" w:rsidRPr="0082484A" w:rsidRDefault="009A3C2D" w:rsidP="00272145">
            <w:pPr>
              <w:adjustRightInd w:val="0"/>
              <w:spacing w:before="67" w:after="67"/>
              <w:contextualSpacing/>
              <w:rPr>
                <w:color w:val="000000"/>
                <w:sz w:val="22"/>
                <w:szCs w:val="22"/>
              </w:rPr>
            </w:pPr>
          </w:p>
        </w:tc>
      </w:tr>
      <w:tr w:rsidR="009A3C2D" w:rsidRPr="0082484A" w14:paraId="1BF1CF6F"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11BE2655"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Blood pressure control</w:t>
            </w:r>
          </w:p>
        </w:tc>
        <w:tc>
          <w:tcPr>
            <w:tcW w:w="2551" w:type="dxa"/>
            <w:tcBorders>
              <w:top w:val="nil"/>
              <w:left w:val="nil"/>
              <w:bottom w:val="nil"/>
              <w:right w:val="nil"/>
            </w:tcBorders>
            <w:shd w:val="clear" w:color="auto" w:fill="FFFFFF"/>
            <w:tcMar>
              <w:left w:w="67" w:type="dxa"/>
              <w:right w:w="67" w:type="dxa"/>
            </w:tcMar>
          </w:tcPr>
          <w:p w14:paraId="46D13FDA"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648B7824"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558CF723" w14:textId="77777777" w:rsidR="009A3C2D" w:rsidRPr="0082484A" w:rsidRDefault="009A3C2D" w:rsidP="00272145">
            <w:pPr>
              <w:adjustRightInd w:val="0"/>
              <w:spacing w:before="67" w:after="67"/>
              <w:contextualSpacing/>
              <w:rPr>
                <w:color w:val="000000"/>
                <w:sz w:val="22"/>
                <w:szCs w:val="22"/>
              </w:rPr>
            </w:pPr>
          </w:p>
        </w:tc>
      </w:tr>
      <w:tr w:rsidR="009A3C2D" w:rsidRPr="0082484A" w14:paraId="1E24B79D"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26AFA75F"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3BB4BD61"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62.83% (7.85%)</w:t>
            </w:r>
          </w:p>
        </w:tc>
        <w:tc>
          <w:tcPr>
            <w:tcW w:w="2551" w:type="dxa"/>
            <w:tcBorders>
              <w:top w:val="nil"/>
              <w:left w:val="nil"/>
              <w:bottom w:val="nil"/>
              <w:right w:val="nil"/>
            </w:tcBorders>
            <w:shd w:val="clear" w:color="auto" w:fill="FFFFFF"/>
            <w:tcMar>
              <w:left w:w="67" w:type="dxa"/>
              <w:right w:w="67" w:type="dxa"/>
            </w:tcMar>
          </w:tcPr>
          <w:p w14:paraId="1FD2123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65.47% (8.22%)</w:t>
            </w:r>
          </w:p>
        </w:tc>
        <w:tc>
          <w:tcPr>
            <w:tcW w:w="2551" w:type="dxa"/>
            <w:tcBorders>
              <w:top w:val="nil"/>
              <w:left w:val="nil"/>
              <w:bottom w:val="nil"/>
              <w:right w:val="single" w:sz="11" w:space="0" w:color="000000"/>
            </w:tcBorders>
            <w:shd w:val="clear" w:color="auto" w:fill="FFFFFF"/>
            <w:tcMar>
              <w:left w:w="67" w:type="dxa"/>
              <w:right w:w="67" w:type="dxa"/>
            </w:tcMar>
          </w:tcPr>
          <w:p w14:paraId="5911E255"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64.15% (7.57%)</w:t>
            </w:r>
          </w:p>
        </w:tc>
      </w:tr>
      <w:tr w:rsidR="009A3C2D" w:rsidRPr="0082484A" w14:paraId="12A3F6E4"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01A4C89F"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29B13349"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0E0941DA"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14300E5E" w14:textId="77777777" w:rsidR="009A3C2D" w:rsidRPr="0082484A" w:rsidRDefault="009A3C2D" w:rsidP="00272145">
            <w:pPr>
              <w:adjustRightInd w:val="0"/>
              <w:spacing w:before="67" w:after="67"/>
              <w:contextualSpacing/>
              <w:rPr>
                <w:color w:val="000000"/>
                <w:sz w:val="22"/>
                <w:szCs w:val="22"/>
              </w:rPr>
            </w:pPr>
          </w:p>
        </w:tc>
      </w:tr>
      <w:tr w:rsidR="009A3C2D" w:rsidRPr="0082484A" w14:paraId="2EF06DA3"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374356A4"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Anticoagulation in AF</w:t>
            </w:r>
          </w:p>
        </w:tc>
        <w:tc>
          <w:tcPr>
            <w:tcW w:w="2551" w:type="dxa"/>
            <w:tcBorders>
              <w:top w:val="nil"/>
              <w:left w:val="nil"/>
              <w:bottom w:val="nil"/>
              <w:right w:val="nil"/>
            </w:tcBorders>
            <w:shd w:val="clear" w:color="auto" w:fill="FFFFFF"/>
            <w:tcMar>
              <w:left w:w="67" w:type="dxa"/>
              <w:right w:w="67" w:type="dxa"/>
            </w:tcMar>
          </w:tcPr>
          <w:p w14:paraId="2D5FB08D"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nil"/>
            </w:tcBorders>
            <w:shd w:val="clear" w:color="auto" w:fill="FFFFFF"/>
            <w:tcMar>
              <w:left w:w="67" w:type="dxa"/>
              <w:right w:w="67" w:type="dxa"/>
            </w:tcMar>
          </w:tcPr>
          <w:p w14:paraId="4B04E0A5"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nil"/>
              <w:right w:val="single" w:sz="11" w:space="0" w:color="000000"/>
            </w:tcBorders>
            <w:shd w:val="clear" w:color="auto" w:fill="FFFFFF"/>
            <w:tcMar>
              <w:left w:w="67" w:type="dxa"/>
              <w:right w:w="67" w:type="dxa"/>
            </w:tcMar>
          </w:tcPr>
          <w:p w14:paraId="152B0877" w14:textId="77777777" w:rsidR="009A3C2D" w:rsidRPr="0082484A" w:rsidRDefault="009A3C2D" w:rsidP="00272145">
            <w:pPr>
              <w:adjustRightInd w:val="0"/>
              <w:spacing w:before="67" w:after="67"/>
              <w:contextualSpacing/>
              <w:rPr>
                <w:color w:val="000000"/>
                <w:sz w:val="22"/>
                <w:szCs w:val="22"/>
              </w:rPr>
            </w:pPr>
          </w:p>
        </w:tc>
      </w:tr>
      <w:tr w:rsidR="009A3C2D" w:rsidRPr="0082484A" w14:paraId="5C5E818E" w14:textId="77777777" w:rsidTr="00272145">
        <w:trPr>
          <w:cantSplit/>
        </w:trPr>
        <w:tc>
          <w:tcPr>
            <w:tcW w:w="1701" w:type="dxa"/>
            <w:tcBorders>
              <w:top w:val="nil"/>
              <w:left w:val="single" w:sz="11" w:space="0" w:color="000000"/>
              <w:bottom w:val="nil"/>
              <w:right w:val="nil"/>
            </w:tcBorders>
            <w:shd w:val="clear" w:color="auto" w:fill="FFFFFF"/>
            <w:tcMar>
              <w:left w:w="67" w:type="dxa"/>
              <w:right w:w="67" w:type="dxa"/>
            </w:tcMar>
          </w:tcPr>
          <w:p w14:paraId="58AAC6BA"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2551" w:type="dxa"/>
            <w:tcBorders>
              <w:top w:val="nil"/>
              <w:left w:val="nil"/>
              <w:bottom w:val="nil"/>
              <w:right w:val="nil"/>
            </w:tcBorders>
            <w:shd w:val="clear" w:color="auto" w:fill="FFFFFF"/>
            <w:tcMar>
              <w:left w:w="67" w:type="dxa"/>
              <w:right w:w="67" w:type="dxa"/>
            </w:tcMar>
          </w:tcPr>
          <w:p w14:paraId="2A96B67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67.72% (9.42%)</w:t>
            </w:r>
          </w:p>
        </w:tc>
        <w:tc>
          <w:tcPr>
            <w:tcW w:w="2551" w:type="dxa"/>
            <w:tcBorders>
              <w:top w:val="nil"/>
              <w:left w:val="nil"/>
              <w:bottom w:val="nil"/>
              <w:right w:val="nil"/>
            </w:tcBorders>
            <w:shd w:val="clear" w:color="auto" w:fill="FFFFFF"/>
            <w:tcMar>
              <w:left w:w="67" w:type="dxa"/>
              <w:right w:w="67" w:type="dxa"/>
            </w:tcMar>
          </w:tcPr>
          <w:p w14:paraId="72E2FED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64.95% (5.10%)</w:t>
            </w:r>
          </w:p>
        </w:tc>
        <w:tc>
          <w:tcPr>
            <w:tcW w:w="2551" w:type="dxa"/>
            <w:tcBorders>
              <w:top w:val="nil"/>
              <w:left w:val="nil"/>
              <w:bottom w:val="nil"/>
              <w:right w:val="single" w:sz="11" w:space="0" w:color="000000"/>
            </w:tcBorders>
            <w:shd w:val="clear" w:color="auto" w:fill="FFFFFF"/>
            <w:tcMar>
              <w:left w:w="67" w:type="dxa"/>
              <w:right w:w="67" w:type="dxa"/>
            </w:tcMar>
          </w:tcPr>
          <w:p w14:paraId="0956A758"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66.33% (7.17%)</w:t>
            </w:r>
          </w:p>
        </w:tc>
      </w:tr>
      <w:tr w:rsidR="009A3C2D" w:rsidRPr="0082484A" w14:paraId="704898A2" w14:textId="77777777" w:rsidTr="00272145">
        <w:trPr>
          <w:cantSplit/>
        </w:trPr>
        <w:tc>
          <w:tcPr>
            <w:tcW w:w="1701" w:type="dxa"/>
            <w:tcBorders>
              <w:top w:val="nil"/>
              <w:left w:val="single" w:sz="11" w:space="0" w:color="000000"/>
              <w:bottom w:val="single" w:sz="11" w:space="0" w:color="000000"/>
              <w:right w:val="nil"/>
            </w:tcBorders>
            <w:shd w:val="clear" w:color="auto" w:fill="FFFFFF"/>
            <w:tcMar>
              <w:left w:w="67" w:type="dxa"/>
              <w:right w:w="67" w:type="dxa"/>
            </w:tcMar>
          </w:tcPr>
          <w:p w14:paraId="309D1355"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single" w:sz="11" w:space="0" w:color="000000"/>
              <w:right w:val="nil"/>
            </w:tcBorders>
            <w:shd w:val="clear" w:color="auto" w:fill="FFFFFF"/>
            <w:tcMar>
              <w:left w:w="67" w:type="dxa"/>
              <w:right w:w="67" w:type="dxa"/>
            </w:tcMar>
          </w:tcPr>
          <w:p w14:paraId="14FB6931"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single" w:sz="11" w:space="0" w:color="000000"/>
              <w:right w:val="nil"/>
            </w:tcBorders>
            <w:shd w:val="clear" w:color="auto" w:fill="FFFFFF"/>
            <w:tcMar>
              <w:left w:w="67" w:type="dxa"/>
              <w:right w:w="67" w:type="dxa"/>
            </w:tcMar>
          </w:tcPr>
          <w:p w14:paraId="0BFF30F4" w14:textId="77777777" w:rsidR="009A3C2D" w:rsidRPr="0082484A" w:rsidRDefault="009A3C2D" w:rsidP="00272145">
            <w:pPr>
              <w:adjustRightInd w:val="0"/>
              <w:spacing w:before="67" w:after="67"/>
              <w:contextualSpacing/>
              <w:rPr>
                <w:color w:val="000000"/>
                <w:sz w:val="22"/>
                <w:szCs w:val="22"/>
              </w:rPr>
            </w:pPr>
          </w:p>
        </w:tc>
        <w:tc>
          <w:tcPr>
            <w:tcW w:w="2551" w:type="dxa"/>
            <w:tcBorders>
              <w:top w:val="nil"/>
              <w:left w:val="nil"/>
              <w:bottom w:val="single" w:sz="11" w:space="0" w:color="000000"/>
              <w:right w:val="single" w:sz="11" w:space="0" w:color="000000"/>
            </w:tcBorders>
            <w:shd w:val="clear" w:color="auto" w:fill="FFFFFF"/>
            <w:tcMar>
              <w:left w:w="67" w:type="dxa"/>
              <w:right w:w="67" w:type="dxa"/>
            </w:tcMar>
          </w:tcPr>
          <w:p w14:paraId="5805C44D" w14:textId="77777777" w:rsidR="009A3C2D" w:rsidRPr="0082484A" w:rsidRDefault="009A3C2D" w:rsidP="00272145">
            <w:pPr>
              <w:adjustRightInd w:val="0"/>
              <w:spacing w:before="67" w:after="67"/>
              <w:contextualSpacing/>
              <w:rPr>
                <w:color w:val="000000"/>
                <w:sz w:val="22"/>
                <w:szCs w:val="22"/>
              </w:rPr>
            </w:pPr>
          </w:p>
        </w:tc>
      </w:tr>
    </w:tbl>
    <w:p w14:paraId="2C1476D0" w14:textId="77777777" w:rsidR="009A3C2D" w:rsidRPr="0082484A" w:rsidRDefault="009A3C2D" w:rsidP="009A3C2D">
      <w:pPr>
        <w:contextualSpacing/>
        <w:rPr>
          <w:sz w:val="22"/>
          <w:szCs w:val="22"/>
        </w:rPr>
      </w:pPr>
      <w:r w:rsidRPr="0082484A">
        <w:rPr>
          <w:sz w:val="22"/>
          <w:szCs w:val="22"/>
          <w:vertAlign w:val="superscript"/>
        </w:rPr>
        <w:t xml:space="preserve">a </w:t>
      </w:r>
      <w:r w:rsidRPr="0082484A">
        <w:rPr>
          <w:sz w:val="22"/>
          <w:szCs w:val="22"/>
        </w:rPr>
        <w:t>The 2014-15 QOF measured achievement against 81 indicators; practices scored points on the basis of achievement against each indicator, up to a maximum of 559.</w:t>
      </w:r>
    </w:p>
    <w:p w14:paraId="281EDC0F" w14:textId="77777777" w:rsidR="009A3C2D" w:rsidRPr="0082484A" w:rsidRDefault="009A3C2D" w:rsidP="009A3C2D">
      <w:pPr>
        <w:spacing w:after="160" w:line="259" w:lineRule="auto"/>
        <w:contextualSpacing/>
        <w:rPr>
          <w:color w:val="000000"/>
          <w:sz w:val="22"/>
          <w:szCs w:val="22"/>
        </w:rPr>
      </w:pPr>
      <w:r w:rsidRPr="0082484A">
        <w:rPr>
          <w:color w:val="000000"/>
          <w:sz w:val="22"/>
          <w:szCs w:val="22"/>
        </w:rPr>
        <w:br w:type="page"/>
      </w:r>
    </w:p>
    <w:p w14:paraId="42ED04C4" w14:textId="51B1759B" w:rsidR="009A3C2D" w:rsidRPr="0082484A" w:rsidRDefault="009A3C2D" w:rsidP="009A3C2D">
      <w:pPr>
        <w:pStyle w:val="Caption"/>
        <w:rPr>
          <w:b w:val="0"/>
          <w:bCs w:val="0"/>
          <w:color w:val="000000"/>
          <w:sz w:val="22"/>
          <w:szCs w:val="22"/>
        </w:rPr>
      </w:pPr>
      <w:bookmarkStart w:id="310" w:name="_Ref8726860"/>
      <w:bookmarkStart w:id="311" w:name="_Toc8728168"/>
      <w:bookmarkStart w:id="312" w:name="_Toc19526815"/>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86</w:t>
      </w:r>
      <w:r w:rsidRPr="0082484A">
        <w:rPr>
          <w:b w:val="0"/>
          <w:noProof/>
          <w:sz w:val="22"/>
          <w:szCs w:val="22"/>
        </w:rPr>
        <w:fldChar w:fldCharType="end"/>
      </w:r>
      <w:bookmarkEnd w:id="310"/>
      <w:r w:rsidRPr="0082484A">
        <w:rPr>
          <w:b w:val="0"/>
          <w:bCs w:val="0"/>
          <w:color w:val="000000"/>
          <w:sz w:val="22"/>
          <w:szCs w:val="22"/>
        </w:rPr>
        <w:t xml:space="preserve">: </w:t>
      </w:r>
      <w:r w:rsidRPr="0082484A">
        <w:rPr>
          <w:b w:val="0"/>
          <w:sz w:val="22"/>
          <w:szCs w:val="22"/>
        </w:rPr>
        <w:t>Characteristics of process evaluation practices by indicator (WP5)</w:t>
      </w:r>
      <w:bookmarkEnd w:id="311"/>
      <w:bookmarkEnd w:id="312"/>
    </w:p>
    <w:tbl>
      <w:tblPr>
        <w:tblW w:w="10771" w:type="dxa"/>
        <w:jc w:val="center"/>
        <w:tblLayout w:type="fixed"/>
        <w:tblCellMar>
          <w:left w:w="0" w:type="dxa"/>
          <w:right w:w="0" w:type="dxa"/>
        </w:tblCellMar>
        <w:tblLook w:val="0000" w:firstRow="0" w:lastRow="0" w:firstColumn="0" w:lastColumn="0" w:noHBand="0" w:noVBand="0"/>
      </w:tblPr>
      <w:tblGrid>
        <w:gridCol w:w="1701"/>
        <w:gridCol w:w="1814"/>
        <w:gridCol w:w="1814"/>
        <w:gridCol w:w="1814"/>
        <w:gridCol w:w="1814"/>
        <w:gridCol w:w="1814"/>
      </w:tblGrid>
      <w:tr w:rsidR="009A3C2D" w:rsidRPr="0082484A" w14:paraId="23256B65" w14:textId="77777777" w:rsidTr="00272145">
        <w:trPr>
          <w:cantSplit/>
          <w:tblHeader/>
          <w:jc w:val="center"/>
        </w:trPr>
        <w:tc>
          <w:tcPr>
            <w:tcW w:w="1701" w:type="dxa"/>
            <w:tcBorders>
              <w:top w:val="single" w:sz="8" w:space="0" w:color="auto"/>
              <w:left w:val="single" w:sz="8" w:space="0" w:color="auto"/>
              <w:bottom w:val="single" w:sz="4" w:space="0" w:color="FFFFFF" w:themeColor="background1"/>
              <w:right w:val="nil"/>
            </w:tcBorders>
            <w:shd w:val="clear" w:color="auto" w:fill="FFFFFF"/>
            <w:tcMar>
              <w:left w:w="67" w:type="dxa"/>
              <w:right w:w="67" w:type="dxa"/>
            </w:tcMar>
            <w:vAlign w:val="bottom"/>
          </w:tcPr>
          <w:p w14:paraId="3F1E70BE" w14:textId="77777777" w:rsidR="009A3C2D" w:rsidRPr="0082484A" w:rsidRDefault="009A3C2D" w:rsidP="00272145">
            <w:pPr>
              <w:adjustRightInd w:val="0"/>
              <w:spacing w:before="67" w:after="67"/>
              <w:contextualSpacing/>
              <w:rPr>
                <w:bCs/>
                <w:color w:val="000000"/>
                <w:sz w:val="22"/>
                <w:szCs w:val="22"/>
              </w:rPr>
            </w:pPr>
          </w:p>
        </w:tc>
        <w:tc>
          <w:tcPr>
            <w:tcW w:w="3628" w:type="dxa"/>
            <w:gridSpan w:val="2"/>
            <w:tcBorders>
              <w:top w:val="single" w:sz="8" w:space="0" w:color="auto"/>
              <w:left w:val="nil"/>
              <w:bottom w:val="single" w:sz="4" w:space="0" w:color="FFFFFF" w:themeColor="background1"/>
              <w:right w:val="nil"/>
            </w:tcBorders>
            <w:shd w:val="clear" w:color="auto" w:fill="FFFFFF"/>
            <w:tcMar>
              <w:left w:w="67" w:type="dxa"/>
              <w:right w:w="67" w:type="dxa"/>
            </w:tcMar>
            <w:vAlign w:val="bottom"/>
          </w:tcPr>
          <w:p w14:paraId="0DD7F4A1" w14:textId="77777777" w:rsidR="009A3C2D" w:rsidRPr="0082484A" w:rsidRDefault="009A3C2D" w:rsidP="00272145">
            <w:pPr>
              <w:adjustRightInd w:val="0"/>
              <w:spacing w:before="67" w:after="67"/>
              <w:contextualSpacing/>
              <w:jc w:val="center"/>
              <w:rPr>
                <w:bCs/>
                <w:color w:val="000000"/>
                <w:sz w:val="22"/>
                <w:szCs w:val="22"/>
              </w:rPr>
            </w:pPr>
            <w:r w:rsidRPr="0082484A">
              <w:rPr>
                <w:bCs/>
                <w:color w:val="000000"/>
                <w:sz w:val="22"/>
                <w:szCs w:val="22"/>
              </w:rPr>
              <w:t>Trial 1</w:t>
            </w:r>
          </w:p>
        </w:tc>
        <w:tc>
          <w:tcPr>
            <w:tcW w:w="3628" w:type="dxa"/>
            <w:gridSpan w:val="2"/>
            <w:tcBorders>
              <w:top w:val="single" w:sz="8" w:space="0" w:color="auto"/>
              <w:left w:val="nil"/>
              <w:bottom w:val="single" w:sz="4" w:space="0" w:color="FFFFFF" w:themeColor="background1"/>
              <w:right w:val="nil"/>
            </w:tcBorders>
            <w:shd w:val="clear" w:color="auto" w:fill="FFFFFF"/>
            <w:tcMar>
              <w:left w:w="67" w:type="dxa"/>
              <w:right w:w="67" w:type="dxa"/>
            </w:tcMar>
            <w:vAlign w:val="bottom"/>
          </w:tcPr>
          <w:p w14:paraId="30D08288" w14:textId="77777777" w:rsidR="009A3C2D" w:rsidRPr="0082484A" w:rsidRDefault="009A3C2D" w:rsidP="00272145">
            <w:pPr>
              <w:adjustRightInd w:val="0"/>
              <w:spacing w:before="67" w:after="67"/>
              <w:contextualSpacing/>
              <w:jc w:val="center"/>
              <w:rPr>
                <w:bCs/>
                <w:color w:val="000000"/>
                <w:sz w:val="22"/>
                <w:szCs w:val="22"/>
              </w:rPr>
            </w:pPr>
            <w:r w:rsidRPr="0082484A">
              <w:rPr>
                <w:bCs/>
                <w:color w:val="000000"/>
                <w:sz w:val="22"/>
                <w:szCs w:val="22"/>
              </w:rPr>
              <w:t>Trial 2</w:t>
            </w:r>
          </w:p>
        </w:tc>
        <w:tc>
          <w:tcPr>
            <w:tcW w:w="1814" w:type="dxa"/>
            <w:tcBorders>
              <w:top w:val="single" w:sz="8" w:space="0" w:color="auto"/>
              <w:left w:val="nil"/>
              <w:bottom w:val="single" w:sz="4" w:space="0" w:color="FFFFFF" w:themeColor="background1"/>
              <w:right w:val="single" w:sz="8" w:space="0" w:color="auto"/>
            </w:tcBorders>
            <w:shd w:val="clear" w:color="auto" w:fill="FFFFFF"/>
            <w:tcMar>
              <w:left w:w="67" w:type="dxa"/>
              <w:right w:w="67" w:type="dxa"/>
            </w:tcMar>
            <w:vAlign w:val="bottom"/>
          </w:tcPr>
          <w:p w14:paraId="4A2C5E2B" w14:textId="77777777" w:rsidR="009A3C2D" w:rsidRPr="0082484A" w:rsidRDefault="009A3C2D" w:rsidP="00272145">
            <w:pPr>
              <w:adjustRightInd w:val="0"/>
              <w:spacing w:before="67" w:after="67"/>
              <w:contextualSpacing/>
              <w:rPr>
                <w:bCs/>
                <w:color w:val="000000"/>
                <w:sz w:val="22"/>
                <w:szCs w:val="22"/>
              </w:rPr>
            </w:pPr>
          </w:p>
        </w:tc>
      </w:tr>
      <w:tr w:rsidR="009A3C2D" w:rsidRPr="0082484A" w14:paraId="2B102F51" w14:textId="77777777" w:rsidTr="00272145">
        <w:trPr>
          <w:cantSplit/>
          <w:tblHeader/>
          <w:jc w:val="center"/>
        </w:trPr>
        <w:tc>
          <w:tcPr>
            <w:tcW w:w="1701" w:type="dxa"/>
            <w:tcBorders>
              <w:top w:val="single" w:sz="4" w:space="0" w:color="FFFFFF" w:themeColor="background1"/>
              <w:left w:val="single" w:sz="8" w:space="0" w:color="auto"/>
              <w:bottom w:val="single" w:sz="4" w:space="0" w:color="000000"/>
              <w:right w:val="nil"/>
            </w:tcBorders>
            <w:shd w:val="clear" w:color="auto" w:fill="FFFFFF"/>
            <w:tcMar>
              <w:left w:w="67" w:type="dxa"/>
              <w:right w:w="67" w:type="dxa"/>
            </w:tcMar>
            <w:vAlign w:val="bottom"/>
          </w:tcPr>
          <w:p w14:paraId="6D95B803" w14:textId="77777777" w:rsidR="009A3C2D" w:rsidRPr="0082484A" w:rsidRDefault="009A3C2D" w:rsidP="00272145">
            <w:pPr>
              <w:adjustRightInd w:val="0"/>
              <w:spacing w:before="67" w:after="67"/>
              <w:contextualSpacing/>
              <w:rPr>
                <w:bCs/>
                <w:color w:val="000000"/>
                <w:sz w:val="22"/>
                <w:szCs w:val="22"/>
              </w:rPr>
            </w:pPr>
          </w:p>
        </w:tc>
        <w:tc>
          <w:tcPr>
            <w:tcW w:w="181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23C13F61"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Diabetes control (n=2)</w:t>
            </w:r>
          </w:p>
        </w:tc>
        <w:tc>
          <w:tcPr>
            <w:tcW w:w="181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7A9427B"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Risky prescribing (n=2)</w:t>
            </w:r>
          </w:p>
        </w:tc>
        <w:tc>
          <w:tcPr>
            <w:tcW w:w="181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43684525"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Blood pressure control (n=2)</w:t>
            </w:r>
          </w:p>
        </w:tc>
        <w:tc>
          <w:tcPr>
            <w:tcW w:w="1814" w:type="dxa"/>
            <w:tcBorders>
              <w:top w:val="single" w:sz="4" w:space="0" w:color="FFFFFF" w:themeColor="background1"/>
              <w:left w:val="nil"/>
              <w:bottom w:val="single" w:sz="4" w:space="0" w:color="000000"/>
              <w:right w:val="nil"/>
            </w:tcBorders>
            <w:shd w:val="clear" w:color="auto" w:fill="FFFFFF"/>
            <w:tcMar>
              <w:left w:w="67" w:type="dxa"/>
              <w:right w:w="67" w:type="dxa"/>
            </w:tcMar>
            <w:vAlign w:val="bottom"/>
          </w:tcPr>
          <w:p w14:paraId="12317BD4"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Anticoagulation in AF (n=2)</w:t>
            </w:r>
          </w:p>
        </w:tc>
        <w:tc>
          <w:tcPr>
            <w:tcW w:w="1814" w:type="dxa"/>
            <w:tcBorders>
              <w:top w:val="single" w:sz="4" w:space="0" w:color="FFFFFF" w:themeColor="background1"/>
              <w:left w:val="nil"/>
              <w:bottom w:val="single" w:sz="4" w:space="0" w:color="000000"/>
              <w:right w:val="single" w:sz="8" w:space="0" w:color="auto"/>
            </w:tcBorders>
            <w:shd w:val="clear" w:color="auto" w:fill="FFFFFF"/>
            <w:tcMar>
              <w:left w:w="67" w:type="dxa"/>
              <w:right w:w="67" w:type="dxa"/>
            </w:tcMar>
            <w:vAlign w:val="bottom"/>
          </w:tcPr>
          <w:p w14:paraId="0F683043"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Total (n=8)</w:t>
            </w:r>
          </w:p>
        </w:tc>
      </w:tr>
      <w:tr w:rsidR="009A3C2D" w:rsidRPr="0082484A" w14:paraId="1F20F117"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26F3FA03"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List Size</w:t>
            </w:r>
          </w:p>
        </w:tc>
        <w:tc>
          <w:tcPr>
            <w:tcW w:w="1814" w:type="dxa"/>
            <w:tcBorders>
              <w:top w:val="nil"/>
              <w:left w:val="nil"/>
              <w:bottom w:val="nil"/>
              <w:right w:val="nil"/>
            </w:tcBorders>
            <w:shd w:val="clear" w:color="auto" w:fill="FFFFFF"/>
            <w:tcMar>
              <w:left w:w="67" w:type="dxa"/>
              <w:right w:w="67" w:type="dxa"/>
            </w:tcMar>
          </w:tcPr>
          <w:p w14:paraId="78CB18C8"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282ACBD"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0A29A0B6"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A07159E"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7CD554BE" w14:textId="77777777" w:rsidR="009A3C2D" w:rsidRPr="0082484A" w:rsidRDefault="009A3C2D" w:rsidP="00272145">
            <w:pPr>
              <w:adjustRightInd w:val="0"/>
              <w:spacing w:before="67" w:after="67"/>
              <w:contextualSpacing/>
              <w:rPr>
                <w:color w:val="000000"/>
                <w:sz w:val="22"/>
                <w:szCs w:val="22"/>
              </w:rPr>
            </w:pPr>
          </w:p>
        </w:tc>
      </w:tr>
      <w:tr w:rsidR="009A3C2D" w:rsidRPr="0082484A" w14:paraId="547FFFB5"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4DCDC0C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69690EF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8597.00 (653.37)</w:t>
            </w:r>
          </w:p>
        </w:tc>
        <w:tc>
          <w:tcPr>
            <w:tcW w:w="1814" w:type="dxa"/>
            <w:tcBorders>
              <w:top w:val="nil"/>
              <w:left w:val="nil"/>
              <w:bottom w:val="nil"/>
              <w:right w:val="nil"/>
            </w:tcBorders>
            <w:shd w:val="clear" w:color="auto" w:fill="FFFFFF"/>
            <w:tcMar>
              <w:left w:w="67" w:type="dxa"/>
              <w:right w:w="67" w:type="dxa"/>
            </w:tcMar>
          </w:tcPr>
          <w:p w14:paraId="7E7126C6"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6724.00 (3379.97)</w:t>
            </w:r>
          </w:p>
        </w:tc>
        <w:tc>
          <w:tcPr>
            <w:tcW w:w="1814" w:type="dxa"/>
            <w:tcBorders>
              <w:top w:val="nil"/>
              <w:left w:val="nil"/>
              <w:bottom w:val="nil"/>
              <w:right w:val="nil"/>
            </w:tcBorders>
            <w:shd w:val="clear" w:color="auto" w:fill="FFFFFF"/>
            <w:tcMar>
              <w:left w:w="67" w:type="dxa"/>
              <w:right w:w="67" w:type="dxa"/>
            </w:tcMar>
          </w:tcPr>
          <w:p w14:paraId="55E9677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7585.00 (3189.05)</w:t>
            </w:r>
          </w:p>
        </w:tc>
        <w:tc>
          <w:tcPr>
            <w:tcW w:w="1814" w:type="dxa"/>
            <w:tcBorders>
              <w:top w:val="nil"/>
              <w:left w:val="nil"/>
              <w:bottom w:val="nil"/>
              <w:right w:val="nil"/>
            </w:tcBorders>
            <w:shd w:val="clear" w:color="auto" w:fill="FFFFFF"/>
            <w:tcMar>
              <w:left w:w="67" w:type="dxa"/>
              <w:right w:w="67" w:type="dxa"/>
            </w:tcMar>
          </w:tcPr>
          <w:p w14:paraId="76337C5F"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11447.50 (3749.79)</w:t>
            </w:r>
          </w:p>
        </w:tc>
        <w:tc>
          <w:tcPr>
            <w:tcW w:w="1814" w:type="dxa"/>
            <w:tcBorders>
              <w:top w:val="nil"/>
              <w:left w:val="nil"/>
              <w:bottom w:val="nil"/>
              <w:right w:val="single" w:sz="11" w:space="0" w:color="000000"/>
            </w:tcBorders>
            <w:shd w:val="clear" w:color="auto" w:fill="FFFFFF"/>
            <w:tcMar>
              <w:left w:w="67" w:type="dxa"/>
              <w:right w:w="67" w:type="dxa"/>
            </w:tcMar>
          </w:tcPr>
          <w:p w14:paraId="30374C8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8588.38 (2961.58)</w:t>
            </w:r>
          </w:p>
        </w:tc>
      </w:tr>
      <w:tr w:rsidR="009A3C2D" w:rsidRPr="0082484A" w14:paraId="476FC8DE"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4D8197B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Median (Range)</w:t>
            </w:r>
          </w:p>
        </w:tc>
        <w:tc>
          <w:tcPr>
            <w:tcW w:w="1814" w:type="dxa"/>
            <w:tcBorders>
              <w:top w:val="nil"/>
              <w:left w:val="nil"/>
              <w:bottom w:val="nil"/>
              <w:right w:val="nil"/>
            </w:tcBorders>
            <w:shd w:val="clear" w:color="auto" w:fill="FFFFFF"/>
            <w:tcMar>
              <w:left w:w="67" w:type="dxa"/>
              <w:right w:w="67" w:type="dxa"/>
            </w:tcMar>
          </w:tcPr>
          <w:p w14:paraId="7FA66D4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8597.00 (8135.00, 9059.00)</w:t>
            </w:r>
          </w:p>
        </w:tc>
        <w:tc>
          <w:tcPr>
            <w:tcW w:w="1814" w:type="dxa"/>
            <w:tcBorders>
              <w:top w:val="nil"/>
              <w:left w:val="nil"/>
              <w:bottom w:val="nil"/>
              <w:right w:val="nil"/>
            </w:tcBorders>
            <w:shd w:val="clear" w:color="auto" w:fill="FFFFFF"/>
            <w:tcMar>
              <w:left w:w="67" w:type="dxa"/>
              <w:right w:w="67" w:type="dxa"/>
            </w:tcMar>
          </w:tcPr>
          <w:p w14:paraId="2EBBD55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6724.00 (4334.00, 9114.00)</w:t>
            </w:r>
          </w:p>
        </w:tc>
        <w:tc>
          <w:tcPr>
            <w:tcW w:w="1814" w:type="dxa"/>
            <w:tcBorders>
              <w:top w:val="nil"/>
              <w:left w:val="nil"/>
              <w:bottom w:val="nil"/>
              <w:right w:val="nil"/>
            </w:tcBorders>
            <w:shd w:val="clear" w:color="auto" w:fill="FFFFFF"/>
            <w:tcMar>
              <w:left w:w="67" w:type="dxa"/>
              <w:right w:w="67" w:type="dxa"/>
            </w:tcMar>
          </w:tcPr>
          <w:p w14:paraId="76F3AD6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7585.00 (5330.00, 9840.00)</w:t>
            </w:r>
          </w:p>
        </w:tc>
        <w:tc>
          <w:tcPr>
            <w:tcW w:w="1814" w:type="dxa"/>
            <w:tcBorders>
              <w:top w:val="nil"/>
              <w:left w:val="nil"/>
              <w:bottom w:val="nil"/>
              <w:right w:val="nil"/>
            </w:tcBorders>
            <w:shd w:val="clear" w:color="auto" w:fill="FFFFFF"/>
            <w:tcMar>
              <w:left w:w="67" w:type="dxa"/>
              <w:right w:w="67" w:type="dxa"/>
            </w:tcMar>
          </w:tcPr>
          <w:p w14:paraId="7D4F9FC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11447.50 (8796.00, 14099.00)</w:t>
            </w:r>
          </w:p>
        </w:tc>
        <w:tc>
          <w:tcPr>
            <w:tcW w:w="1814" w:type="dxa"/>
            <w:tcBorders>
              <w:top w:val="nil"/>
              <w:left w:val="nil"/>
              <w:bottom w:val="nil"/>
              <w:right w:val="single" w:sz="11" w:space="0" w:color="000000"/>
            </w:tcBorders>
            <w:shd w:val="clear" w:color="auto" w:fill="FFFFFF"/>
            <w:tcMar>
              <w:left w:w="67" w:type="dxa"/>
              <w:right w:w="67" w:type="dxa"/>
            </w:tcMar>
          </w:tcPr>
          <w:p w14:paraId="72B290F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8927.50 (4334.00, 14099.00)</w:t>
            </w:r>
          </w:p>
        </w:tc>
      </w:tr>
      <w:tr w:rsidR="009A3C2D" w:rsidRPr="0082484A" w14:paraId="67FFBFC1"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2679B99A"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6D2115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3EF88D3"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760E12A"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5AAAF248"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6B1D8EE4" w14:textId="77777777" w:rsidR="009A3C2D" w:rsidRPr="0082484A" w:rsidRDefault="009A3C2D" w:rsidP="00272145">
            <w:pPr>
              <w:adjustRightInd w:val="0"/>
              <w:spacing w:before="67" w:after="67"/>
              <w:contextualSpacing/>
              <w:rPr>
                <w:color w:val="000000"/>
                <w:sz w:val="22"/>
                <w:szCs w:val="22"/>
              </w:rPr>
            </w:pPr>
          </w:p>
        </w:tc>
      </w:tr>
      <w:tr w:rsidR="009A3C2D" w:rsidRPr="0082484A" w14:paraId="149B7FD5"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596C43ED"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Overall QOF score</w:t>
            </w:r>
            <w:r w:rsidRPr="0082484A">
              <w:rPr>
                <w:bCs/>
                <w:color w:val="000000"/>
                <w:sz w:val="22"/>
                <w:szCs w:val="22"/>
                <w:vertAlign w:val="superscript"/>
              </w:rPr>
              <w:t>a</w:t>
            </w:r>
          </w:p>
        </w:tc>
        <w:tc>
          <w:tcPr>
            <w:tcW w:w="1814" w:type="dxa"/>
            <w:tcBorders>
              <w:top w:val="nil"/>
              <w:left w:val="nil"/>
              <w:bottom w:val="nil"/>
              <w:right w:val="nil"/>
            </w:tcBorders>
            <w:shd w:val="clear" w:color="auto" w:fill="FFFFFF"/>
            <w:tcMar>
              <w:left w:w="67" w:type="dxa"/>
              <w:right w:w="67" w:type="dxa"/>
            </w:tcMar>
          </w:tcPr>
          <w:p w14:paraId="2976BBC2"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B0DC11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9B5715C"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0CAC6BD"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2E372537" w14:textId="77777777" w:rsidR="009A3C2D" w:rsidRPr="0082484A" w:rsidRDefault="009A3C2D" w:rsidP="00272145">
            <w:pPr>
              <w:adjustRightInd w:val="0"/>
              <w:spacing w:before="67" w:after="67"/>
              <w:contextualSpacing/>
              <w:rPr>
                <w:color w:val="000000"/>
                <w:sz w:val="22"/>
                <w:szCs w:val="22"/>
              </w:rPr>
            </w:pPr>
          </w:p>
        </w:tc>
      </w:tr>
      <w:tr w:rsidR="009A3C2D" w:rsidRPr="0082484A" w14:paraId="659225DC"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2C83C17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55A260E0"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539.41 (6.46)</w:t>
            </w:r>
          </w:p>
        </w:tc>
        <w:tc>
          <w:tcPr>
            <w:tcW w:w="1814" w:type="dxa"/>
            <w:tcBorders>
              <w:top w:val="nil"/>
              <w:left w:val="nil"/>
              <w:bottom w:val="nil"/>
              <w:right w:val="nil"/>
            </w:tcBorders>
            <w:shd w:val="clear" w:color="auto" w:fill="FFFFFF"/>
            <w:tcMar>
              <w:left w:w="67" w:type="dxa"/>
              <w:right w:w="67" w:type="dxa"/>
            </w:tcMar>
          </w:tcPr>
          <w:p w14:paraId="516B5F5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538.54 (15.19)</w:t>
            </w:r>
          </w:p>
        </w:tc>
        <w:tc>
          <w:tcPr>
            <w:tcW w:w="1814" w:type="dxa"/>
            <w:tcBorders>
              <w:top w:val="nil"/>
              <w:left w:val="nil"/>
              <w:bottom w:val="nil"/>
              <w:right w:val="nil"/>
            </w:tcBorders>
            <w:shd w:val="clear" w:color="auto" w:fill="FFFFFF"/>
            <w:tcMar>
              <w:left w:w="67" w:type="dxa"/>
              <w:right w:w="67" w:type="dxa"/>
            </w:tcMar>
          </w:tcPr>
          <w:p w14:paraId="1F368BD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526.00 (35.74)</w:t>
            </w:r>
          </w:p>
        </w:tc>
        <w:tc>
          <w:tcPr>
            <w:tcW w:w="1814" w:type="dxa"/>
            <w:tcBorders>
              <w:top w:val="nil"/>
              <w:left w:val="nil"/>
              <w:bottom w:val="nil"/>
              <w:right w:val="nil"/>
            </w:tcBorders>
            <w:shd w:val="clear" w:color="auto" w:fill="FFFFFF"/>
            <w:tcMar>
              <w:left w:w="67" w:type="dxa"/>
              <w:right w:w="67" w:type="dxa"/>
            </w:tcMar>
          </w:tcPr>
          <w:p w14:paraId="0AA07AA6"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532.32 (7.75)</w:t>
            </w:r>
          </w:p>
        </w:tc>
        <w:tc>
          <w:tcPr>
            <w:tcW w:w="1814" w:type="dxa"/>
            <w:tcBorders>
              <w:top w:val="nil"/>
              <w:left w:val="nil"/>
              <w:bottom w:val="nil"/>
              <w:right w:val="single" w:sz="11" w:space="0" w:color="000000"/>
            </w:tcBorders>
            <w:shd w:val="clear" w:color="auto" w:fill="FFFFFF"/>
            <w:tcMar>
              <w:left w:w="67" w:type="dxa"/>
              <w:right w:w="67" w:type="dxa"/>
            </w:tcMar>
          </w:tcPr>
          <w:p w14:paraId="498DF238"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534.07 (16.23)</w:t>
            </w:r>
          </w:p>
        </w:tc>
      </w:tr>
      <w:tr w:rsidR="009A3C2D" w:rsidRPr="0082484A" w14:paraId="50EE09A5"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32C348C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Median (Range)</w:t>
            </w:r>
          </w:p>
        </w:tc>
        <w:tc>
          <w:tcPr>
            <w:tcW w:w="1814" w:type="dxa"/>
            <w:tcBorders>
              <w:top w:val="nil"/>
              <w:left w:val="nil"/>
              <w:bottom w:val="nil"/>
              <w:right w:val="nil"/>
            </w:tcBorders>
            <w:shd w:val="clear" w:color="auto" w:fill="FFFFFF"/>
            <w:tcMar>
              <w:left w:w="67" w:type="dxa"/>
              <w:right w:w="67" w:type="dxa"/>
            </w:tcMar>
          </w:tcPr>
          <w:p w14:paraId="08CAFA2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539.41 (534.84, 543.97)</w:t>
            </w:r>
          </w:p>
        </w:tc>
        <w:tc>
          <w:tcPr>
            <w:tcW w:w="1814" w:type="dxa"/>
            <w:tcBorders>
              <w:top w:val="nil"/>
              <w:left w:val="nil"/>
              <w:bottom w:val="nil"/>
              <w:right w:val="nil"/>
            </w:tcBorders>
            <w:shd w:val="clear" w:color="auto" w:fill="FFFFFF"/>
            <w:tcMar>
              <w:left w:w="67" w:type="dxa"/>
              <w:right w:w="67" w:type="dxa"/>
            </w:tcMar>
          </w:tcPr>
          <w:p w14:paraId="6DEC063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538.54 (527.80, 549.28)</w:t>
            </w:r>
          </w:p>
        </w:tc>
        <w:tc>
          <w:tcPr>
            <w:tcW w:w="1814" w:type="dxa"/>
            <w:tcBorders>
              <w:top w:val="nil"/>
              <w:left w:val="nil"/>
              <w:bottom w:val="nil"/>
              <w:right w:val="nil"/>
            </w:tcBorders>
            <w:shd w:val="clear" w:color="auto" w:fill="FFFFFF"/>
            <w:tcMar>
              <w:left w:w="67" w:type="dxa"/>
              <w:right w:w="67" w:type="dxa"/>
            </w:tcMar>
          </w:tcPr>
          <w:p w14:paraId="12B7F1A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526.00 (500.73, 551.27)</w:t>
            </w:r>
          </w:p>
        </w:tc>
        <w:tc>
          <w:tcPr>
            <w:tcW w:w="1814" w:type="dxa"/>
            <w:tcBorders>
              <w:top w:val="nil"/>
              <w:left w:val="nil"/>
              <w:bottom w:val="nil"/>
              <w:right w:val="nil"/>
            </w:tcBorders>
            <w:shd w:val="clear" w:color="auto" w:fill="FFFFFF"/>
            <w:tcMar>
              <w:left w:w="67" w:type="dxa"/>
              <w:right w:w="67" w:type="dxa"/>
            </w:tcMar>
          </w:tcPr>
          <w:p w14:paraId="35BD926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532.32 (526.84, 537.80)</w:t>
            </w:r>
          </w:p>
        </w:tc>
        <w:tc>
          <w:tcPr>
            <w:tcW w:w="1814" w:type="dxa"/>
            <w:tcBorders>
              <w:top w:val="nil"/>
              <w:left w:val="nil"/>
              <w:bottom w:val="nil"/>
              <w:right w:val="single" w:sz="11" w:space="0" w:color="000000"/>
            </w:tcBorders>
            <w:shd w:val="clear" w:color="auto" w:fill="FFFFFF"/>
            <w:tcMar>
              <w:left w:w="67" w:type="dxa"/>
              <w:right w:w="67" w:type="dxa"/>
            </w:tcMar>
          </w:tcPr>
          <w:p w14:paraId="44A6E00C"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536.32 (500.73, 551.27)</w:t>
            </w:r>
          </w:p>
        </w:tc>
      </w:tr>
      <w:tr w:rsidR="009A3C2D" w:rsidRPr="0082484A" w14:paraId="20F7E8F2"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56F4DE40"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0AFF18E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76A9BEC"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FEC964F"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24F2BFE"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72577A33" w14:textId="77777777" w:rsidR="009A3C2D" w:rsidRPr="0082484A" w:rsidRDefault="009A3C2D" w:rsidP="00272145">
            <w:pPr>
              <w:adjustRightInd w:val="0"/>
              <w:spacing w:before="67" w:after="67"/>
              <w:contextualSpacing/>
              <w:rPr>
                <w:color w:val="000000"/>
                <w:sz w:val="22"/>
                <w:szCs w:val="22"/>
              </w:rPr>
            </w:pPr>
          </w:p>
        </w:tc>
      </w:tr>
      <w:tr w:rsidR="009A3C2D" w:rsidRPr="0082484A" w14:paraId="6BBB960C"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61B04D7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Pre-intervention achievement</w:t>
            </w:r>
          </w:p>
        </w:tc>
        <w:tc>
          <w:tcPr>
            <w:tcW w:w="1814" w:type="dxa"/>
            <w:tcBorders>
              <w:top w:val="nil"/>
              <w:left w:val="nil"/>
              <w:bottom w:val="nil"/>
              <w:right w:val="nil"/>
            </w:tcBorders>
            <w:shd w:val="clear" w:color="auto" w:fill="FFFFFF"/>
            <w:tcMar>
              <w:left w:w="67" w:type="dxa"/>
              <w:right w:w="67" w:type="dxa"/>
            </w:tcMar>
          </w:tcPr>
          <w:p w14:paraId="439918B0"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354E9D5"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B9B7EAC"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75774B6"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612536FE" w14:textId="77777777" w:rsidR="009A3C2D" w:rsidRPr="0082484A" w:rsidRDefault="009A3C2D" w:rsidP="00272145">
            <w:pPr>
              <w:adjustRightInd w:val="0"/>
              <w:spacing w:before="67" w:after="67"/>
              <w:contextualSpacing/>
              <w:rPr>
                <w:color w:val="000000"/>
                <w:sz w:val="22"/>
                <w:szCs w:val="22"/>
              </w:rPr>
            </w:pPr>
          </w:p>
        </w:tc>
      </w:tr>
      <w:tr w:rsidR="009A3C2D" w:rsidRPr="0082484A" w14:paraId="4C36EE7B"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16783A28"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Diabetes control</w:t>
            </w:r>
          </w:p>
        </w:tc>
        <w:tc>
          <w:tcPr>
            <w:tcW w:w="1814" w:type="dxa"/>
            <w:tcBorders>
              <w:top w:val="nil"/>
              <w:left w:val="nil"/>
              <w:bottom w:val="nil"/>
              <w:right w:val="nil"/>
            </w:tcBorders>
            <w:shd w:val="clear" w:color="auto" w:fill="FFFFFF"/>
            <w:tcMar>
              <w:left w:w="67" w:type="dxa"/>
              <w:right w:w="67" w:type="dxa"/>
            </w:tcMar>
          </w:tcPr>
          <w:p w14:paraId="1D5BC44F"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486D1E1"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32E9402"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CF0E073"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4FDF7FCE" w14:textId="77777777" w:rsidR="009A3C2D" w:rsidRPr="0082484A" w:rsidRDefault="009A3C2D" w:rsidP="00272145">
            <w:pPr>
              <w:adjustRightInd w:val="0"/>
              <w:spacing w:before="67" w:after="67"/>
              <w:contextualSpacing/>
              <w:rPr>
                <w:color w:val="000000"/>
                <w:sz w:val="22"/>
                <w:szCs w:val="22"/>
              </w:rPr>
            </w:pPr>
          </w:p>
        </w:tc>
      </w:tr>
      <w:tr w:rsidR="009A3C2D" w:rsidRPr="0082484A" w14:paraId="2C1C013E"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7267CD0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1332934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34.26% (1.13%)</w:t>
            </w:r>
          </w:p>
        </w:tc>
        <w:tc>
          <w:tcPr>
            <w:tcW w:w="1814" w:type="dxa"/>
            <w:tcBorders>
              <w:top w:val="nil"/>
              <w:left w:val="nil"/>
              <w:bottom w:val="nil"/>
              <w:right w:val="nil"/>
            </w:tcBorders>
            <w:shd w:val="clear" w:color="auto" w:fill="FFFFFF"/>
            <w:tcMar>
              <w:left w:w="67" w:type="dxa"/>
              <w:right w:w="67" w:type="dxa"/>
            </w:tcMar>
          </w:tcPr>
          <w:p w14:paraId="164850E0"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30.29% (3.69%)</w:t>
            </w:r>
          </w:p>
        </w:tc>
        <w:tc>
          <w:tcPr>
            <w:tcW w:w="1814" w:type="dxa"/>
            <w:tcBorders>
              <w:top w:val="nil"/>
              <w:left w:val="nil"/>
              <w:bottom w:val="nil"/>
              <w:right w:val="nil"/>
            </w:tcBorders>
            <w:shd w:val="clear" w:color="auto" w:fill="FFFFFF"/>
            <w:tcMar>
              <w:left w:w="67" w:type="dxa"/>
              <w:right w:w="67" w:type="dxa"/>
            </w:tcMar>
          </w:tcPr>
          <w:p w14:paraId="6F536B8D"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35.20% (2.01%)</w:t>
            </w:r>
          </w:p>
        </w:tc>
        <w:tc>
          <w:tcPr>
            <w:tcW w:w="1814" w:type="dxa"/>
            <w:tcBorders>
              <w:top w:val="nil"/>
              <w:left w:val="nil"/>
              <w:bottom w:val="nil"/>
              <w:right w:val="nil"/>
            </w:tcBorders>
            <w:shd w:val="clear" w:color="auto" w:fill="FFFFFF"/>
            <w:tcMar>
              <w:left w:w="67" w:type="dxa"/>
              <w:right w:w="67" w:type="dxa"/>
            </w:tcMar>
          </w:tcPr>
          <w:p w14:paraId="6E51F9A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32.74% (12.89%)</w:t>
            </w:r>
          </w:p>
        </w:tc>
        <w:tc>
          <w:tcPr>
            <w:tcW w:w="1814" w:type="dxa"/>
            <w:tcBorders>
              <w:top w:val="nil"/>
              <w:left w:val="nil"/>
              <w:bottom w:val="nil"/>
              <w:right w:val="single" w:sz="11" w:space="0" w:color="000000"/>
            </w:tcBorders>
            <w:shd w:val="clear" w:color="auto" w:fill="FFFFFF"/>
            <w:tcMar>
              <w:left w:w="67" w:type="dxa"/>
              <w:right w:w="67" w:type="dxa"/>
            </w:tcMar>
          </w:tcPr>
          <w:p w14:paraId="59E472FC"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33.12% (5.51%)</w:t>
            </w:r>
          </w:p>
        </w:tc>
      </w:tr>
      <w:tr w:rsidR="009A3C2D" w:rsidRPr="0082484A" w14:paraId="1FFEF1D6"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49687D3E"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8998592"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4A607E8"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308A2F4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044115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0E59A440" w14:textId="77777777" w:rsidR="009A3C2D" w:rsidRPr="0082484A" w:rsidRDefault="009A3C2D" w:rsidP="00272145">
            <w:pPr>
              <w:adjustRightInd w:val="0"/>
              <w:spacing w:before="67" w:after="67"/>
              <w:contextualSpacing/>
              <w:rPr>
                <w:color w:val="000000"/>
                <w:sz w:val="22"/>
                <w:szCs w:val="22"/>
              </w:rPr>
            </w:pPr>
          </w:p>
        </w:tc>
      </w:tr>
      <w:tr w:rsidR="009A3C2D" w:rsidRPr="0082484A" w14:paraId="0C31180F"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12905644"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Risky prescribing</w:t>
            </w:r>
          </w:p>
        </w:tc>
        <w:tc>
          <w:tcPr>
            <w:tcW w:w="1814" w:type="dxa"/>
            <w:tcBorders>
              <w:top w:val="nil"/>
              <w:left w:val="nil"/>
              <w:bottom w:val="nil"/>
              <w:right w:val="nil"/>
            </w:tcBorders>
            <w:shd w:val="clear" w:color="auto" w:fill="FFFFFF"/>
            <w:tcMar>
              <w:left w:w="67" w:type="dxa"/>
              <w:right w:w="67" w:type="dxa"/>
            </w:tcMar>
          </w:tcPr>
          <w:p w14:paraId="464A3908"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87AC8F1"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097B81A6"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229645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68FB4FCB" w14:textId="77777777" w:rsidR="009A3C2D" w:rsidRPr="0082484A" w:rsidRDefault="009A3C2D" w:rsidP="00272145">
            <w:pPr>
              <w:adjustRightInd w:val="0"/>
              <w:spacing w:before="67" w:after="67"/>
              <w:contextualSpacing/>
              <w:rPr>
                <w:color w:val="000000"/>
                <w:sz w:val="22"/>
                <w:szCs w:val="22"/>
              </w:rPr>
            </w:pPr>
          </w:p>
        </w:tc>
      </w:tr>
      <w:tr w:rsidR="009A3C2D" w:rsidRPr="0082484A" w14:paraId="6D628F7D"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5274ADD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613E32B9"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6.50% (2.52%)</w:t>
            </w:r>
          </w:p>
        </w:tc>
        <w:tc>
          <w:tcPr>
            <w:tcW w:w="1814" w:type="dxa"/>
            <w:tcBorders>
              <w:top w:val="nil"/>
              <w:left w:val="nil"/>
              <w:bottom w:val="nil"/>
              <w:right w:val="nil"/>
            </w:tcBorders>
            <w:shd w:val="clear" w:color="auto" w:fill="FFFFFF"/>
            <w:tcMar>
              <w:left w:w="67" w:type="dxa"/>
              <w:right w:w="67" w:type="dxa"/>
            </w:tcMar>
          </w:tcPr>
          <w:p w14:paraId="2A2CDBB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12.97% (6.04%)</w:t>
            </w:r>
          </w:p>
        </w:tc>
        <w:tc>
          <w:tcPr>
            <w:tcW w:w="1814" w:type="dxa"/>
            <w:tcBorders>
              <w:top w:val="nil"/>
              <w:left w:val="nil"/>
              <w:bottom w:val="nil"/>
              <w:right w:val="nil"/>
            </w:tcBorders>
            <w:shd w:val="clear" w:color="auto" w:fill="FFFFFF"/>
            <w:tcMar>
              <w:left w:w="67" w:type="dxa"/>
              <w:right w:w="67" w:type="dxa"/>
            </w:tcMar>
          </w:tcPr>
          <w:p w14:paraId="15F4F22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4.29% (0.58%)</w:t>
            </w:r>
          </w:p>
        </w:tc>
        <w:tc>
          <w:tcPr>
            <w:tcW w:w="1814" w:type="dxa"/>
            <w:tcBorders>
              <w:top w:val="nil"/>
              <w:left w:val="nil"/>
              <w:bottom w:val="nil"/>
              <w:right w:val="nil"/>
            </w:tcBorders>
            <w:shd w:val="clear" w:color="auto" w:fill="FFFFFF"/>
            <w:tcMar>
              <w:left w:w="67" w:type="dxa"/>
              <w:right w:w="67" w:type="dxa"/>
            </w:tcMar>
          </w:tcPr>
          <w:p w14:paraId="70FA0493"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5.12% (2.73%)</w:t>
            </w:r>
          </w:p>
        </w:tc>
        <w:tc>
          <w:tcPr>
            <w:tcW w:w="1814" w:type="dxa"/>
            <w:tcBorders>
              <w:top w:val="nil"/>
              <w:left w:val="nil"/>
              <w:bottom w:val="nil"/>
              <w:right w:val="single" w:sz="11" w:space="0" w:color="000000"/>
            </w:tcBorders>
            <w:shd w:val="clear" w:color="auto" w:fill="FFFFFF"/>
            <w:tcMar>
              <w:left w:w="67" w:type="dxa"/>
              <w:right w:w="67" w:type="dxa"/>
            </w:tcMar>
          </w:tcPr>
          <w:p w14:paraId="428E6FC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7.22% (4.53%)</w:t>
            </w:r>
          </w:p>
        </w:tc>
      </w:tr>
      <w:tr w:rsidR="009A3C2D" w:rsidRPr="0082484A" w14:paraId="79C1B361"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79278DB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D74A77A"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F49F93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53EAA399"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B92FEB8"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0142C665" w14:textId="77777777" w:rsidR="009A3C2D" w:rsidRPr="0082484A" w:rsidRDefault="009A3C2D" w:rsidP="00272145">
            <w:pPr>
              <w:adjustRightInd w:val="0"/>
              <w:spacing w:before="67" w:after="67"/>
              <w:contextualSpacing/>
              <w:rPr>
                <w:color w:val="000000"/>
                <w:sz w:val="22"/>
                <w:szCs w:val="22"/>
              </w:rPr>
            </w:pPr>
          </w:p>
        </w:tc>
      </w:tr>
      <w:tr w:rsidR="009A3C2D" w:rsidRPr="0082484A" w14:paraId="7AAB7ABF"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170B9444"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Blood pressure control</w:t>
            </w:r>
          </w:p>
        </w:tc>
        <w:tc>
          <w:tcPr>
            <w:tcW w:w="1814" w:type="dxa"/>
            <w:tcBorders>
              <w:top w:val="nil"/>
              <w:left w:val="nil"/>
              <w:bottom w:val="nil"/>
              <w:right w:val="nil"/>
            </w:tcBorders>
            <w:shd w:val="clear" w:color="auto" w:fill="FFFFFF"/>
            <w:tcMar>
              <w:left w:w="67" w:type="dxa"/>
              <w:right w:w="67" w:type="dxa"/>
            </w:tcMar>
          </w:tcPr>
          <w:p w14:paraId="3243B5AB"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6A9D271A"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29F20350"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475D8FF"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78128CAB" w14:textId="77777777" w:rsidR="009A3C2D" w:rsidRPr="0082484A" w:rsidRDefault="009A3C2D" w:rsidP="00272145">
            <w:pPr>
              <w:adjustRightInd w:val="0"/>
              <w:spacing w:before="67" w:after="67"/>
              <w:contextualSpacing/>
              <w:rPr>
                <w:color w:val="000000"/>
                <w:sz w:val="22"/>
                <w:szCs w:val="22"/>
              </w:rPr>
            </w:pPr>
          </w:p>
        </w:tc>
      </w:tr>
      <w:tr w:rsidR="009A3C2D" w:rsidRPr="0082484A" w14:paraId="6025910B"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1F90F0B1"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166E8128"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60.07% (4.43%)</w:t>
            </w:r>
          </w:p>
        </w:tc>
        <w:tc>
          <w:tcPr>
            <w:tcW w:w="1814" w:type="dxa"/>
            <w:tcBorders>
              <w:top w:val="nil"/>
              <w:left w:val="nil"/>
              <w:bottom w:val="nil"/>
              <w:right w:val="nil"/>
            </w:tcBorders>
            <w:shd w:val="clear" w:color="auto" w:fill="FFFFFF"/>
            <w:tcMar>
              <w:left w:w="67" w:type="dxa"/>
              <w:right w:w="67" w:type="dxa"/>
            </w:tcMar>
          </w:tcPr>
          <w:p w14:paraId="285DA09E"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65.59% (11.61%)</w:t>
            </w:r>
          </w:p>
        </w:tc>
        <w:tc>
          <w:tcPr>
            <w:tcW w:w="1814" w:type="dxa"/>
            <w:tcBorders>
              <w:top w:val="nil"/>
              <w:left w:val="nil"/>
              <w:bottom w:val="nil"/>
              <w:right w:val="nil"/>
            </w:tcBorders>
            <w:shd w:val="clear" w:color="auto" w:fill="FFFFFF"/>
            <w:tcMar>
              <w:left w:w="67" w:type="dxa"/>
              <w:right w:w="67" w:type="dxa"/>
            </w:tcMar>
          </w:tcPr>
          <w:p w14:paraId="2AE79302"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67.56% (0.70%)</w:t>
            </w:r>
          </w:p>
        </w:tc>
        <w:tc>
          <w:tcPr>
            <w:tcW w:w="1814" w:type="dxa"/>
            <w:tcBorders>
              <w:top w:val="nil"/>
              <w:left w:val="nil"/>
              <w:bottom w:val="nil"/>
              <w:right w:val="nil"/>
            </w:tcBorders>
            <w:shd w:val="clear" w:color="auto" w:fill="FFFFFF"/>
            <w:tcMar>
              <w:left w:w="67" w:type="dxa"/>
              <w:right w:w="67" w:type="dxa"/>
            </w:tcMar>
          </w:tcPr>
          <w:p w14:paraId="10FF83C1"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63.38% (13.59%)</w:t>
            </w:r>
          </w:p>
        </w:tc>
        <w:tc>
          <w:tcPr>
            <w:tcW w:w="1814" w:type="dxa"/>
            <w:tcBorders>
              <w:top w:val="nil"/>
              <w:left w:val="nil"/>
              <w:bottom w:val="nil"/>
              <w:right w:val="single" w:sz="11" w:space="0" w:color="000000"/>
            </w:tcBorders>
            <w:shd w:val="clear" w:color="auto" w:fill="FFFFFF"/>
            <w:tcMar>
              <w:left w:w="67" w:type="dxa"/>
              <w:right w:w="67" w:type="dxa"/>
            </w:tcMar>
          </w:tcPr>
          <w:p w14:paraId="356E364A"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64.15% (7.57%)</w:t>
            </w:r>
          </w:p>
        </w:tc>
      </w:tr>
      <w:tr w:rsidR="009A3C2D" w:rsidRPr="0082484A" w14:paraId="508B3378"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1C3A3CDF"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013E03BE"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43224380"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1484572D"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341117D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0ECC5951" w14:textId="77777777" w:rsidR="009A3C2D" w:rsidRPr="0082484A" w:rsidRDefault="009A3C2D" w:rsidP="00272145">
            <w:pPr>
              <w:adjustRightInd w:val="0"/>
              <w:spacing w:before="67" w:after="67"/>
              <w:contextualSpacing/>
              <w:rPr>
                <w:color w:val="000000"/>
                <w:sz w:val="22"/>
                <w:szCs w:val="22"/>
              </w:rPr>
            </w:pPr>
          </w:p>
        </w:tc>
      </w:tr>
      <w:tr w:rsidR="009A3C2D" w:rsidRPr="0082484A" w14:paraId="77964996"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07426188" w14:textId="77777777" w:rsidR="009A3C2D" w:rsidRPr="0082484A" w:rsidRDefault="009A3C2D" w:rsidP="00272145">
            <w:pPr>
              <w:adjustRightInd w:val="0"/>
              <w:spacing w:before="67" w:after="67"/>
              <w:contextualSpacing/>
              <w:rPr>
                <w:bCs/>
                <w:color w:val="000000"/>
                <w:sz w:val="22"/>
                <w:szCs w:val="22"/>
              </w:rPr>
            </w:pPr>
            <w:r w:rsidRPr="0082484A">
              <w:rPr>
                <w:bCs/>
                <w:color w:val="000000"/>
                <w:sz w:val="22"/>
                <w:szCs w:val="22"/>
              </w:rPr>
              <w:t>Anticoagulation in AF</w:t>
            </w:r>
          </w:p>
        </w:tc>
        <w:tc>
          <w:tcPr>
            <w:tcW w:w="1814" w:type="dxa"/>
            <w:tcBorders>
              <w:top w:val="nil"/>
              <w:left w:val="nil"/>
              <w:bottom w:val="nil"/>
              <w:right w:val="nil"/>
            </w:tcBorders>
            <w:shd w:val="clear" w:color="auto" w:fill="FFFFFF"/>
            <w:tcMar>
              <w:left w:w="67" w:type="dxa"/>
              <w:right w:w="67" w:type="dxa"/>
            </w:tcMar>
          </w:tcPr>
          <w:p w14:paraId="18A4573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73B23397"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16720F8F"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nil"/>
            </w:tcBorders>
            <w:shd w:val="clear" w:color="auto" w:fill="FFFFFF"/>
            <w:tcMar>
              <w:left w:w="67" w:type="dxa"/>
              <w:right w:w="67" w:type="dxa"/>
            </w:tcMar>
          </w:tcPr>
          <w:p w14:paraId="30CBA369"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nil"/>
              <w:right w:val="single" w:sz="11" w:space="0" w:color="000000"/>
            </w:tcBorders>
            <w:shd w:val="clear" w:color="auto" w:fill="FFFFFF"/>
            <w:tcMar>
              <w:left w:w="67" w:type="dxa"/>
              <w:right w:w="67" w:type="dxa"/>
            </w:tcMar>
          </w:tcPr>
          <w:p w14:paraId="0F48D168" w14:textId="77777777" w:rsidR="009A3C2D" w:rsidRPr="0082484A" w:rsidRDefault="009A3C2D" w:rsidP="00272145">
            <w:pPr>
              <w:adjustRightInd w:val="0"/>
              <w:spacing w:before="67" w:after="67"/>
              <w:contextualSpacing/>
              <w:rPr>
                <w:color w:val="000000"/>
                <w:sz w:val="22"/>
                <w:szCs w:val="22"/>
              </w:rPr>
            </w:pPr>
          </w:p>
        </w:tc>
      </w:tr>
      <w:tr w:rsidR="009A3C2D" w:rsidRPr="0082484A" w14:paraId="5CCD450E" w14:textId="77777777" w:rsidTr="00272145">
        <w:trPr>
          <w:cantSplit/>
          <w:jc w:val="center"/>
        </w:trPr>
        <w:tc>
          <w:tcPr>
            <w:tcW w:w="1701" w:type="dxa"/>
            <w:tcBorders>
              <w:top w:val="nil"/>
              <w:left w:val="single" w:sz="11" w:space="0" w:color="000000"/>
              <w:bottom w:val="nil"/>
              <w:right w:val="nil"/>
            </w:tcBorders>
            <w:shd w:val="clear" w:color="auto" w:fill="FFFFFF"/>
            <w:tcMar>
              <w:left w:w="67" w:type="dxa"/>
              <w:right w:w="67" w:type="dxa"/>
            </w:tcMar>
          </w:tcPr>
          <w:p w14:paraId="5B91F248"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Mean (SD)</w:t>
            </w:r>
          </w:p>
        </w:tc>
        <w:tc>
          <w:tcPr>
            <w:tcW w:w="1814" w:type="dxa"/>
            <w:tcBorders>
              <w:top w:val="nil"/>
              <w:left w:val="nil"/>
              <w:bottom w:val="nil"/>
              <w:right w:val="nil"/>
            </w:tcBorders>
            <w:shd w:val="clear" w:color="auto" w:fill="FFFFFF"/>
            <w:tcMar>
              <w:left w:w="67" w:type="dxa"/>
              <w:right w:w="67" w:type="dxa"/>
            </w:tcMar>
          </w:tcPr>
          <w:p w14:paraId="0908987D"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68.28% (14.20%)</w:t>
            </w:r>
          </w:p>
        </w:tc>
        <w:tc>
          <w:tcPr>
            <w:tcW w:w="1814" w:type="dxa"/>
            <w:tcBorders>
              <w:top w:val="nil"/>
              <w:left w:val="nil"/>
              <w:bottom w:val="nil"/>
              <w:right w:val="nil"/>
            </w:tcBorders>
            <w:shd w:val="clear" w:color="auto" w:fill="FFFFFF"/>
            <w:tcMar>
              <w:left w:w="67" w:type="dxa"/>
              <w:right w:w="67" w:type="dxa"/>
            </w:tcMar>
          </w:tcPr>
          <w:p w14:paraId="29CEAF34"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67.16% (7.96%)</w:t>
            </w:r>
          </w:p>
        </w:tc>
        <w:tc>
          <w:tcPr>
            <w:tcW w:w="1814" w:type="dxa"/>
            <w:tcBorders>
              <w:top w:val="nil"/>
              <w:left w:val="nil"/>
              <w:bottom w:val="nil"/>
              <w:right w:val="nil"/>
            </w:tcBorders>
            <w:shd w:val="clear" w:color="auto" w:fill="FFFFFF"/>
            <w:tcMar>
              <w:left w:w="67" w:type="dxa"/>
              <w:right w:w="67" w:type="dxa"/>
            </w:tcMar>
          </w:tcPr>
          <w:p w14:paraId="792435C7"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66.94% (3.67%)</w:t>
            </w:r>
          </w:p>
        </w:tc>
        <w:tc>
          <w:tcPr>
            <w:tcW w:w="1814" w:type="dxa"/>
            <w:tcBorders>
              <w:top w:val="nil"/>
              <w:left w:val="nil"/>
              <w:bottom w:val="nil"/>
              <w:right w:val="nil"/>
            </w:tcBorders>
            <w:shd w:val="clear" w:color="auto" w:fill="FFFFFF"/>
            <w:tcMar>
              <w:left w:w="67" w:type="dxa"/>
              <w:right w:w="67" w:type="dxa"/>
            </w:tcMar>
          </w:tcPr>
          <w:p w14:paraId="7D3015F7"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62.95% (6.97%)</w:t>
            </w:r>
          </w:p>
        </w:tc>
        <w:tc>
          <w:tcPr>
            <w:tcW w:w="1814" w:type="dxa"/>
            <w:tcBorders>
              <w:top w:val="nil"/>
              <w:left w:val="nil"/>
              <w:bottom w:val="nil"/>
              <w:right w:val="single" w:sz="11" w:space="0" w:color="000000"/>
            </w:tcBorders>
            <w:shd w:val="clear" w:color="auto" w:fill="FFFFFF"/>
            <w:tcMar>
              <w:left w:w="67" w:type="dxa"/>
              <w:right w:w="67" w:type="dxa"/>
            </w:tcMar>
          </w:tcPr>
          <w:p w14:paraId="38C79C8B" w14:textId="77777777" w:rsidR="009A3C2D" w:rsidRPr="0082484A" w:rsidRDefault="009A3C2D" w:rsidP="00272145">
            <w:pPr>
              <w:adjustRightInd w:val="0"/>
              <w:spacing w:before="67" w:after="67"/>
              <w:contextualSpacing/>
              <w:rPr>
                <w:color w:val="000000"/>
                <w:sz w:val="22"/>
                <w:szCs w:val="22"/>
              </w:rPr>
            </w:pPr>
            <w:r w:rsidRPr="0082484A">
              <w:rPr>
                <w:color w:val="000000"/>
                <w:sz w:val="22"/>
                <w:szCs w:val="22"/>
              </w:rPr>
              <w:t>66.33% (7.17%)</w:t>
            </w:r>
          </w:p>
        </w:tc>
      </w:tr>
      <w:tr w:rsidR="009A3C2D" w:rsidRPr="0082484A" w14:paraId="01454A4E" w14:textId="77777777" w:rsidTr="00272145">
        <w:trPr>
          <w:cantSplit/>
          <w:jc w:val="center"/>
        </w:trPr>
        <w:tc>
          <w:tcPr>
            <w:tcW w:w="1701" w:type="dxa"/>
            <w:tcBorders>
              <w:top w:val="nil"/>
              <w:left w:val="single" w:sz="11" w:space="0" w:color="000000"/>
              <w:bottom w:val="single" w:sz="11" w:space="0" w:color="000000"/>
              <w:right w:val="nil"/>
            </w:tcBorders>
            <w:shd w:val="clear" w:color="auto" w:fill="FFFFFF"/>
            <w:tcMar>
              <w:left w:w="67" w:type="dxa"/>
              <w:right w:w="67" w:type="dxa"/>
            </w:tcMar>
          </w:tcPr>
          <w:p w14:paraId="49DF0BA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single" w:sz="11" w:space="0" w:color="000000"/>
              <w:right w:val="nil"/>
            </w:tcBorders>
            <w:shd w:val="clear" w:color="auto" w:fill="FFFFFF"/>
            <w:tcMar>
              <w:left w:w="67" w:type="dxa"/>
              <w:right w:w="67" w:type="dxa"/>
            </w:tcMar>
          </w:tcPr>
          <w:p w14:paraId="0CCE7F74"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single" w:sz="11" w:space="0" w:color="000000"/>
              <w:right w:val="nil"/>
            </w:tcBorders>
            <w:shd w:val="clear" w:color="auto" w:fill="FFFFFF"/>
            <w:tcMar>
              <w:left w:w="67" w:type="dxa"/>
              <w:right w:w="67" w:type="dxa"/>
            </w:tcMar>
          </w:tcPr>
          <w:p w14:paraId="68FC35B1"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single" w:sz="11" w:space="0" w:color="000000"/>
              <w:right w:val="nil"/>
            </w:tcBorders>
            <w:shd w:val="clear" w:color="auto" w:fill="FFFFFF"/>
            <w:tcMar>
              <w:left w:w="67" w:type="dxa"/>
              <w:right w:w="67" w:type="dxa"/>
            </w:tcMar>
          </w:tcPr>
          <w:p w14:paraId="2EA4BC1E"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single" w:sz="11" w:space="0" w:color="000000"/>
              <w:right w:val="nil"/>
            </w:tcBorders>
            <w:shd w:val="clear" w:color="auto" w:fill="FFFFFF"/>
            <w:tcMar>
              <w:left w:w="67" w:type="dxa"/>
              <w:right w:w="67" w:type="dxa"/>
            </w:tcMar>
          </w:tcPr>
          <w:p w14:paraId="00D18532" w14:textId="77777777" w:rsidR="009A3C2D" w:rsidRPr="0082484A" w:rsidRDefault="009A3C2D" w:rsidP="00272145">
            <w:pPr>
              <w:adjustRightInd w:val="0"/>
              <w:spacing w:before="67" w:after="67"/>
              <w:contextualSpacing/>
              <w:rPr>
                <w:color w:val="000000"/>
                <w:sz w:val="22"/>
                <w:szCs w:val="22"/>
              </w:rPr>
            </w:pPr>
          </w:p>
        </w:tc>
        <w:tc>
          <w:tcPr>
            <w:tcW w:w="1814" w:type="dxa"/>
            <w:tcBorders>
              <w:top w:val="nil"/>
              <w:left w:val="nil"/>
              <w:bottom w:val="single" w:sz="11" w:space="0" w:color="000000"/>
              <w:right w:val="single" w:sz="11" w:space="0" w:color="000000"/>
            </w:tcBorders>
            <w:shd w:val="clear" w:color="auto" w:fill="FFFFFF"/>
            <w:tcMar>
              <w:left w:w="67" w:type="dxa"/>
              <w:right w:w="67" w:type="dxa"/>
            </w:tcMar>
          </w:tcPr>
          <w:p w14:paraId="00EF8EC8" w14:textId="77777777" w:rsidR="009A3C2D" w:rsidRPr="0082484A" w:rsidRDefault="009A3C2D" w:rsidP="00272145">
            <w:pPr>
              <w:adjustRightInd w:val="0"/>
              <w:spacing w:before="67" w:after="67"/>
              <w:contextualSpacing/>
              <w:rPr>
                <w:color w:val="000000"/>
                <w:sz w:val="22"/>
                <w:szCs w:val="22"/>
              </w:rPr>
            </w:pPr>
          </w:p>
        </w:tc>
      </w:tr>
    </w:tbl>
    <w:p w14:paraId="5A40416D" w14:textId="77777777" w:rsidR="009A3C2D" w:rsidRPr="0082484A" w:rsidRDefault="009A3C2D" w:rsidP="009A3C2D">
      <w:pPr>
        <w:contextualSpacing/>
        <w:rPr>
          <w:sz w:val="22"/>
          <w:szCs w:val="22"/>
        </w:rPr>
      </w:pPr>
      <w:r w:rsidRPr="0082484A">
        <w:rPr>
          <w:sz w:val="22"/>
          <w:szCs w:val="22"/>
          <w:vertAlign w:val="superscript"/>
        </w:rPr>
        <w:t xml:space="preserve">a </w:t>
      </w:r>
      <w:r w:rsidRPr="0082484A">
        <w:rPr>
          <w:sz w:val="22"/>
          <w:szCs w:val="22"/>
        </w:rPr>
        <w:t>The 2014-15 QOF measured achievement against 81 indicators; practices scored points on the basis of achievement against each indicator, up to a maximum of 559.</w:t>
      </w:r>
    </w:p>
    <w:p w14:paraId="6E1ACECD" w14:textId="77777777" w:rsidR="009A3C2D" w:rsidRPr="0082484A" w:rsidRDefault="009A3C2D" w:rsidP="009A3C2D">
      <w:pPr>
        <w:spacing w:line="360" w:lineRule="auto"/>
        <w:jc w:val="both"/>
        <w:rPr>
          <w:sz w:val="22"/>
          <w:szCs w:val="22"/>
        </w:rPr>
        <w:sectPr w:rsidR="009A3C2D" w:rsidRPr="0082484A" w:rsidSect="009A3C2D">
          <w:pgSz w:w="11906" w:h="16838"/>
          <w:pgMar w:top="1440" w:right="1440" w:bottom="1440" w:left="1440" w:header="709" w:footer="709" w:gutter="0"/>
          <w:cols w:space="708"/>
          <w:docGrid w:linePitch="360"/>
        </w:sectPr>
      </w:pPr>
    </w:p>
    <w:p w14:paraId="157C92CD" w14:textId="1FF998E5" w:rsidR="009A3C2D" w:rsidRPr="0082484A" w:rsidRDefault="009A3C2D" w:rsidP="009A3C2D">
      <w:pPr>
        <w:pStyle w:val="Caption"/>
        <w:rPr>
          <w:b w:val="0"/>
          <w:sz w:val="22"/>
          <w:szCs w:val="22"/>
        </w:rPr>
      </w:pPr>
      <w:bookmarkStart w:id="313" w:name="_Ref490822580"/>
      <w:bookmarkStart w:id="314" w:name="_Toc491341661"/>
      <w:bookmarkStart w:id="315" w:name="_Ref501108922"/>
      <w:bookmarkStart w:id="316" w:name="_Toc8728169"/>
      <w:bookmarkStart w:id="317" w:name="_Toc19526816"/>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87</w:t>
      </w:r>
      <w:r w:rsidRPr="0082484A">
        <w:rPr>
          <w:b w:val="0"/>
          <w:noProof/>
          <w:sz w:val="22"/>
          <w:szCs w:val="22"/>
        </w:rPr>
        <w:fldChar w:fldCharType="end"/>
      </w:r>
      <w:bookmarkEnd w:id="313"/>
      <w:r w:rsidRPr="0082484A">
        <w:rPr>
          <w:b w:val="0"/>
          <w:sz w:val="22"/>
          <w:szCs w:val="22"/>
        </w:rPr>
        <w:t>: Baseline risks associated with NSAIDs (risky prescribing model) (WP4b)</w:t>
      </w:r>
      <w:bookmarkEnd w:id="314"/>
      <w:bookmarkEnd w:id="315"/>
      <w:bookmarkEnd w:id="316"/>
      <w:bookmarkEnd w:id="317"/>
    </w:p>
    <w:tbl>
      <w:tblPr>
        <w:tblStyle w:val="TableGrid"/>
        <w:tblW w:w="13354" w:type="dxa"/>
        <w:tblInd w:w="-176" w:type="dxa"/>
        <w:tblLayout w:type="fixed"/>
        <w:tblLook w:val="04A0" w:firstRow="1" w:lastRow="0" w:firstColumn="1" w:lastColumn="0" w:noHBand="0" w:noVBand="1"/>
      </w:tblPr>
      <w:tblGrid>
        <w:gridCol w:w="2269"/>
        <w:gridCol w:w="1559"/>
        <w:gridCol w:w="1418"/>
        <w:gridCol w:w="1417"/>
        <w:gridCol w:w="1276"/>
        <w:gridCol w:w="1276"/>
        <w:gridCol w:w="1162"/>
        <w:gridCol w:w="2977"/>
      </w:tblGrid>
      <w:tr w:rsidR="009A3C2D" w:rsidRPr="0082484A" w14:paraId="2DCB50C4" w14:textId="77777777" w:rsidTr="00272145">
        <w:tc>
          <w:tcPr>
            <w:tcW w:w="2269" w:type="dxa"/>
          </w:tcPr>
          <w:p w14:paraId="67186D8E" w14:textId="77777777" w:rsidR="009A3C2D" w:rsidRPr="0082484A" w:rsidRDefault="009A3C2D" w:rsidP="00272145">
            <w:pPr>
              <w:rPr>
                <w:sz w:val="22"/>
                <w:szCs w:val="22"/>
              </w:rPr>
            </w:pPr>
          </w:p>
        </w:tc>
        <w:tc>
          <w:tcPr>
            <w:tcW w:w="1559" w:type="dxa"/>
          </w:tcPr>
          <w:p w14:paraId="2F2FCB6F" w14:textId="77777777" w:rsidR="009A3C2D" w:rsidRPr="0082484A" w:rsidRDefault="009A3C2D" w:rsidP="00272145">
            <w:pPr>
              <w:rPr>
                <w:sz w:val="22"/>
                <w:szCs w:val="22"/>
              </w:rPr>
            </w:pPr>
            <w:r w:rsidRPr="0082484A">
              <w:rPr>
                <w:sz w:val="22"/>
                <w:szCs w:val="22"/>
              </w:rPr>
              <w:t>GI symptoms</w:t>
            </w:r>
          </w:p>
        </w:tc>
        <w:tc>
          <w:tcPr>
            <w:tcW w:w="1418" w:type="dxa"/>
          </w:tcPr>
          <w:p w14:paraId="579C3BE9" w14:textId="77777777" w:rsidR="009A3C2D" w:rsidRPr="0082484A" w:rsidRDefault="009A3C2D" w:rsidP="00272145">
            <w:pPr>
              <w:rPr>
                <w:sz w:val="22"/>
                <w:szCs w:val="22"/>
              </w:rPr>
            </w:pPr>
            <w:r w:rsidRPr="0082484A">
              <w:rPr>
                <w:sz w:val="22"/>
                <w:szCs w:val="22"/>
              </w:rPr>
              <w:t>Symptomatic ulcer</w:t>
            </w:r>
          </w:p>
        </w:tc>
        <w:tc>
          <w:tcPr>
            <w:tcW w:w="1417" w:type="dxa"/>
          </w:tcPr>
          <w:p w14:paraId="1FB34AA4" w14:textId="77777777" w:rsidR="009A3C2D" w:rsidRPr="0082484A" w:rsidRDefault="009A3C2D" w:rsidP="00272145">
            <w:pPr>
              <w:rPr>
                <w:sz w:val="22"/>
                <w:szCs w:val="22"/>
              </w:rPr>
            </w:pPr>
            <w:r w:rsidRPr="0082484A">
              <w:rPr>
                <w:sz w:val="22"/>
                <w:szCs w:val="22"/>
              </w:rPr>
              <w:t>Complicated GI</w:t>
            </w:r>
          </w:p>
        </w:tc>
        <w:tc>
          <w:tcPr>
            <w:tcW w:w="1276" w:type="dxa"/>
          </w:tcPr>
          <w:p w14:paraId="3C4325C2" w14:textId="77777777" w:rsidR="009A3C2D" w:rsidRPr="0082484A" w:rsidRDefault="009A3C2D" w:rsidP="00272145">
            <w:pPr>
              <w:rPr>
                <w:sz w:val="22"/>
                <w:szCs w:val="22"/>
              </w:rPr>
            </w:pPr>
            <w:r w:rsidRPr="0082484A">
              <w:rPr>
                <w:sz w:val="22"/>
                <w:szCs w:val="22"/>
              </w:rPr>
              <w:t>MI</w:t>
            </w:r>
          </w:p>
        </w:tc>
        <w:tc>
          <w:tcPr>
            <w:tcW w:w="1276" w:type="dxa"/>
          </w:tcPr>
          <w:p w14:paraId="770C5572" w14:textId="77777777" w:rsidR="009A3C2D" w:rsidRPr="0082484A" w:rsidRDefault="009A3C2D" w:rsidP="00272145">
            <w:pPr>
              <w:rPr>
                <w:sz w:val="22"/>
                <w:szCs w:val="22"/>
              </w:rPr>
            </w:pPr>
            <w:r w:rsidRPr="0082484A">
              <w:rPr>
                <w:sz w:val="22"/>
                <w:szCs w:val="22"/>
              </w:rPr>
              <w:t>Stroke</w:t>
            </w:r>
          </w:p>
        </w:tc>
        <w:tc>
          <w:tcPr>
            <w:tcW w:w="1162" w:type="dxa"/>
          </w:tcPr>
          <w:p w14:paraId="2F36EBAE" w14:textId="77777777" w:rsidR="009A3C2D" w:rsidRPr="0082484A" w:rsidRDefault="009A3C2D" w:rsidP="00272145">
            <w:pPr>
              <w:rPr>
                <w:sz w:val="22"/>
                <w:szCs w:val="22"/>
              </w:rPr>
            </w:pPr>
            <w:r w:rsidRPr="0082484A">
              <w:rPr>
                <w:sz w:val="22"/>
                <w:szCs w:val="22"/>
              </w:rPr>
              <w:t>HF</w:t>
            </w:r>
          </w:p>
        </w:tc>
        <w:tc>
          <w:tcPr>
            <w:tcW w:w="2977" w:type="dxa"/>
          </w:tcPr>
          <w:p w14:paraId="68FC3006" w14:textId="77777777" w:rsidR="009A3C2D" w:rsidRPr="0082484A" w:rsidRDefault="009A3C2D" w:rsidP="00272145">
            <w:pPr>
              <w:rPr>
                <w:sz w:val="22"/>
                <w:szCs w:val="22"/>
              </w:rPr>
            </w:pPr>
            <w:r w:rsidRPr="0082484A">
              <w:rPr>
                <w:sz w:val="22"/>
                <w:szCs w:val="22"/>
              </w:rPr>
              <w:t>Source</w:t>
            </w:r>
          </w:p>
        </w:tc>
      </w:tr>
      <w:tr w:rsidR="009A3C2D" w:rsidRPr="0082484A" w14:paraId="54928E16" w14:textId="77777777" w:rsidTr="00272145">
        <w:tc>
          <w:tcPr>
            <w:tcW w:w="2269" w:type="dxa"/>
          </w:tcPr>
          <w:p w14:paraId="6BE628F8" w14:textId="77777777" w:rsidR="009A3C2D" w:rsidRPr="0082484A" w:rsidRDefault="009A3C2D" w:rsidP="00272145">
            <w:pPr>
              <w:rPr>
                <w:sz w:val="22"/>
                <w:szCs w:val="22"/>
              </w:rPr>
            </w:pPr>
          </w:p>
        </w:tc>
        <w:tc>
          <w:tcPr>
            <w:tcW w:w="1559" w:type="dxa"/>
          </w:tcPr>
          <w:p w14:paraId="77BEB404" w14:textId="77777777" w:rsidR="009A3C2D" w:rsidRPr="0082484A" w:rsidRDefault="009A3C2D" w:rsidP="00272145">
            <w:pPr>
              <w:rPr>
                <w:sz w:val="22"/>
                <w:szCs w:val="22"/>
              </w:rPr>
            </w:pPr>
          </w:p>
        </w:tc>
        <w:tc>
          <w:tcPr>
            <w:tcW w:w="1418" w:type="dxa"/>
          </w:tcPr>
          <w:p w14:paraId="6A0CFC74" w14:textId="77777777" w:rsidR="009A3C2D" w:rsidRPr="0082484A" w:rsidRDefault="009A3C2D" w:rsidP="00272145">
            <w:pPr>
              <w:rPr>
                <w:sz w:val="22"/>
                <w:szCs w:val="22"/>
              </w:rPr>
            </w:pPr>
          </w:p>
        </w:tc>
        <w:tc>
          <w:tcPr>
            <w:tcW w:w="1417" w:type="dxa"/>
          </w:tcPr>
          <w:p w14:paraId="0F3DE9DA" w14:textId="77777777" w:rsidR="009A3C2D" w:rsidRPr="0082484A" w:rsidRDefault="009A3C2D" w:rsidP="00272145">
            <w:pPr>
              <w:rPr>
                <w:sz w:val="22"/>
                <w:szCs w:val="22"/>
              </w:rPr>
            </w:pPr>
          </w:p>
        </w:tc>
        <w:tc>
          <w:tcPr>
            <w:tcW w:w="1276" w:type="dxa"/>
          </w:tcPr>
          <w:p w14:paraId="5540FF66" w14:textId="77777777" w:rsidR="009A3C2D" w:rsidRPr="0082484A" w:rsidRDefault="009A3C2D" w:rsidP="00272145">
            <w:pPr>
              <w:rPr>
                <w:sz w:val="22"/>
                <w:szCs w:val="22"/>
              </w:rPr>
            </w:pPr>
          </w:p>
        </w:tc>
        <w:tc>
          <w:tcPr>
            <w:tcW w:w="1276" w:type="dxa"/>
          </w:tcPr>
          <w:p w14:paraId="3992D687" w14:textId="77777777" w:rsidR="009A3C2D" w:rsidRPr="0082484A" w:rsidRDefault="009A3C2D" w:rsidP="00272145">
            <w:pPr>
              <w:rPr>
                <w:sz w:val="22"/>
                <w:szCs w:val="22"/>
              </w:rPr>
            </w:pPr>
          </w:p>
        </w:tc>
        <w:tc>
          <w:tcPr>
            <w:tcW w:w="1162" w:type="dxa"/>
          </w:tcPr>
          <w:p w14:paraId="513CD727" w14:textId="77777777" w:rsidR="009A3C2D" w:rsidRPr="0082484A" w:rsidRDefault="009A3C2D" w:rsidP="00272145">
            <w:pPr>
              <w:rPr>
                <w:sz w:val="22"/>
                <w:szCs w:val="22"/>
              </w:rPr>
            </w:pPr>
          </w:p>
        </w:tc>
        <w:tc>
          <w:tcPr>
            <w:tcW w:w="2977" w:type="dxa"/>
          </w:tcPr>
          <w:p w14:paraId="2616D267" w14:textId="6EFDA78D" w:rsidR="009A3C2D" w:rsidRPr="0082484A" w:rsidRDefault="009A3C2D" w:rsidP="00952E85">
            <w:pPr>
              <w:jc w:val="right"/>
              <w:rPr>
                <w:sz w:val="22"/>
                <w:szCs w:val="22"/>
              </w:rPr>
            </w:pPr>
            <w:r w:rsidRPr="0082484A">
              <w:rPr>
                <w:sz w:val="22"/>
                <w:szCs w:val="22"/>
              </w:rPr>
              <w:t>All from NICE CG177</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Excellence&lt;/Author&gt;&lt;Year&gt;2014 &lt;/Year&gt;&lt;RecNum&gt;3304&lt;/RecNum&gt;&lt;DisplayText&gt;&lt;style face="superscript"&gt;1&lt;/style&gt;&lt;/DisplayText&gt;&lt;record&gt;&lt;rec-number&gt;3304&lt;/rec-number&gt;&lt;foreign-keys&gt;&lt;key app="EN" db-id="5srzarxr5dr9r5es2r7xst9lr9t2rewrpffr" timestamp="1516018832"&gt;3304&lt;/key&gt;&lt;/foreign-keys&gt;&lt;ref-type name="Report"&gt;27&lt;/ref-type&gt;&lt;contributors&gt;&lt;authors&gt;&lt;author&gt;National Institute for Health and Clinical Excellence,&lt;/author&gt;&lt;/authors&gt;&lt;/contributors&gt;&lt;titles&gt;&lt;title&gt;Osteoarthritis: care and management [CG177]&lt;/title&gt;&lt;/titles&gt;&lt;dates&gt;&lt;year&gt;2014 &lt;/year&gt;&lt;/dates&gt;&lt;pub-location&gt;London&lt;/pub-location&gt;&lt;urls&gt;&lt;/urls&gt;&lt;/record&gt;&lt;/Cite&gt;&lt;/EndNote&gt;</w:instrText>
            </w:r>
            <w:r w:rsidRPr="0082484A">
              <w:rPr>
                <w:sz w:val="22"/>
                <w:szCs w:val="22"/>
              </w:rPr>
              <w:fldChar w:fldCharType="separate"/>
            </w:r>
            <w:r w:rsidR="00952E85" w:rsidRPr="0082484A">
              <w:rPr>
                <w:noProof/>
                <w:sz w:val="22"/>
                <w:szCs w:val="22"/>
                <w:vertAlign w:val="superscript"/>
              </w:rPr>
              <w:t>1</w:t>
            </w:r>
            <w:r w:rsidRPr="0082484A">
              <w:rPr>
                <w:sz w:val="22"/>
                <w:szCs w:val="22"/>
              </w:rPr>
              <w:fldChar w:fldCharType="end"/>
            </w:r>
            <w:r w:rsidRPr="0082484A">
              <w:rPr>
                <w:sz w:val="22"/>
                <w:szCs w:val="22"/>
              </w:rPr>
              <w:t xml:space="preserve"> – Adjusted doses</w:t>
            </w:r>
          </w:p>
        </w:tc>
      </w:tr>
      <w:tr w:rsidR="009A3C2D" w:rsidRPr="0082484A" w14:paraId="4E3A2F0B" w14:textId="77777777" w:rsidTr="00272145">
        <w:trPr>
          <w:trHeight w:val="302"/>
        </w:trPr>
        <w:tc>
          <w:tcPr>
            <w:tcW w:w="2269" w:type="dxa"/>
          </w:tcPr>
          <w:p w14:paraId="1561C593" w14:textId="77777777" w:rsidR="009A3C2D" w:rsidRPr="0082484A" w:rsidRDefault="009A3C2D" w:rsidP="00272145">
            <w:pPr>
              <w:rPr>
                <w:sz w:val="22"/>
                <w:szCs w:val="22"/>
              </w:rPr>
            </w:pPr>
            <w:r w:rsidRPr="0082484A">
              <w:rPr>
                <w:sz w:val="22"/>
                <w:szCs w:val="22"/>
              </w:rPr>
              <w:t>No treatment</w:t>
            </w:r>
          </w:p>
        </w:tc>
        <w:tc>
          <w:tcPr>
            <w:tcW w:w="1559" w:type="dxa"/>
          </w:tcPr>
          <w:p w14:paraId="62E55B3D" w14:textId="77777777" w:rsidR="009A3C2D" w:rsidRPr="0082484A" w:rsidRDefault="009A3C2D" w:rsidP="00272145">
            <w:pPr>
              <w:jc w:val="right"/>
              <w:rPr>
                <w:sz w:val="22"/>
                <w:szCs w:val="22"/>
              </w:rPr>
            </w:pPr>
            <w:r w:rsidRPr="0082484A">
              <w:rPr>
                <w:sz w:val="22"/>
                <w:szCs w:val="22"/>
              </w:rPr>
              <w:t xml:space="preserve"> 0.0752 </w:t>
            </w:r>
          </w:p>
        </w:tc>
        <w:tc>
          <w:tcPr>
            <w:tcW w:w="1418" w:type="dxa"/>
          </w:tcPr>
          <w:p w14:paraId="13EA0DE7" w14:textId="77777777" w:rsidR="009A3C2D" w:rsidRPr="0082484A" w:rsidRDefault="009A3C2D" w:rsidP="00272145">
            <w:pPr>
              <w:jc w:val="right"/>
              <w:rPr>
                <w:sz w:val="22"/>
                <w:szCs w:val="22"/>
              </w:rPr>
            </w:pPr>
            <w:r w:rsidRPr="0082484A">
              <w:rPr>
                <w:sz w:val="22"/>
                <w:szCs w:val="22"/>
              </w:rPr>
              <w:t xml:space="preserve"> 0.0004 </w:t>
            </w:r>
          </w:p>
        </w:tc>
        <w:tc>
          <w:tcPr>
            <w:tcW w:w="1417" w:type="dxa"/>
          </w:tcPr>
          <w:p w14:paraId="1524091F" w14:textId="77777777" w:rsidR="009A3C2D" w:rsidRPr="0082484A" w:rsidRDefault="009A3C2D" w:rsidP="00272145">
            <w:pPr>
              <w:jc w:val="right"/>
              <w:rPr>
                <w:sz w:val="22"/>
                <w:szCs w:val="22"/>
              </w:rPr>
            </w:pPr>
            <w:r w:rsidRPr="0082484A">
              <w:rPr>
                <w:sz w:val="22"/>
                <w:szCs w:val="22"/>
              </w:rPr>
              <w:t xml:space="preserve"> 0.0002 </w:t>
            </w:r>
          </w:p>
        </w:tc>
        <w:tc>
          <w:tcPr>
            <w:tcW w:w="1276" w:type="dxa"/>
          </w:tcPr>
          <w:p w14:paraId="227EB890" w14:textId="77777777" w:rsidR="009A3C2D" w:rsidRPr="0082484A" w:rsidRDefault="009A3C2D" w:rsidP="00272145">
            <w:pPr>
              <w:jc w:val="right"/>
              <w:rPr>
                <w:sz w:val="22"/>
                <w:szCs w:val="22"/>
              </w:rPr>
            </w:pPr>
            <w:r w:rsidRPr="0082484A">
              <w:rPr>
                <w:sz w:val="22"/>
                <w:szCs w:val="22"/>
              </w:rPr>
              <w:t xml:space="preserve"> 0.0006 </w:t>
            </w:r>
          </w:p>
        </w:tc>
        <w:tc>
          <w:tcPr>
            <w:tcW w:w="1276" w:type="dxa"/>
          </w:tcPr>
          <w:p w14:paraId="727B3F08" w14:textId="77777777" w:rsidR="009A3C2D" w:rsidRPr="0082484A" w:rsidRDefault="009A3C2D" w:rsidP="00272145">
            <w:pPr>
              <w:jc w:val="right"/>
              <w:rPr>
                <w:sz w:val="22"/>
                <w:szCs w:val="22"/>
              </w:rPr>
            </w:pPr>
            <w:r w:rsidRPr="0082484A">
              <w:rPr>
                <w:sz w:val="22"/>
                <w:szCs w:val="22"/>
              </w:rPr>
              <w:t xml:space="preserve"> 0.0003 </w:t>
            </w:r>
          </w:p>
        </w:tc>
        <w:tc>
          <w:tcPr>
            <w:tcW w:w="1162" w:type="dxa"/>
          </w:tcPr>
          <w:p w14:paraId="7D2E041F" w14:textId="77777777" w:rsidR="009A3C2D" w:rsidRPr="0082484A" w:rsidRDefault="009A3C2D" w:rsidP="00272145">
            <w:pPr>
              <w:jc w:val="right"/>
              <w:rPr>
                <w:sz w:val="22"/>
                <w:szCs w:val="22"/>
              </w:rPr>
            </w:pPr>
            <w:r w:rsidRPr="0082484A">
              <w:rPr>
                <w:sz w:val="22"/>
                <w:szCs w:val="22"/>
              </w:rPr>
              <w:t xml:space="preserve"> 0.0001 </w:t>
            </w:r>
          </w:p>
        </w:tc>
        <w:tc>
          <w:tcPr>
            <w:tcW w:w="2977" w:type="dxa"/>
          </w:tcPr>
          <w:p w14:paraId="696120F4" w14:textId="77777777" w:rsidR="009A3C2D" w:rsidRPr="0082484A" w:rsidRDefault="009A3C2D" w:rsidP="00272145">
            <w:pPr>
              <w:jc w:val="right"/>
              <w:rPr>
                <w:sz w:val="22"/>
                <w:szCs w:val="22"/>
                <w:highlight w:val="yellow"/>
              </w:rPr>
            </w:pPr>
          </w:p>
        </w:tc>
      </w:tr>
      <w:tr w:rsidR="009A3C2D" w:rsidRPr="0082484A" w14:paraId="643542BC" w14:textId="77777777" w:rsidTr="00272145">
        <w:trPr>
          <w:trHeight w:val="323"/>
        </w:trPr>
        <w:tc>
          <w:tcPr>
            <w:tcW w:w="2269" w:type="dxa"/>
          </w:tcPr>
          <w:p w14:paraId="292BA33F" w14:textId="77777777" w:rsidR="009A3C2D" w:rsidRPr="0082484A" w:rsidRDefault="009A3C2D" w:rsidP="00272145">
            <w:pPr>
              <w:rPr>
                <w:sz w:val="22"/>
                <w:szCs w:val="22"/>
              </w:rPr>
            </w:pPr>
            <w:r w:rsidRPr="0082484A">
              <w:rPr>
                <w:sz w:val="22"/>
                <w:szCs w:val="22"/>
              </w:rPr>
              <w:t>Paracetamol</w:t>
            </w:r>
          </w:p>
        </w:tc>
        <w:tc>
          <w:tcPr>
            <w:tcW w:w="1559" w:type="dxa"/>
          </w:tcPr>
          <w:p w14:paraId="0A227118" w14:textId="77777777" w:rsidR="009A3C2D" w:rsidRPr="0082484A" w:rsidRDefault="009A3C2D" w:rsidP="00272145">
            <w:pPr>
              <w:jc w:val="right"/>
              <w:rPr>
                <w:sz w:val="22"/>
                <w:szCs w:val="22"/>
              </w:rPr>
            </w:pPr>
            <w:r w:rsidRPr="0082484A">
              <w:rPr>
                <w:sz w:val="22"/>
                <w:szCs w:val="22"/>
              </w:rPr>
              <w:t xml:space="preserve"> 0.0940 </w:t>
            </w:r>
          </w:p>
        </w:tc>
        <w:tc>
          <w:tcPr>
            <w:tcW w:w="1418" w:type="dxa"/>
          </w:tcPr>
          <w:p w14:paraId="66596AF3" w14:textId="77777777" w:rsidR="009A3C2D" w:rsidRPr="0082484A" w:rsidRDefault="009A3C2D" w:rsidP="00272145">
            <w:pPr>
              <w:jc w:val="right"/>
              <w:rPr>
                <w:sz w:val="22"/>
                <w:szCs w:val="22"/>
              </w:rPr>
            </w:pPr>
            <w:r w:rsidRPr="0082484A">
              <w:rPr>
                <w:sz w:val="22"/>
                <w:szCs w:val="22"/>
              </w:rPr>
              <w:t xml:space="preserve"> 0.0004 </w:t>
            </w:r>
          </w:p>
        </w:tc>
        <w:tc>
          <w:tcPr>
            <w:tcW w:w="1417" w:type="dxa"/>
          </w:tcPr>
          <w:p w14:paraId="0F68E630" w14:textId="77777777" w:rsidR="009A3C2D" w:rsidRPr="0082484A" w:rsidRDefault="009A3C2D" w:rsidP="00272145">
            <w:pPr>
              <w:jc w:val="right"/>
              <w:rPr>
                <w:sz w:val="22"/>
                <w:szCs w:val="22"/>
              </w:rPr>
            </w:pPr>
            <w:r w:rsidRPr="0082484A">
              <w:rPr>
                <w:sz w:val="22"/>
                <w:szCs w:val="22"/>
              </w:rPr>
              <w:t xml:space="preserve"> 0.0002 </w:t>
            </w:r>
          </w:p>
        </w:tc>
        <w:tc>
          <w:tcPr>
            <w:tcW w:w="1276" w:type="dxa"/>
          </w:tcPr>
          <w:p w14:paraId="46538738" w14:textId="77777777" w:rsidR="009A3C2D" w:rsidRPr="0082484A" w:rsidRDefault="009A3C2D" w:rsidP="00272145">
            <w:pPr>
              <w:jc w:val="right"/>
              <w:rPr>
                <w:sz w:val="22"/>
                <w:szCs w:val="22"/>
              </w:rPr>
            </w:pPr>
            <w:r w:rsidRPr="0082484A">
              <w:rPr>
                <w:sz w:val="22"/>
                <w:szCs w:val="22"/>
              </w:rPr>
              <w:t xml:space="preserve"> 0.0006 </w:t>
            </w:r>
          </w:p>
        </w:tc>
        <w:tc>
          <w:tcPr>
            <w:tcW w:w="1276" w:type="dxa"/>
          </w:tcPr>
          <w:p w14:paraId="0D7749A3" w14:textId="77777777" w:rsidR="009A3C2D" w:rsidRPr="0082484A" w:rsidRDefault="009A3C2D" w:rsidP="00272145">
            <w:pPr>
              <w:jc w:val="right"/>
              <w:rPr>
                <w:sz w:val="22"/>
                <w:szCs w:val="22"/>
              </w:rPr>
            </w:pPr>
            <w:r w:rsidRPr="0082484A">
              <w:rPr>
                <w:sz w:val="22"/>
                <w:szCs w:val="22"/>
              </w:rPr>
              <w:t xml:space="preserve"> 0.0003 </w:t>
            </w:r>
          </w:p>
        </w:tc>
        <w:tc>
          <w:tcPr>
            <w:tcW w:w="1162" w:type="dxa"/>
          </w:tcPr>
          <w:p w14:paraId="3450A0F9" w14:textId="77777777" w:rsidR="009A3C2D" w:rsidRPr="0082484A" w:rsidRDefault="009A3C2D" w:rsidP="00272145">
            <w:pPr>
              <w:jc w:val="right"/>
              <w:rPr>
                <w:sz w:val="22"/>
                <w:szCs w:val="22"/>
              </w:rPr>
            </w:pPr>
            <w:r w:rsidRPr="0082484A">
              <w:rPr>
                <w:sz w:val="22"/>
                <w:szCs w:val="22"/>
              </w:rPr>
              <w:t xml:space="preserve"> 0.0001 </w:t>
            </w:r>
          </w:p>
        </w:tc>
        <w:tc>
          <w:tcPr>
            <w:tcW w:w="2977" w:type="dxa"/>
          </w:tcPr>
          <w:p w14:paraId="143C3120" w14:textId="77777777" w:rsidR="009A3C2D" w:rsidRPr="0082484A" w:rsidRDefault="009A3C2D" w:rsidP="00272145">
            <w:pPr>
              <w:jc w:val="right"/>
              <w:rPr>
                <w:sz w:val="22"/>
                <w:szCs w:val="22"/>
                <w:highlight w:val="yellow"/>
              </w:rPr>
            </w:pPr>
          </w:p>
        </w:tc>
      </w:tr>
      <w:tr w:rsidR="009A3C2D" w:rsidRPr="0082484A" w14:paraId="61A1F5D0" w14:textId="77777777" w:rsidTr="00272145">
        <w:tc>
          <w:tcPr>
            <w:tcW w:w="2269" w:type="dxa"/>
          </w:tcPr>
          <w:p w14:paraId="6A4E0348" w14:textId="77777777" w:rsidR="009A3C2D" w:rsidRPr="0082484A" w:rsidRDefault="009A3C2D" w:rsidP="00272145">
            <w:pPr>
              <w:rPr>
                <w:sz w:val="22"/>
                <w:szCs w:val="22"/>
              </w:rPr>
            </w:pPr>
            <w:r w:rsidRPr="0082484A">
              <w:rPr>
                <w:sz w:val="22"/>
                <w:szCs w:val="22"/>
              </w:rPr>
              <w:t>Diclofenac</w:t>
            </w:r>
          </w:p>
        </w:tc>
        <w:tc>
          <w:tcPr>
            <w:tcW w:w="1559" w:type="dxa"/>
          </w:tcPr>
          <w:p w14:paraId="4DE0CAF4" w14:textId="77777777" w:rsidR="009A3C2D" w:rsidRPr="0082484A" w:rsidRDefault="009A3C2D" w:rsidP="00272145">
            <w:pPr>
              <w:jc w:val="right"/>
              <w:rPr>
                <w:sz w:val="22"/>
                <w:szCs w:val="22"/>
              </w:rPr>
            </w:pPr>
            <w:r w:rsidRPr="0082484A">
              <w:rPr>
                <w:sz w:val="22"/>
                <w:szCs w:val="22"/>
              </w:rPr>
              <w:t xml:space="preserve"> 0.1635 </w:t>
            </w:r>
          </w:p>
        </w:tc>
        <w:tc>
          <w:tcPr>
            <w:tcW w:w="1418" w:type="dxa"/>
          </w:tcPr>
          <w:p w14:paraId="43D6DEC3" w14:textId="77777777" w:rsidR="009A3C2D" w:rsidRPr="0082484A" w:rsidRDefault="009A3C2D" w:rsidP="00272145">
            <w:pPr>
              <w:jc w:val="right"/>
              <w:rPr>
                <w:sz w:val="22"/>
                <w:szCs w:val="22"/>
              </w:rPr>
            </w:pPr>
            <w:r w:rsidRPr="0082484A">
              <w:rPr>
                <w:sz w:val="22"/>
                <w:szCs w:val="22"/>
              </w:rPr>
              <w:t xml:space="preserve"> 0.0007 </w:t>
            </w:r>
          </w:p>
        </w:tc>
        <w:tc>
          <w:tcPr>
            <w:tcW w:w="1417" w:type="dxa"/>
          </w:tcPr>
          <w:p w14:paraId="252CBCCD" w14:textId="77777777" w:rsidR="009A3C2D" w:rsidRPr="0082484A" w:rsidRDefault="009A3C2D" w:rsidP="00272145">
            <w:pPr>
              <w:jc w:val="right"/>
              <w:rPr>
                <w:sz w:val="22"/>
                <w:szCs w:val="22"/>
              </w:rPr>
            </w:pPr>
            <w:r w:rsidRPr="0082484A">
              <w:rPr>
                <w:sz w:val="22"/>
                <w:szCs w:val="22"/>
              </w:rPr>
              <w:t xml:space="preserve"> 0.0004  </w:t>
            </w:r>
          </w:p>
        </w:tc>
        <w:tc>
          <w:tcPr>
            <w:tcW w:w="1276" w:type="dxa"/>
          </w:tcPr>
          <w:p w14:paraId="4053D5C5" w14:textId="77777777" w:rsidR="009A3C2D" w:rsidRPr="0082484A" w:rsidRDefault="009A3C2D" w:rsidP="00272145">
            <w:pPr>
              <w:jc w:val="right"/>
              <w:rPr>
                <w:sz w:val="22"/>
                <w:szCs w:val="22"/>
              </w:rPr>
            </w:pPr>
            <w:r w:rsidRPr="0082484A">
              <w:rPr>
                <w:sz w:val="22"/>
                <w:szCs w:val="22"/>
              </w:rPr>
              <w:t xml:space="preserve"> 0.0009</w:t>
            </w:r>
          </w:p>
        </w:tc>
        <w:tc>
          <w:tcPr>
            <w:tcW w:w="1276" w:type="dxa"/>
          </w:tcPr>
          <w:p w14:paraId="6B3CC37A" w14:textId="77777777" w:rsidR="009A3C2D" w:rsidRPr="0082484A" w:rsidRDefault="009A3C2D" w:rsidP="00272145">
            <w:pPr>
              <w:jc w:val="right"/>
              <w:rPr>
                <w:sz w:val="22"/>
                <w:szCs w:val="22"/>
              </w:rPr>
            </w:pPr>
            <w:r w:rsidRPr="0082484A">
              <w:rPr>
                <w:sz w:val="22"/>
                <w:szCs w:val="22"/>
              </w:rPr>
              <w:t xml:space="preserve"> 0.0004 </w:t>
            </w:r>
          </w:p>
        </w:tc>
        <w:tc>
          <w:tcPr>
            <w:tcW w:w="1162" w:type="dxa"/>
          </w:tcPr>
          <w:p w14:paraId="15240227" w14:textId="77777777" w:rsidR="009A3C2D" w:rsidRPr="0082484A" w:rsidRDefault="009A3C2D" w:rsidP="00272145">
            <w:pPr>
              <w:jc w:val="right"/>
              <w:rPr>
                <w:sz w:val="22"/>
                <w:szCs w:val="22"/>
              </w:rPr>
            </w:pPr>
            <w:r w:rsidRPr="0082484A">
              <w:rPr>
                <w:sz w:val="22"/>
                <w:szCs w:val="22"/>
              </w:rPr>
              <w:t xml:space="preserve"> 0.0002 </w:t>
            </w:r>
          </w:p>
        </w:tc>
        <w:tc>
          <w:tcPr>
            <w:tcW w:w="2977" w:type="dxa"/>
          </w:tcPr>
          <w:p w14:paraId="21735C20" w14:textId="77777777" w:rsidR="009A3C2D" w:rsidRPr="0082484A" w:rsidRDefault="009A3C2D" w:rsidP="00272145">
            <w:pPr>
              <w:jc w:val="right"/>
              <w:rPr>
                <w:sz w:val="22"/>
                <w:szCs w:val="22"/>
                <w:highlight w:val="yellow"/>
              </w:rPr>
            </w:pPr>
          </w:p>
        </w:tc>
      </w:tr>
      <w:tr w:rsidR="009A3C2D" w:rsidRPr="0082484A" w14:paraId="3D2AC881" w14:textId="77777777" w:rsidTr="00272145">
        <w:trPr>
          <w:trHeight w:val="335"/>
        </w:trPr>
        <w:tc>
          <w:tcPr>
            <w:tcW w:w="2269" w:type="dxa"/>
          </w:tcPr>
          <w:p w14:paraId="1D6023A0" w14:textId="77777777" w:rsidR="009A3C2D" w:rsidRPr="0082484A" w:rsidRDefault="009A3C2D" w:rsidP="00272145">
            <w:pPr>
              <w:rPr>
                <w:sz w:val="22"/>
                <w:szCs w:val="22"/>
              </w:rPr>
            </w:pPr>
            <w:r w:rsidRPr="0082484A">
              <w:rPr>
                <w:sz w:val="22"/>
                <w:szCs w:val="22"/>
              </w:rPr>
              <w:t>Naproxen</w:t>
            </w:r>
          </w:p>
        </w:tc>
        <w:tc>
          <w:tcPr>
            <w:tcW w:w="1559" w:type="dxa"/>
            <w:vAlign w:val="bottom"/>
          </w:tcPr>
          <w:p w14:paraId="0C437CA8" w14:textId="77777777" w:rsidR="009A3C2D" w:rsidRPr="0082484A" w:rsidRDefault="009A3C2D" w:rsidP="00272145">
            <w:pPr>
              <w:tabs>
                <w:tab w:val="left" w:pos="1168"/>
              </w:tabs>
              <w:ind w:left="159"/>
              <w:jc w:val="right"/>
              <w:rPr>
                <w:sz w:val="22"/>
                <w:szCs w:val="22"/>
              </w:rPr>
            </w:pPr>
            <w:r w:rsidRPr="0082484A">
              <w:rPr>
                <w:color w:val="000000"/>
                <w:sz w:val="22"/>
                <w:szCs w:val="22"/>
              </w:rPr>
              <w:t>0.2551</w:t>
            </w:r>
          </w:p>
        </w:tc>
        <w:tc>
          <w:tcPr>
            <w:tcW w:w="1418" w:type="dxa"/>
            <w:vAlign w:val="bottom"/>
          </w:tcPr>
          <w:p w14:paraId="1411F01B" w14:textId="77777777" w:rsidR="009A3C2D" w:rsidRPr="0082484A" w:rsidRDefault="009A3C2D" w:rsidP="00272145">
            <w:pPr>
              <w:jc w:val="right"/>
              <w:rPr>
                <w:sz w:val="22"/>
                <w:szCs w:val="22"/>
              </w:rPr>
            </w:pPr>
            <w:r w:rsidRPr="0082484A">
              <w:rPr>
                <w:color w:val="000000"/>
                <w:sz w:val="22"/>
                <w:szCs w:val="22"/>
              </w:rPr>
              <w:t>0.0008</w:t>
            </w:r>
          </w:p>
        </w:tc>
        <w:tc>
          <w:tcPr>
            <w:tcW w:w="1417" w:type="dxa"/>
            <w:vAlign w:val="bottom"/>
          </w:tcPr>
          <w:p w14:paraId="0F3502B2" w14:textId="77777777" w:rsidR="009A3C2D" w:rsidRPr="0082484A" w:rsidRDefault="009A3C2D" w:rsidP="00272145">
            <w:pPr>
              <w:jc w:val="right"/>
              <w:rPr>
                <w:sz w:val="22"/>
                <w:szCs w:val="22"/>
              </w:rPr>
            </w:pPr>
            <w:r w:rsidRPr="0082484A">
              <w:rPr>
                <w:color w:val="000000"/>
                <w:sz w:val="22"/>
                <w:szCs w:val="22"/>
              </w:rPr>
              <w:t xml:space="preserve">0.0003 </w:t>
            </w:r>
          </w:p>
        </w:tc>
        <w:tc>
          <w:tcPr>
            <w:tcW w:w="1276" w:type="dxa"/>
            <w:vAlign w:val="bottom"/>
          </w:tcPr>
          <w:p w14:paraId="7FB513B1" w14:textId="77777777" w:rsidR="009A3C2D" w:rsidRPr="0082484A" w:rsidRDefault="009A3C2D" w:rsidP="00272145">
            <w:pPr>
              <w:jc w:val="right"/>
              <w:rPr>
                <w:sz w:val="22"/>
                <w:szCs w:val="22"/>
              </w:rPr>
            </w:pPr>
            <w:r w:rsidRPr="0082484A">
              <w:rPr>
                <w:color w:val="000000"/>
                <w:sz w:val="22"/>
                <w:szCs w:val="22"/>
              </w:rPr>
              <w:t>0.0007</w:t>
            </w:r>
          </w:p>
        </w:tc>
        <w:tc>
          <w:tcPr>
            <w:tcW w:w="1276" w:type="dxa"/>
            <w:vAlign w:val="bottom"/>
          </w:tcPr>
          <w:p w14:paraId="60C173DF" w14:textId="77777777" w:rsidR="009A3C2D" w:rsidRPr="0082484A" w:rsidRDefault="009A3C2D" w:rsidP="00272145">
            <w:pPr>
              <w:jc w:val="right"/>
              <w:rPr>
                <w:sz w:val="22"/>
                <w:szCs w:val="22"/>
              </w:rPr>
            </w:pPr>
            <w:r w:rsidRPr="0082484A">
              <w:rPr>
                <w:color w:val="000000"/>
                <w:sz w:val="22"/>
                <w:szCs w:val="22"/>
              </w:rPr>
              <w:t xml:space="preserve">0.0003 </w:t>
            </w:r>
          </w:p>
        </w:tc>
        <w:tc>
          <w:tcPr>
            <w:tcW w:w="1162" w:type="dxa"/>
            <w:vAlign w:val="bottom"/>
          </w:tcPr>
          <w:p w14:paraId="7887148A" w14:textId="77777777" w:rsidR="009A3C2D" w:rsidRPr="0082484A" w:rsidRDefault="009A3C2D" w:rsidP="00272145">
            <w:pPr>
              <w:jc w:val="right"/>
              <w:rPr>
                <w:sz w:val="22"/>
                <w:szCs w:val="22"/>
              </w:rPr>
            </w:pPr>
            <w:r w:rsidRPr="0082484A">
              <w:rPr>
                <w:color w:val="000000"/>
                <w:sz w:val="22"/>
                <w:szCs w:val="22"/>
              </w:rPr>
              <w:t xml:space="preserve">0.0002 </w:t>
            </w:r>
          </w:p>
        </w:tc>
        <w:tc>
          <w:tcPr>
            <w:tcW w:w="2977" w:type="dxa"/>
          </w:tcPr>
          <w:p w14:paraId="712BECDD" w14:textId="77777777" w:rsidR="009A3C2D" w:rsidRPr="0082484A" w:rsidRDefault="009A3C2D" w:rsidP="00272145">
            <w:pPr>
              <w:jc w:val="right"/>
              <w:rPr>
                <w:sz w:val="22"/>
                <w:szCs w:val="22"/>
                <w:highlight w:val="yellow"/>
              </w:rPr>
            </w:pPr>
          </w:p>
        </w:tc>
      </w:tr>
      <w:tr w:rsidR="009A3C2D" w:rsidRPr="0082484A" w14:paraId="0E344F5C" w14:textId="77777777" w:rsidTr="00272145">
        <w:tc>
          <w:tcPr>
            <w:tcW w:w="2269" w:type="dxa"/>
          </w:tcPr>
          <w:p w14:paraId="2D5ADE32" w14:textId="77777777" w:rsidR="009A3C2D" w:rsidRPr="0082484A" w:rsidRDefault="009A3C2D" w:rsidP="00272145">
            <w:pPr>
              <w:rPr>
                <w:sz w:val="22"/>
                <w:szCs w:val="22"/>
              </w:rPr>
            </w:pPr>
            <w:r w:rsidRPr="0082484A">
              <w:rPr>
                <w:sz w:val="22"/>
                <w:szCs w:val="22"/>
              </w:rPr>
              <w:t>Ibuprofen</w:t>
            </w:r>
          </w:p>
        </w:tc>
        <w:tc>
          <w:tcPr>
            <w:tcW w:w="1559" w:type="dxa"/>
            <w:vAlign w:val="bottom"/>
          </w:tcPr>
          <w:p w14:paraId="120AFC22" w14:textId="77777777" w:rsidR="009A3C2D" w:rsidRPr="0082484A" w:rsidRDefault="009A3C2D" w:rsidP="00272145">
            <w:pPr>
              <w:jc w:val="right"/>
              <w:rPr>
                <w:sz w:val="22"/>
                <w:szCs w:val="22"/>
              </w:rPr>
            </w:pPr>
            <w:r w:rsidRPr="0082484A">
              <w:rPr>
                <w:color w:val="000000"/>
                <w:sz w:val="22"/>
                <w:szCs w:val="22"/>
              </w:rPr>
              <w:t xml:space="preserve"> 0.0945</w:t>
            </w:r>
          </w:p>
        </w:tc>
        <w:tc>
          <w:tcPr>
            <w:tcW w:w="1418" w:type="dxa"/>
            <w:vAlign w:val="bottom"/>
          </w:tcPr>
          <w:p w14:paraId="4A776145" w14:textId="77777777" w:rsidR="009A3C2D" w:rsidRPr="0082484A" w:rsidRDefault="009A3C2D" w:rsidP="00272145">
            <w:pPr>
              <w:jc w:val="right"/>
              <w:rPr>
                <w:sz w:val="22"/>
                <w:szCs w:val="22"/>
              </w:rPr>
            </w:pPr>
            <w:r w:rsidRPr="0082484A">
              <w:rPr>
                <w:color w:val="000000"/>
                <w:sz w:val="22"/>
                <w:szCs w:val="22"/>
              </w:rPr>
              <w:t>0.0004</w:t>
            </w:r>
          </w:p>
        </w:tc>
        <w:tc>
          <w:tcPr>
            <w:tcW w:w="1417" w:type="dxa"/>
            <w:vAlign w:val="bottom"/>
          </w:tcPr>
          <w:p w14:paraId="60DB6164" w14:textId="77777777" w:rsidR="009A3C2D" w:rsidRPr="0082484A" w:rsidRDefault="009A3C2D" w:rsidP="00272145">
            <w:pPr>
              <w:jc w:val="right"/>
              <w:rPr>
                <w:sz w:val="22"/>
                <w:szCs w:val="22"/>
              </w:rPr>
            </w:pPr>
            <w:r w:rsidRPr="0082484A">
              <w:rPr>
                <w:color w:val="000000"/>
                <w:sz w:val="22"/>
                <w:szCs w:val="22"/>
              </w:rPr>
              <w:t xml:space="preserve">0.0003 </w:t>
            </w:r>
            <w:r w:rsidRPr="0082484A">
              <w:rPr>
                <w:sz w:val="22"/>
                <w:szCs w:val="22"/>
              </w:rPr>
              <w:t xml:space="preserve"> </w:t>
            </w:r>
          </w:p>
        </w:tc>
        <w:tc>
          <w:tcPr>
            <w:tcW w:w="1276" w:type="dxa"/>
            <w:vAlign w:val="bottom"/>
          </w:tcPr>
          <w:p w14:paraId="5B34248D" w14:textId="77777777" w:rsidR="009A3C2D" w:rsidRPr="0082484A" w:rsidRDefault="009A3C2D" w:rsidP="00272145">
            <w:pPr>
              <w:jc w:val="right"/>
              <w:rPr>
                <w:sz w:val="22"/>
                <w:szCs w:val="22"/>
              </w:rPr>
            </w:pPr>
            <w:r w:rsidRPr="0082484A">
              <w:rPr>
                <w:color w:val="000000"/>
                <w:sz w:val="22"/>
                <w:szCs w:val="22"/>
              </w:rPr>
              <w:t xml:space="preserve"> 0.0007 </w:t>
            </w:r>
            <w:r w:rsidRPr="0082484A">
              <w:rPr>
                <w:sz w:val="22"/>
                <w:szCs w:val="22"/>
              </w:rPr>
              <w:t xml:space="preserve"> </w:t>
            </w:r>
          </w:p>
        </w:tc>
        <w:tc>
          <w:tcPr>
            <w:tcW w:w="1276" w:type="dxa"/>
            <w:vAlign w:val="bottom"/>
          </w:tcPr>
          <w:p w14:paraId="7A6B0C49" w14:textId="77777777" w:rsidR="009A3C2D" w:rsidRPr="0082484A" w:rsidRDefault="009A3C2D" w:rsidP="00272145">
            <w:pPr>
              <w:jc w:val="right"/>
              <w:rPr>
                <w:sz w:val="22"/>
                <w:szCs w:val="22"/>
              </w:rPr>
            </w:pPr>
            <w:r w:rsidRPr="0082484A">
              <w:rPr>
                <w:color w:val="000000"/>
                <w:sz w:val="22"/>
                <w:szCs w:val="22"/>
              </w:rPr>
              <w:t xml:space="preserve"> 0.0003 </w:t>
            </w:r>
            <w:r w:rsidRPr="0082484A">
              <w:rPr>
                <w:sz w:val="22"/>
                <w:szCs w:val="22"/>
              </w:rPr>
              <w:t xml:space="preserve"> </w:t>
            </w:r>
          </w:p>
        </w:tc>
        <w:tc>
          <w:tcPr>
            <w:tcW w:w="1162" w:type="dxa"/>
            <w:vAlign w:val="bottom"/>
          </w:tcPr>
          <w:p w14:paraId="77C34F44" w14:textId="77777777" w:rsidR="009A3C2D" w:rsidRPr="0082484A" w:rsidRDefault="009A3C2D" w:rsidP="00272145">
            <w:pPr>
              <w:jc w:val="right"/>
              <w:rPr>
                <w:sz w:val="22"/>
                <w:szCs w:val="22"/>
              </w:rPr>
            </w:pPr>
            <w:r w:rsidRPr="0082484A">
              <w:rPr>
                <w:color w:val="000000"/>
                <w:sz w:val="22"/>
                <w:szCs w:val="22"/>
              </w:rPr>
              <w:t xml:space="preserve">0.0002 </w:t>
            </w:r>
            <w:r w:rsidRPr="0082484A">
              <w:rPr>
                <w:sz w:val="22"/>
                <w:szCs w:val="22"/>
              </w:rPr>
              <w:t xml:space="preserve"> </w:t>
            </w:r>
          </w:p>
        </w:tc>
        <w:tc>
          <w:tcPr>
            <w:tcW w:w="2977" w:type="dxa"/>
          </w:tcPr>
          <w:p w14:paraId="1AC4E28F" w14:textId="77777777" w:rsidR="009A3C2D" w:rsidRPr="0082484A" w:rsidRDefault="009A3C2D" w:rsidP="00272145">
            <w:pPr>
              <w:jc w:val="right"/>
              <w:rPr>
                <w:sz w:val="22"/>
                <w:szCs w:val="22"/>
                <w:highlight w:val="yellow"/>
              </w:rPr>
            </w:pPr>
          </w:p>
        </w:tc>
      </w:tr>
      <w:tr w:rsidR="009A3C2D" w:rsidRPr="0082484A" w14:paraId="51A6AEEE" w14:textId="77777777" w:rsidTr="00272145">
        <w:tc>
          <w:tcPr>
            <w:tcW w:w="2269" w:type="dxa"/>
          </w:tcPr>
          <w:p w14:paraId="07D533DF" w14:textId="77777777" w:rsidR="009A3C2D" w:rsidRPr="0082484A" w:rsidRDefault="009A3C2D" w:rsidP="00272145">
            <w:pPr>
              <w:rPr>
                <w:sz w:val="22"/>
                <w:szCs w:val="22"/>
              </w:rPr>
            </w:pPr>
            <w:r w:rsidRPr="0082484A">
              <w:rPr>
                <w:sz w:val="22"/>
                <w:szCs w:val="22"/>
              </w:rPr>
              <w:t>Risk reductions with co-prescription of a PPI</w:t>
            </w:r>
          </w:p>
        </w:tc>
        <w:tc>
          <w:tcPr>
            <w:tcW w:w="1559" w:type="dxa"/>
          </w:tcPr>
          <w:p w14:paraId="1933B560" w14:textId="77777777" w:rsidR="009A3C2D" w:rsidRPr="0082484A" w:rsidRDefault="009A3C2D" w:rsidP="00272145">
            <w:pPr>
              <w:jc w:val="right"/>
              <w:rPr>
                <w:sz w:val="22"/>
                <w:szCs w:val="22"/>
              </w:rPr>
            </w:pPr>
            <w:r w:rsidRPr="0082484A">
              <w:rPr>
                <w:sz w:val="22"/>
                <w:szCs w:val="22"/>
              </w:rPr>
              <w:t>0.43 (0.24-0.76)</w:t>
            </w:r>
          </w:p>
        </w:tc>
        <w:tc>
          <w:tcPr>
            <w:tcW w:w="1418" w:type="dxa"/>
          </w:tcPr>
          <w:p w14:paraId="6FC1E2AA" w14:textId="77777777" w:rsidR="009A3C2D" w:rsidRPr="0082484A" w:rsidRDefault="009A3C2D" w:rsidP="00272145">
            <w:pPr>
              <w:jc w:val="right"/>
              <w:rPr>
                <w:sz w:val="22"/>
                <w:szCs w:val="22"/>
              </w:rPr>
            </w:pPr>
            <w:r w:rsidRPr="0082484A">
              <w:rPr>
                <w:sz w:val="22"/>
                <w:szCs w:val="22"/>
              </w:rPr>
              <w:t>0.37 (0.30-0.46)</w:t>
            </w:r>
          </w:p>
        </w:tc>
        <w:tc>
          <w:tcPr>
            <w:tcW w:w="1417" w:type="dxa"/>
          </w:tcPr>
          <w:p w14:paraId="7C2175D6" w14:textId="77777777" w:rsidR="009A3C2D" w:rsidRPr="0082484A" w:rsidRDefault="009A3C2D" w:rsidP="00272145">
            <w:pPr>
              <w:jc w:val="right"/>
              <w:rPr>
                <w:sz w:val="22"/>
                <w:szCs w:val="22"/>
              </w:rPr>
            </w:pPr>
            <w:r w:rsidRPr="0082484A">
              <w:rPr>
                <w:sz w:val="22"/>
                <w:szCs w:val="22"/>
              </w:rPr>
              <w:t>0.46 (0.07-2.92)</w:t>
            </w:r>
          </w:p>
        </w:tc>
        <w:tc>
          <w:tcPr>
            <w:tcW w:w="1276" w:type="dxa"/>
          </w:tcPr>
          <w:p w14:paraId="2AB28A1B" w14:textId="77777777" w:rsidR="009A3C2D" w:rsidRPr="0082484A" w:rsidRDefault="009A3C2D" w:rsidP="00272145">
            <w:pPr>
              <w:jc w:val="right"/>
              <w:rPr>
                <w:sz w:val="22"/>
                <w:szCs w:val="22"/>
              </w:rPr>
            </w:pPr>
            <w:r w:rsidRPr="0082484A">
              <w:rPr>
                <w:sz w:val="22"/>
                <w:szCs w:val="22"/>
              </w:rPr>
              <w:t>N/A</w:t>
            </w:r>
          </w:p>
        </w:tc>
        <w:tc>
          <w:tcPr>
            <w:tcW w:w="1276" w:type="dxa"/>
          </w:tcPr>
          <w:p w14:paraId="1E68EEEC" w14:textId="77777777" w:rsidR="009A3C2D" w:rsidRPr="0082484A" w:rsidRDefault="009A3C2D" w:rsidP="00272145">
            <w:pPr>
              <w:jc w:val="right"/>
              <w:rPr>
                <w:sz w:val="22"/>
                <w:szCs w:val="22"/>
              </w:rPr>
            </w:pPr>
            <w:r w:rsidRPr="0082484A">
              <w:rPr>
                <w:sz w:val="22"/>
                <w:szCs w:val="22"/>
              </w:rPr>
              <w:t>N/A</w:t>
            </w:r>
          </w:p>
        </w:tc>
        <w:tc>
          <w:tcPr>
            <w:tcW w:w="1162" w:type="dxa"/>
          </w:tcPr>
          <w:p w14:paraId="3AA2A7A8" w14:textId="77777777" w:rsidR="009A3C2D" w:rsidRPr="0082484A" w:rsidRDefault="009A3C2D" w:rsidP="00272145">
            <w:pPr>
              <w:jc w:val="right"/>
              <w:rPr>
                <w:sz w:val="22"/>
                <w:szCs w:val="22"/>
              </w:rPr>
            </w:pPr>
            <w:r w:rsidRPr="0082484A">
              <w:rPr>
                <w:sz w:val="22"/>
                <w:szCs w:val="22"/>
              </w:rPr>
              <w:t>N/A</w:t>
            </w:r>
          </w:p>
        </w:tc>
        <w:tc>
          <w:tcPr>
            <w:tcW w:w="2977" w:type="dxa"/>
          </w:tcPr>
          <w:p w14:paraId="0D069C4B" w14:textId="04834CA2" w:rsidR="009A3C2D" w:rsidRPr="0082484A" w:rsidRDefault="009A3C2D" w:rsidP="00952E85">
            <w:pPr>
              <w:jc w:val="right"/>
              <w:rPr>
                <w:sz w:val="22"/>
                <w:szCs w:val="22"/>
                <w:highlight w:val="yellow"/>
              </w:rPr>
            </w:pPr>
            <w:r w:rsidRPr="0082484A">
              <w:rPr>
                <w:sz w:val="22"/>
                <w:szCs w:val="22"/>
              </w:rPr>
              <w:t xml:space="preserve">Brown </w:t>
            </w:r>
            <w:r w:rsidRPr="0082484A">
              <w:rPr>
                <w:i/>
                <w:sz w:val="22"/>
                <w:szCs w:val="22"/>
              </w:rPr>
              <w:t>et al</w:t>
            </w:r>
            <w:r w:rsidRPr="0082484A">
              <w:rPr>
                <w:sz w:val="22"/>
                <w:szCs w:val="22"/>
              </w:rPr>
              <w:t>. (2006)</w:t>
            </w:r>
            <w:r w:rsidRPr="0082484A">
              <w:rPr>
                <w:sz w:val="22"/>
                <w:szCs w:val="22"/>
              </w:rPr>
              <w:fldChar w:fldCharType="begin">
                <w:fldData xml:space="preserve">PEVuZE5vdGU+PENpdGU+PEF1dGhvcj5Ccm93bjwvQXV0aG9yPjxZZWFyPjIwMDY8L1llYXI+PFJl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PEVuZE5vdGU+PENpdGU+PEF1dGhvcj5Ccm93bjwvQXV0aG9yPjxZZWFyPjIwMDY8L1llYXI+PFJl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2</w:t>
            </w:r>
            <w:r w:rsidRPr="0082484A">
              <w:rPr>
                <w:sz w:val="22"/>
                <w:szCs w:val="22"/>
              </w:rPr>
              <w:fldChar w:fldCharType="end"/>
            </w:r>
          </w:p>
        </w:tc>
      </w:tr>
    </w:tbl>
    <w:p w14:paraId="0291B775" w14:textId="77777777" w:rsidR="009A3C2D" w:rsidRPr="0082484A" w:rsidRDefault="009A3C2D" w:rsidP="009A3C2D">
      <w:pPr>
        <w:rPr>
          <w:sz w:val="22"/>
          <w:szCs w:val="22"/>
        </w:rPr>
      </w:pPr>
    </w:p>
    <w:p w14:paraId="2B37B28F" w14:textId="77777777" w:rsidR="009A3C2D" w:rsidRPr="0082484A" w:rsidRDefault="009A3C2D" w:rsidP="009A3C2D">
      <w:pPr>
        <w:rPr>
          <w:sz w:val="22"/>
          <w:szCs w:val="22"/>
        </w:rPr>
        <w:sectPr w:rsidR="009A3C2D" w:rsidRPr="0082484A" w:rsidSect="009A3C2D">
          <w:pgSz w:w="16838" w:h="11906" w:orient="landscape"/>
          <w:pgMar w:top="1440" w:right="1440" w:bottom="1440" w:left="1440" w:header="708" w:footer="708" w:gutter="0"/>
          <w:cols w:space="708"/>
          <w:docGrid w:linePitch="360"/>
        </w:sectPr>
      </w:pPr>
    </w:p>
    <w:p w14:paraId="0AF4E2D7" w14:textId="456B5E03" w:rsidR="009A3C2D" w:rsidRPr="0082484A" w:rsidRDefault="009A3C2D" w:rsidP="009A3C2D">
      <w:pPr>
        <w:pStyle w:val="Caption"/>
        <w:rPr>
          <w:b w:val="0"/>
          <w:sz w:val="22"/>
          <w:szCs w:val="22"/>
        </w:rPr>
      </w:pPr>
      <w:bookmarkStart w:id="318" w:name="_Ref490835009"/>
      <w:bookmarkStart w:id="319" w:name="_Ref501109017"/>
      <w:bookmarkStart w:id="320" w:name="_Toc8728170"/>
      <w:bookmarkStart w:id="321" w:name="_Toc19526817"/>
      <w:bookmarkStart w:id="322" w:name="_Toc491341662"/>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88</w:t>
      </w:r>
      <w:r w:rsidRPr="0082484A">
        <w:rPr>
          <w:b w:val="0"/>
          <w:noProof/>
          <w:sz w:val="22"/>
          <w:szCs w:val="22"/>
        </w:rPr>
        <w:fldChar w:fldCharType="end"/>
      </w:r>
      <w:bookmarkEnd w:id="318"/>
      <w:r w:rsidRPr="0082484A">
        <w:rPr>
          <w:b w:val="0"/>
          <w:sz w:val="22"/>
          <w:szCs w:val="22"/>
        </w:rPr>
        <w:t>: Risky prescribing model - risks ratios of adverse events</w:t>
      </w:r>
      <w:bookmarkEnd w:id="319"/>
      <w:bookmarkEnd w:id="320"/>
      <w:bookmarkEnd w:id="321"/>
      <w:r w:rsidRPr="0082484A">
        <w:rPr>
          <w:b w:val="0"/>
          <w:sz w:val="22"/>
          <w:szCs w:val="22"/>
        </w:rPr>
        <w:t xml:space="preserve"> </w:t>
      </w:r>
      <w:bookmarkEnd w:id="322"/>
    </w:p>
    <w:tbl>
      <w:tblPr>
        <w:tblStyle w:val="TableGrid"/>
        <w:tblW w:w="0" w:type="auto"/>
        <w:tblLook w:val="04A0" w:firstRow="1" w:lastRow="0" w:firstColumn="1" w:lastColumn="0" w:noHBand="0" w:noVBand="1"/>
      </w:tblPr>
      <w:tblGrid>
        <w:gridCol w:w="3311"/>
        <w:gridCol w:w="1306"/>
        <w:gridCol w:w="1203"/>
        <w:gridCol w:w="3196"/>
      </w:tblGrid>
      <w:tr w:rsidR="009A3C2D" w:rsidRPr="0082484A" w14:paraId="1FBD94FC" w14:textId="77777777" w:rsidTr="00272145">
        <w:tc>
          <w:tcPr>
            <w:tcW w:w="5240" w:type="dxa"/>
          </w:tcPr>
          <w:p w14:paraId="6FAF0847" w14:textId="77777777" w:rsidR="009A3C2D" w:rsidRPr="0082484A" w:rsidRDefault="009A3C2D" w:rsidP="00272145">
            <w:pPr>
              <w:rPr>
                <w:sz w:val="22"/>
                <w:szCs w:val="22"/>
              </w:rPr>
            </w:pPr>
            <w:r w:rsidRPr="0082484A">
              <w:rPr>
                <w:sz w:val="22"/>
                <w:szCs w:val="22"/>
              </w:rPr>
              <w:t xml:space="preserve">Indicator number and adverse event </w:t>
            </w:r>
          </w:p>
          <w:p w14:paraId="28DD7226" w14:textId="77777777" w:rsidR="009A3C2D" w:rsidRPr="0082484A" w:rsidRDefault="009A3C2D" w:rsidP="00272145">
            <w:pPr>
              <w:rPr>
                <w:sz w:val="22"/>
                <w:szCs w:val="22"/>
              </w:rPr>
            </w:pPr>
          </w:p>
        </w:tc>
        <w:tc>
          <w:tcPr>
            <w:tcW w:w="1701" w:type="dxa"/>
          </w:tcPr>
          <w:p w14:paraId="5270D413" w14:textId="77777777" w:rsidR="009A3C2D" w:rsidRPr="0082484A" w:rsidRDefault="009A3C2D" w:rsidP="00272145">
            <w:pPr>
              <w:rPr>
                <w:sz w:val="22"/>
                <w:szCs w:val="22"/>
              </w:rPr>
            </w:pPr>
            <w:r w:rsidRPr="0082484A">
              <w:rPr>
                <w:sz w:val="22"/>
                <w:szCs w:val="22"/>
              </w:rPr>
              <w:t>Mean risk ratio</w:t>
            </w:r>
          </w:p>
        </w:tc>
        <w:tc>
          <w:tcPr>
            <w:tcW w:w="1559" w:type="dxa"/>
          </w:tcPr>
          <w:p w14:paraId="4D84C68D" w14:textId="77777777" w:rsidR="009A3C2D" w:rsidRPr="0082484A" w:rsidRDefault="009A3C2D" w:rsidP="00272145">
            <w:pPr>
              <w:rPr>
                <w:sz w:val="22"/>
                <w:szCs w:val="22"/>
              </w:rPr>
            </w:pPr>
            <w:r w:rsidRPr="0082484A">
              <w:rPr>
                <w:sz w:val="22"/>
                <w:szCs w:val="22"/>
              </w:rPr>
              <w:t>95% CI</w:t>
            </w:r>
          </w:p>
        </w:tc>
        <w:tc>
          <w:tcPr>
            <w:tcW w:w="4933" w:type="dxa"/>
          </w:tcPr>
          <w:p w14:paraId="79C1ED68" w14:textId="77777777" w:rsidR="009A3C2D" w:rsidRPr="0082484A" w:rsidRDefault="009A3C2D" w:rsidP="00272145">
            <w:pPr>
              <w:rPr>
                <w:sz w:val="22"/>
                <w:szCs w:val="22"/>
              </w:rPr>
            </w:pPr>
            <w:r w:rsidRPr="0082484A">
              <w:rPr>
                <w:sz w:val="22"/>
                <w:szCs w:val="22"/>
              </w:rPr>
              <w:t>Source</w:t>
            </w:r>
          </w:p>
        </w:tc>
      </w:tr>
      <w:tr w:rsidR="009A3C2D" w:rsidRPr="0082484A" w14:paraId="36D9D02A" w14:textId="77777777" w:rsidTr="00272145">
        <w:tc>
          <w:tcPr>
            <w:tcW w:w="13433" w:type="dxa"/>
            <w:gridSpan w:val="4"/>
          </w:tcPr>
          <w:p w14:paraId="47095818" w14:textId="77777777" w:rsidR="009A3C2D" w:rsidRPr="0082484A" w:rsidRDefault="009A3C2D" w:rsidP="00272145">
            <w:pPr>
              <w:rPr>
                <w:i/>
                <w:sz w:val="22"/>
                <w:szCs w:val="22"/>
              </w:rPr>
            </w:pPr>
            <w:r w:rsidRPr="0082484A">
              <w:rPr>
                <w:i/>
                <w:sz w:val="22"/>
                <w:szCs w:val="22"/>
              </w:rPr>
              <w:t xml:space="preserve">Risks ratios for Ulcer and GI bleed associated with NSAID prescription combined with specific drugs without co-prescription of a PPI </w:t>
            </w:r>
          </w:p>
          <w:p w14:paraId="4C8574AC" w14:textId="77777777" w:rsidR="009A3C2D" w:rsidRPr="0082484A" w:rsidRDefault="009A3C2D" w:rsidP="00272145">
            <w:pPr>
              <w:rPr>
                <w:sz w:val="22"/>
                <w:szCs w:val="22"/>
              </w:rPr>
            </w:pPr>
          </w:p>
        </w:tc>
      </w:tr>
      <w:tr w:rsidR="009A3C2D" w:rsidRPr="0082484A" w14:paraId="0D7DAC52" w14:textId="77777777" w:rsidTr="00272145">
        <w:trPr>
          <w:trHeight w:val="640"/>
        </w:trPr>
        <w:tc>
          <w:tcPr>
            <w:tcW w:w="5240" w:type="dxa"/>
          </w:tcPr>
          <w:p w14:paraId="5D13A164" w14:textId="77777777" w:rsidR="009A3C2D" w:rsidRPr="0082484A" w:rsidRDefault="009A3C2D" w:rsidP="00272145">
            <w:pPr>
              <w:rPr>
                <w:sz w:val="22"/>
                <w:szCs w:val="22"/>
              </w:rPr>
            </w:pPr>
            <w:r w:rsidRPr="0082484A">
              <w:rPr>
                <w:sz w:val="22"/>
                <w:szCs w:val="22"/>
              </w:rPr>
              <w:t xml:space="preserve">Indicator 1 - Ulcer risk </w:t>
            </w:r>
          </w:p>
          <w:p w14:paraId="552353C4" w14:textId="77777777" w:rsidR="009A3C2D" w:rsidRPr="0082484A" w:rsidRDefault="009A3C2D" w:rsidP="00272145">
            <w:pPr>
              <w:rPr>
                <w:sz w:val="22"/>
                <w:szCs w:val="22"/>
              </w:rPr>
            </w:pPr>
            <w:r w:rsidRPr="0082484A">
              <w:rPr>
                <w:sz w:val="22"/>
                <w:szCs w:val="22"/>
              </w:rPr>
              <w:t xml:space="preserve">NSAID use with history of ulcer </w:t>
            </w:r>
          </w:p>
        </w:tc>
        <w:tc>
          <w:tcPr>
            <w:tcW w:w="1701" w:type="dxa"/>
          </w:tcPr>
          <w:p w14:paraId="47516942" w14:textId="77777777" w:rsidR="009A3C2D" w:rsidRPr="0082484A" w:rsidRDefault="009A3C2D" w:rsidP="00272145">
            <w:pPr>
              <w:rPr>
                <w:sz w:val="22"/>
                <w:szCs w:val="22"/>
              </w:rPr>
            </w:pPr>
          </w:p>
          <w:p w14:paraId="193FE7C3" w14:textId="77777777" w:rsidR="009A3C2D" w:rsidRPr="0082484A" w:rsidRDefault="009A3C2D" w:rsidP="00272145">
            <w:pPr>
              <w:rPr>
                <w:sz w:val="22"/>
                <w:szCs w:val="22"/>
              </w:rPr>
            </w:pPr>
            <w:r w:rsidRPr="0082484A">
              <w:rPr>
                <w:sz w:val="22"/>
                <w:szCs w:val="22"/>
              </w:rPr>
              <w:t>5.9</w:t>
            </w:r>
          </w:p>
        </w:tc>
        <w:tc>
          <w:tcPr>
            <w:tcW w:w="1559" w:type="dxa"/>
          </w:tcPr>
          <w:p w14:paraId="43AAF510" w14:textId="77777777" w:rsidR="009A3C2D" w:rsidRPr="0082484A" w:rsidRDefault="009A3C2D" w:rsidP="00272145">
            <w:pPr>
              <w:rPr>
                <w:sz w:val="22"/>
                <w:szCs w:val="22"/>
              </w:rPr>
            </w:pPr>
          </w:p>
          <w:p w14:paraId="10883CC2" w14:textId="77777777" w:rsidR="009A3C2D" w:rsidRPr="0082484A" w:rsidRDefault="009A3C2D" w:rsidP="00272145">
            <w:pPr>
              <w:rPr>
                <w:sz w:val="22"/>
                <w:szCs w:val="22"/>
              </w:rPr>
            </w:pPr>
            <w:r w:rsidRPr="0082484A">
              <w:rPr>
                <w:sz w:val="22"/>
                <w:szCs w:val="22"/>
              </w:rPr>
              <w:t>5.2-6.7</w:t>
            </w:r>
          </w:p>
        </w:tc>
        <w:tc>
          <w:tcPr>
            <w:tcW w:w="4933" w:type="dxa"/>
          </w:tcPr>
          <w:p w14:paraId="558F9F10" w14:textId="77777777" w:rsidR="009A3C2D" w:rsidRPr="0082484A" w:rsidRDefault="009A3C2D" w:rsidP="00272145">
            <w:pPr>
              <w:rPr>
                <w:sz w:val="22"/>
                <w:szCs w:val="22"/>
              </w:rPr>
            </w:pPr>
          </w:p>
          <w:p w14:paraId="01D618AF" w14:textId="67BDA9F6" w:rsidR="009A3C2D" w:rsidRPr="0082484A" w:rsidRDefault="009A3C2D" w:rsidP="00952E85">
            <w:pPr>
              <w:rPr>
                <w:sz w:val="22"/>
                <w:szCs w:val="22"/>
              </w:rPr>
            </w:pPr>
            <w:r w:rsidRPr="0082484A">
              <w:rPr>
                <w:sz w:val="22"/>
                <w:szCs w:val="22"/>
              </w:rPr>
              <w:t>Hernandez-diaz and Rodrigues (2000)</w:t>
            </w:r>
            <w:r w:rsidRPr="0082484A">
              <w:rPr>
                <w:sz w:val="22"/>
                <w:szCs w:val="22"/>
              </w:rPr>
              <w:fldChar w:fldCharType="begin"/>
            </w:r>
            <w:r w:rsidR="00952E85" w:rsidRPr="0082484A">
              <w:rPr>
                <w:sz w:val="22"/>
                <w:szCs w:val="22"/>
              </w:rPr>
              <w:instrText xml:space="preserve"> ADDIN EN.CITE &lt;EndNote&gt;&lt;Cite&gt;&lt;Author&gt;Hernandez-Diaz&lt;/Author&gt;&lt;Year&gt;2000&lt;/Year&gt;&lt;RecNum&gt;3319&lt;/RecNum&gt;&lt;DisplayText&gt;&lt;style face="superscript"&gt;3&lt;/style&gt;&lt;/DisplayText&gt;&lt;record&gt;&lt;rec-number&gt;3319&lt;/rec-number&gt;&lt;foreign-keys&gt;&lt;key app="EN" db-id="5srzarxr5dr9r5es2r7xst9lr9t2rewrpffr" timestamp="1516028186"&gt;3319&lt;/key&gt;&lt;/foreign-keys&gt;&lt;ref-type name="Journal Article"&gt;17&lt;/ref-type&gt;&lt;contributors&gt;&lt;authors&gt;&lt;author&gt;Hernandez-Diaz, S.&lt;/author&gt;&lt;author&gt;Rodriguez, L. A. G.&lt;/author&gt;&lt;/authors&gt;&lt;/contributors&gt;&lt;auth-address&gt;Harvard Univ, Sch Publ Hlth, Dept Epidemiol, Boston, MA 02115 USA&amp;#xD;Spanish Ctr Pharmacoepidemiol Res, Madrid, Spain&lt;/auth-address&gt;&lt;titles&gt;&lt;title&gt;Association between nonsteroidal anti-inflammatory drugs and upper gastrointestinal tract bleeding/perforation - An overview of epidemiologic studies published in the 1990s&lt;/title&gt;&lt;secondary-title&gt;Archives of Internal Medicine&lt;/secondary-title&gt;&lt;alt-title&gt;Arch Intern Med&lt;/alt-title&gt;&lt;/titles&gt;&lt;periodical&gt;&lt;full-title&gt;Archives of Internal Medicine&lt;/full-title&gt;&lt;/periodical&gt;&lt;alt-periodical&gt;&lt;full-title&gt;Arch Intern Med&lt;/full-title&gt;&lt;/alt-periodical&gt;&lt;pages&gt;2093-2099&lt;/pages&gt;&lt;volume&gt;160&lt;/volume&gt;&lt;number&gt;14&lt;/number&gt;&lt;keywords&gt;&lt;keyword&gt;peptic-ulcer disease&lt;/keyword&gt;&lt;keyword&gt;antiinflammatory drugs&lt;/keyword&gt;&lt;keyword&gt;elderly persons&lt;/keyword&gt;&lt;keyword&gt;risk&lt;/keyword&gt;&lt;keyword&gt;metaanalysis&lt;/keyword&gt;&lt;keyword&gt;complications&lt;/keyword&gt;&lt;keyword&gt;toxicity&lt;/keyword&gt;&lt;keyword&gt;cohort&lt;/keyword&gt;&lt;keyword&gt;hospitalizations&lt;/keyword&gt;&lt;keyword&gt;variability&lt;/keyword&gt;&lt;/keywords&gt;&lt;dates&gt;&lt;year&gt;2000&lt;/year&gt;&lt;pub-dates&gt;&lt;date&gt;Jul 24&lt;/date&gt;&lt;/pub-dates&gt;&lt;/dates&gt;&lt;isbn&gt;0003-9926&lt;/isbn&gt;&lt;accession-num&gt;WOS:000088233300002&lt;/accession-num&gt;&lt;urls&gt;&lt;related-urls&gt;&lt;url&gt;&amp;lt;Go to ISI&amp;gt;://WOS:000088233300002&lt;/url&gt;&lt;/related-urls&gt;&lt;/urls&gt;&lt;electronic-resource-num&gt;DOI 10.1001/archinte.160.14.2093&lt;/electronic-resource-num&gt;&lt;language&gt;English&lt;/language&gt;&lt;/record&gt;&lt;/Cite&gt;&lt;/EndNote&gt;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3</w:t>
            </w:r>
            <w:r w:rsidRPr="0082484A">
              <w:rPr>
                <w:sz w:val="22"/>
                <w:szCs w:val="22"/>
              </w:rPr>
              <w:fldChar w:fldCharType="end"/>
            </w:r>
          </w:p>
        </w:tc>
      </w:tr>
      <w:tr w:rsidR="009A3C2D" w:rsidRPr="0082484A" w14:paraId="2D21E76C" w14:textId="77777777" w:rsidTr="00272145">
        <w:tc>
          <w:tcPr>
            <w:tcW w:w="5240" w:type="dxa"/>
          </w:tcPr>
          <w:p w14:paraId="294888DB" w14:textId="77777777" w:rsidR="009A3C2D" w:rsidRPr="0082484A" w:rsidRDefault="009A3C2D" w:rsidP="00272145">
            <w:pPr>
              <w:rPr>
                <w:sz w:val="22"/>
                <w:szCs w:val="22"/>
              </w:rPr>
            </w:pPr>
            <w:r w:rsidRPr="0082484A">
              <w:rPr>
                <w:sz w:val="22"/>
                <w:szCs w:val="22"/>
              </w:rPr>
              <w:t xml:space="preserve">Indicator 2-  GI risk </w:t>
            </w:r>
          </w:p>
          <w:p w14:paraId="5EB6F37A" w14:textId="77777777" w:rsidR="009A3C2D" w:rsidRPr="0082484A" w:rsidRDefault="009A3C2D" w:rsidP="00272145">
            <w:pPr>
              <w:rPr>
                <w:sz w:val="22"/>
                <w:szCs w:val="22"/>
              </w:rPr>
            </w:pPr>
            <w:r w:rsidRPr="0082484A">
              <w:rPr>
                <w:sz w:val="22"/>
                <w:szCs w:val="22"/>
              </w:rPr>
              <w:t xml:space="preserve">traditional NSAID use in over 75s  </w:t>
            </w:r>
          </w:p>
        </w:tc>
        <w:tc>
          <w:tcPr>
            <w:tcW w:w="1701" w:type="dxa"/>
          </w:tcPr>
          <w:p w14:paraId="2BA778D2" w14:textId="77777777" w:rsidR="009A3C2D" w:rsidRPr="0082484A" w:rsidRDefault="009A3C2D" w:rsidP="00272145">
            <w:pPr>
              <w:rPr>
                <w:sz w:val="22"/>
                <w:szCs w:val="22"/>
              </w:rPr>
            </w:pPr>
          </w:p>
          <w:p w14:paraId="52D2E089" w14:textId="77777777" w:rsidR="009A3C2D" w:rsidRPr="0082484A" w:rsidRDefault="009A3C2D" w:rsidP="00272145">
            <w:pPr>
              <w:rPr>
                <w:sz w:val="22"/>
                <w:szCs w:val="22"/>
              </w:rPr>
            </w:pPr>
            <w:r w:rsidRPr="0082484A">
              <w:rPr>
                <w:sz w:val="22"/>
                <w:szCs w:val="22"/>
              </w:rPr>
              <w:t>3.5</w:t>
            </w:r>
          </w:p>
        </w:tc>
        <w:tc>
          <w:tcPr>
            <w:tcW w:w="1559" w:type="dxa"/>
          </w:tcPr>
          <w:p w14:paraId="7EFCD636" w14:textId="77777777" w:rsidR="009A3C2D" w:rsidRPr="0082484A" w:rsidRDefault="009A3C2D" w:rsidP="00272145">
            <w:pPr>
              <w:rPr>
                <w:sz w:val="22"/>
                <w:szCs w:val="22"/>
              </w:rPr>
            </w:pPr>
          </w:p>
          <w:p w14:paraId="44B2CBC7" w14:textId="77777777" w:rsidR="009A3C2D" w:rsidRPr="0082484A" w:rsidRDefault="009A3C2D" w:rsidP="00272145">
            <w:pPr>
              <w:rPr>
                <w:sz w:val="22"/>
                <w:szCs w:val="22"/>
              </w:rPr>
            </w:pPr>
            <w:r w:rsidRPr="0082484A">
              <w:rPr>
                <w:sz w:val="22"/>
                <w:szCs w:val="22"/>
              </w:rPr>
              <w:t>None*</w:t>
            </w:r>
          </w:p>
        </w:tc>
        <w:tc>
          <w:tcPr>
            <w:tcW w:w="4933" w:type="dxa"/>
          </w:tcPr>
          <w:p w14:paraId="1A407C5E" w14:textId="77777777" w:rsidR="009A3C2D" w:rsidRPr="0082484A" w:rsidRDefault="009A3C2D" w:rsidP="00272145">
            <w:pPr>
              <w:rPr>
                <w:sz w:val="22"/>
                <w:szCs w:val="22"/>
              </w:rPr>
            </w:pPr>
          </w:p>
          <w:p w14:paraId="36EFEB48" w14:textId="2F2B4574" w:rsidR="009A3C2D" w:rsidRPr="0082484A" w:rsidRDefault="009A3C2D" w:rsidP="00952E85">
            <w:pPr>
              <w:tabs>
                <w:tab w:val="center" w:pos="2358"/>
              </w:tabs>
              <w:rPr>
                <w:sz w:val="22"/>
                <w:szCs w:val="22"/>
              </w:rPr>
            </w:pPr>
            <w:r w:rsidRPr="0082484A">
              <w:rPr>
                <w:sz w:val="22"/>
                <w:szCs w:val="22"/>
              </w:rPr>
              <w:t xml:space="preserve">Laine </w:t>
            </w:r>
            <w:r w:rsidRPr="0082484A">
              <w:rPr>
                <w:i/>
                <w:sz w:val="22"/>
                <w:szCs w:val="22"/>
              </w:rPr>
              <w:t>et al</w:t>
            </w:r>
            <w:r w:rsidRPr="0082484A">
              <w:rPr>
                <w:sz w:val="22"/>
                <w:szCs w:val="22"/>
              </w:rPr>
              <w:t>. (2004)</w:t>
            </w:r>
            <w:r w:rsidRPr="0082484A">
              <w:rPr>
                <w:sz w:val="22"/>
                <w:szCs w:val="22"/>
              </w:rPr>
              <w:fldChar w:fldCharType="begin"/>
            </w:r>
            <w:r w:rsidR="00952E85" w:rsidRPr="0082484A">
              <w:rPr>
                <w:sz w:val="22"/>
                <w:szCs w:val="22"/>
              </w:rPr>
              <w:instrText xml:space="preserve"> ADDIN EN.CITE &lt;EndNote&gt;&lt;Cite&gt;&lt;Author&gt;Laine&lt;/Author&gt;&lt;Year&gt;2004&lt;/Year&gt;&lt;RecNum&gt;3320&lt;/RecNum&gt;&lt;DisplayText&gt;&lt;style face="superscript"&gt;4&lt;/style&gt;&lt;/DisplayText&gt;&lt;record&gt;&lt;rec-number&gt;3320&lt;/rec-number&gt;&lt;foreign-keys&gt;&lt;key app="EN" db-id="5srzarxr5dr9r5es2r7xst9lr9t2rewrpffr" timestamp="1516028326"&gt;3320&lt;/key&gt;&lt;/foreign-keys&gt;&lt;ref-type name="Journal Article"&gt;17&lt;/ref-type&gt;&lt;contributors&gt;&lt;authors&gt;&lt;author&gt;Laine, L.&lt;/author&gt;&lt;/authors&gt;&lt;/contributors&gt;&lt;auth-address&gt;Division of Gastrointestinal &amp;amp; Liver Diseases, Department of Medicine, University of Southern California School of Medicine, Los Angeles, California, USA.&lt;/auth-address&gt;&lt;titles&gt;&lt;title&gt;Proton pump inhibitor co-therapy with nonsteroidal anti-inflammatory drugs--nice or necessary?&lt;/title&gt;&lt;secondary-title&gt;Rev Gastroenterol Disord&lt;/secondary-title&gt;&lt;/titles&gt;&lt;periodical&gt;&lt;full-title&gt;Rev Gastroenterol Disord&lt;/full-title&gt;&lt;/periodical&gt;&lt;pages&gt;S33-41&lt;/pages&gt;&lt;volume&gt;4 Suppl 4&lt;/volume&gt;&lt;keywords&gt;&lt;keyword&gt;Animals&lt;/keyword&gt;&lt;keyword&gt;Anti-Inflammatory Agents, Non-Steroidal/adverse effects/*therapeutic use&lt;/keyword&gt;&lt;keyword&gt;Aspirin/adverse effects/therapeutic use&lt;/keyword&gt;&lt;keyword&gt;Cyclooxygenase Inhibitors/therapeutic use&lt;/keyword&gt;&lt;keyword&gt;Drug Therapy, Combination&lt;/keyword&gt;&lt;keyword&gt;Humans&lt;/keyword&gt;&lt;keyword&gt;Misoprostol/therapeutic use&lt;/keyword&gt;&lt;keyword&gt;*Proton Pump Inhibitors&lt;/keyword&gt;&lt;keyword&gt;Risk Factors&lt;/keyword&gt;&lt;keyword&gt;Stomach Ulcer/chemically induced/drug therapy/epidemiology&lt;/keyword&gt;&lt;/keywords&gt;&lt;dates&gt;&lt;year&gt;2004&lt;/year&gt;&lt;/dates&gt;&lt;isbn&gt;1533-001X (Print)&amp;#xD;1533-001X (Linking)&lt;/isbn&gt;&lt;accession-num&gt;15580145&lt;/accession-num&gt;&lt;urls&gt;&lt;related-urls&gt;&lt;url&gt;http://www.ncbi.nlm.nih.gov/pubmed/15580145&lt;/url&gt;&lt;/related-urls&gt;&lt;/urls&gt;&lt;/record&gt;&lt;/Cite&gt;&lt;/EndNote&gt;</w:instrText>
            </w:r>
            <w:r w:rsidRPr="0082484A">
              <w:rPr>
                <w:sz w:val="22"/>
                <w:szCs w:val="22"/>
              </w:rPr>
              <w:fldChar w:fldCharType="separate"/>
            </w:r>
            <w:r w:rsidR="00952E85" w:rsidRPr="0082484A">
              <w:rPr>
                <w:noProof/>
                <w:sz w:val="22"/>
                <w:szCs w:val="22"/>
                <w:vertAlign w:val="superscript"/>
              </w:rPr>
              <w:t>4</w:t>
            </w:r>
            <w:r w:rsidRPr="0082484A">
              <w:rPr>
                <w:sz w:val="22"/>
                <w:szCs w:val="22"/>
              </w:rPr>
              <w:fldChar w:fldCharType="end"/>
            </w:r>
            <w:r w:rsidRPr="0082484A">
              <w:rPr>
                <w:sz w:val="22"/>
                <w:szCs w:val="22"/>
              </w:rPr>
              <w:t xml:space="preserve"> </w:t>
            </w:r>
            <w:r w:rsidRPr="0082484A">
              <w:rPr>
                <w:sz w:val="22"/>
                <w:szCs w:val="22"/>
              </w:rPr>
              <w:tab/>
            </w:r>
          </w:p>
        </w:tc>
      </w:tr>
      <w:tr w:rsidR="009A3C2D" w:rsidRPr="0082484A" w14:paraId="0B611B9C" w14:textId="77777777" w:rsidTr="00272145">
        <w:tc>
          <w:tcPr>
            <w:tcW w:w="5240" w:type="dxa"/>
          </w:tcPr>
          <w:p w14:paraId="08B7F1E7" w14:textId="77777777" w:rsidR="009A3C2D" w:rsidRPr="0082484A" w:rsidRDefault="009A3C2D" w:rsidP="00272145">
            <w:pPr>
              <w:rPr>
                <w:sz w:val="22"/>
                <w:szCs w:val="22"/>
              </w:rPr>
            </w:pPr>
            <w:r w:rsidRPr="0082484A">
              <w:rPr>
                <w:sz w:val="22"/>
                <w:szCs w:val="22"/>
              </w:rPr>
              <w:t xml:space="preserve">Indicator 3 - Ulcer risk </w:t>
            </w:r>
          </w:p>
          <w:p w14:paraId="13C7F254" w14:textId="77777777" w:rsidR="009A3C2D" w:rsidRPr="0082484A" w:rsidRDefault="009A3C2D" w:rsidP="00272145">
            <w:pPr>
              <w:rPr>
                <w:sz w:val="22"/>
                <w:szCs w:val="22"/>
              </w:rPr>
            </w:pPr>
            <w:r w:rsidRPr="0082484A">
              <w:rPr>
                <w:sz w:val="22"/>
                <w:szCs w:val="22"/>
              </w:rPr>
              <w:t xml:space="preserve">aspirin use in over 65s </w:t>
            </w:r>
          </w:p>
        </w:tc>
        <w:tc>
          <w:tcPr>
            <w:tcW w:w="1701" w:type="dxa"/>
          </w:tcPr>
          <w:p w14:paraId="78A837F6" w14:textId="77777777" w:rsidR="009A3C2D" w:rsidRPr="0082484A" w:rsidRDefault="009A3C2D" w:rsidP="00272145">
            <w:pPr>
              <w:rPr>
                <w:sz w:val="22"/>
                <w:szCs w:val="22"/>
              </w:rPr>
            </w:pPr>
          </w:p>
          <w:p w14:paraId="6877C217" w14:textId="77777777" w:rsidR="009A3C2D" w:rsidRPr="0082484A" w:rsidRDefault="009A3C2D" w:rsidP="00272145">
            <w:pPr>
              <w:rPr>
                <w:sz w:val="22"/>
                <w:szCs w:val="22"/>
              </w:rPr>
            </w:pPr>
            <w:r w:rsidRPr="0082484A">
              <w:rPr>
                <w:sz w:val="22"/>
                <w:szCs w:val="22"/>
              </w:rPr>
              <w:t>1.7</w:t>
            </w:r>
          </w:p>
        </w:tc>
        <w:tc>
          <w:tcPr>
            <w:tcW w:w="1559" w:type="dxa"/>
          </w:tcPr>
          <w:p w14:paraId="555DD195" w14:textId="77777777" w:rsidR="009A3C2D" w:rsidRPr="0082484A" w:rsidRDefault="009A3C2D" w:rsidP="00272145">
            <w:pPr>
              <w:rPr>
                <w:sz w:val="22"/>
                <w:szCs w:val="22"/>
              </w:rPr>
            </w:pPr>
          </w:p>
          <w:p w14:paraId="0B3E2A2F" w14:textId="77777777" w:rsidR="009A3C2D" w:rsidRPr="0082484A" w:rsidRDefault="009A3C2D" w:rsidP="00272145">
            <w:pPr>
              <w:rPr>
                <w:sz w:val="22"/>
                <w:szCs w:val="22"/>
              </w:rPr>
            </w:pPr>
            <w:r w:rsidRPr="0082484A">
              <w:rPr>
                <w:sz w:val="22"/>
                <w:szCs w:val="22"/>
              </w:rPr>
              <w:t>1.41-2.08</w:t>
            </w:r>
          </w:p>
        </w:tc>
        <w:tc>
          <w:tcPr>
            <w:tcW w:w="4933" w:type="dxa"/>
          </w:tcPr>
          <w:p w14:paraId="6AE4F383" w14:textId="77777777" w:rsidR="009A3C2D" w:rsidRPr="0082484A" w:rsidRDefault="009A3C2D" w:rsidP="00272145">
            <w:pPr>
              <w:rPr>
                <w:sz w:val="22"/>
                <w:szCs w:val="22"/>
              </w:rPr>
            </w:pPr>
          </w:p>
          <w:p w14:paraId="6C5EC965" w14:textId="091C31B8" w:rsidR="009A3C2D" w:rsidRPr="0082484A" w:rsidRDefault="009A3C2D" w:rsidP="00952E85">
            <w:pPr>
              <w:rPr>
                <w:sz w:val="22"/>
                <w:szCs w:val="22"/>
              </w:rPr>
            </w:pPr>
            <w:r w:rsidRPr="0082484A">
              <w:rPr>
                <w:sz w:val="22"/>
                <w:szCs w:val="22"/>
              </w:rPr>
              <w:t>McQuaid and Laine (2006)</w:t>
            </w:r>
            <w:r w:rsidRPr="0082484A">
              <w:rPr>
                <w:sz w:val="22"/>
                <w:szCs w:val="22"/>
              </w:rPr>
              <w:fldChar w:fldCharType="begin"/>
            </w:r>
            <w:r w:rsidR="00952E85" w:rsidRPr="0082484A">
              <w:rPr>
                <w:sz w:val="22"/>
                <w:szCs w:val="22"/>
              </w:rPr>
              <w:instrText xml:space="preserve"> ADDIN EN.CITE &lt;EndNote&gt;&lt;Cite&gt;&lt;Author&gt;McQuaid&lt;/Author&gt;&lt;Year&gt;2006&lt;/Year&gt;&lt;RecNum&gt;3322&lt;/RecNum&gt;&lt;DisplayText&gt;&lt;style face="superscript"&gt;5&lt;/style&gt;&lt;/DisplayText&gt;&lt;record&gt;&lt;rec-number&gt;3322&lt;/rec-number&gt;&lt;foreign-keys&gt;&lt;key app="EN" db-id="5srzarxr5dr9r5es2r7xst9lr9t2rewrpffr" timestamp="1516028648"&gt;3322&lt;/key&gt;&lt;/foreign-keys&gt;&lt;ref-type name="Journal Article"&gt;17&lt;/ref-type&gt;&lt;contributors&gt;&lt;authors&gt;&lt;author&gt;McQuaid, K. R.&lt;/author&gt;&lt;author&gt;Laine, L.&lt;/author&gt;&lt;/authors&gt;&lt;/contributors&gt;&lt;auth-address&gt;Veterans Affairs Medical Center, San Francisco, Ca 94121, USA. enneth.mcquaid@med.va.gov&lt;/auth-address&gt;&lt;titles&gt;&lt;title&gt;Systematic review and meta-analysis of adverse events of low-dose aspirin and clopidogrel in randomized controlled trials&lt;/title&gt;&lt;secondary-title&gt;Am J Med&lt;/secondary-title&gt;&lt;/titles&gt;&lt;periodical&gt;&lt;full-title&gt;Am J Med&lt;/full-title&gt;&lt;/periodical&gt;&lt;pages&gt;624-38&lt;/pages&gt;&lt;volume&gt;119&lt;/volume&gt;&lt;number&gt;8&lt;/number&gt;&lt;keywords&gt;&lt;keyword&gt;Aspirin/*administration &amp;amp; dosage/*adverse effects/economics&lt;/keyword&gt;&lt;keyword&gt;Humans&lt;/keyword&gt;&lt;keyword&gt;Platelet Aggregation Inhibitors/*administration &amp;amp; dosage/*adverse effects&lt;/keyword&gt;&lt;keyword&gt;Ticlopidine/adverse effects/*analogs &amp;amp; derivatives/economics&lt;/keyword&gt;&lt;/keywords&gt;&lt;dates&gt;&lt;year&gt;2006&lt;/year&gt;&lt;pub-dates&gt;&lt;date&gt;Aug&lt;/date&gt;&lt;/pub-dates&gt;&lt;/dates&gt;&lt;isbn&gt;1555-7162 (Electronic)&amp;#xD;0002-9343 (Linking)&lt;/isbn&gt;&lt;accession-num&gt;16887404&lt;/accession-num&gt;&lt;urls&gt;&lt;related-urls&gt;&lt;url&gt;http://www.ncbi.nlm.nih.gov/pubmed/16887404&lt;/url&gt;&lt;/related-urls&gt;&lt;/urls&gt;&lt;electronic-resource-num&gt;10.1016/j.amjmed.2005.10.039&lt;/electronic-resource-num&gt;&lt;/record&gt;&lt;/Cite&gt;&lt;/EndNote&gt;</w:instrText>
            </w:r>
            <w:r w:rsidRPr="0082484A">
              <w:rPr>
                <w:sz w:val="22"/>
                <w:szCs w:val="22"/>
              </w:rPr>
              <w:fldChar w:fldCharType="separate"/>
            </w:r>
            <w:r w:rsidR="00952E85" w:rsidRPr="0082484A">
              <w:rPr>
                <w:noProof/>
                <w:sz w:val="22"/>
                <w:szCs w:val="22"/>
                <w:vertAlign w:val="superscript"/>
              </w:rPr>
              <w:t>5</w:t>
            </w:r>
            <w:r w:rsidRPr="0082484A">
              <w:rPr>
                <w:sz w:val="22"/>
                <w:szCs w:val="22"/>
              </w:rPr>
              <w:fldChar w:fldCharType="end"/>
            </w:r>
          </w:p>
        </w:tc>
      </w:tr>
      <w:tr w:rsidR="009A3C2D" w:rsidRPr="0082484A" w14:paraId="2B63AF53" w14:textId="77777777" w:rsidTr="00272145">
        <w:tc>
          <w:tcPr>
            <w:tcW w:w="5240" w:type="dxa"/>
          </w:tcPr>
          <w:p w14:paraId="276CE326" w14:textId="77777777" w:rsidR="009A3C2D" w:rsidRPr="0082484A" w:rsidRDefault="009A3C2D" w:rsidP="00272145">
            <w:pPr>
              <w:rPr>
                <w:sz w:val="22"/>
                <w:szCs w:val="22"/>
              </w:rPr>
            </w:pPr>
            <w:r w:rsidRPr="0082484A">
              <w:rPr>
                <w:sz w:val="22"/>
                <w:szCs w:val="22"/>
              </w:rPr>
              <w:t xml:space="preserve">Indicator 4-  Ulcer risk  </w:t>
            </w:r>
          </w:p>
          <w:p w14:paraId="1752FA7B" w14:textId="77777777" w:rsidR="009A3C2D" w:rsidRPr="0082484A" w:rsidRDefault="009A3C2D" w:rsidP="00272145">
            <w:pPr>
              <w:rPr>
                <w:sz w:val="22"/>
                <w:szCs w:val="22"/>
              </w:rPr>
            </w:pPr>
            <w:r w:rsidRPr="0082484A">
              <w:rPr>
                <w:sz w:val="22"/>
                <w:szCs w:val="22"/>
              </w:rPr>
              <w:t xml:space="preserve">aspirin and clopidogrel use in over 65s </w:t>
            </w:r>
          </w:p>
        </w:tc>
        <w:tc>
          <w:tcPr>
            <w:tcW w:w="1701" w:type="dxa"/>
          </w:tcPr>
          <w:p w14:paraId="655FF3B5" w14:textId="77777777" w:rsidR="009A3C2D" w:rsidRPr="0082484A" w:rsidRDefault="009A3C2D" w:rsidP="00272145">
            <w:pPr>
              <w:rPr>
                <w:sz w:val="22"/>
                <w:szCs w:val="22"/>
              </w:rPr>
            </w:pPr>
          </w:p>
          <w:p w14:paraId="2D155B58" w14:textId="77777777" w:rsidR="009A3C2D" w:rsidRPr="0082484A" w:rsidRDefault="009A3C2D" w:rsidP="00272145">
            <w:pPr>
              <w:rPr>
                <w:sz w:val="22"/>
                <w:szCs w:val="22"/>
              </w:rPr>
            </w:pPr>
            <w:r w:rsidRPr="0082484A">
              <w:rPr>
                <w:sz w:val="22"/>
                <w:szCs w:val="22"/>
              </w:rPr>
              <w:t>7.4</w:t>
            </w:r>
          </w:p>
        </w:tc>
        <w:tc>
          <w:tcPr>
            <w:tcW w:w="1559" w:type="dxa"/>
          </w:tcPr>
          <w:p w14:paraId="275E0AB9" w14:textId="77777777" w:rsidR="009A3C2D" w:rsidRPr="0082484A" w:rsidRDefault="009A3C2D" w:rsidP="00272145">
            <w:pPr>
              <w:rPr>
                <w:sz w:val="22"/>
                <w:szCs w:val="22"/>
              </w:rPr>
            </w:pPr>
          </w:p>
          <w:p w14:paraId="5DCE272F" w14:textId="77777777" w:rsidR="009A3C2D" w:rsidRPr="0082484A" w:rsidRDefault="009A3C2D" w:rsidP="00272145">
            <w:pPr>
              <w:rPr>
                <w:sz w:val="22"/>
                <w:szCs w:val="22"/>
              </w:rPr>
            </w:pPr>
            <w:r w:rsidRPr="0082484A">
              <w:rPr>
                <w:sz w:val="22"/>
                <w:szCs w:val="22"/>
              </w:rPr>
              <w:t>3.5-15</w:t>
            </w:r>
          </w:p>
        </w:tc>
        <w:tc>
          <w:tcPr>
            <w:tcW w:w="4933" w:type="dxa"/>
          </w:tcPr>
          <w:p w14:paraId="48C216F5" w14:textId="77777777" w:rsidR="009A3C2D" w:rsidRPr="0082484A" w:rsidRDefault="009A3C2D" w:rsidP="00272145">
            <w:pPr>
              <w:rPr>
                <w:sz w:val="22"/>
                <w:szCs w:val="22"/>
              </w:rPr>
            </w:pPr>
          </w:p>
          <w:p w14:paraId="58F78986" w14:textId="132937FD" w:rsidR="009A3C2D" w:rsidRPr="0082484A" w:rsidRDefault="009A3C2D" w:rsidP="00952E85">
            <w:pPr>
              <w:rPr>
                <w:sz w:val="22"/>
                <w:szCs w:val="22"/>
              </w:rPr>
            </w:pPr>
            <w:r w:rsidRPr="0082484A">
              <w:rPr>
                <w:sz w:val="22"/>
                <w:szCs w:val="22"/>
              </w:rPr>
              <w:t xml:space="preserve">Hallas </w:t>
            </w:r>
            <w:r w:rsidRPr="0082484A">
              <w:rPr>
                <w:i/>
                <w:sz w:val="22"/>
                <w:szCs w:val="22"/>
              </w:rPr>
              <w:t>et al.</w:t>
            </w:r>
            <w:r w:rsidRPr="0082484A">
              <w:rPr>
                <w:sz w:val="22"/>
                <w:szCs w:val="22"/>
              </w:rPr>
              <w:t xml:space="preserve"> (2006)</w:t>
            </w:r>
            <w:r w:rsidRPr="0082484A">
              <w:rPr>
                <w:sz w:val="22"/>
                <w:szCs w:val="22"/>
              </w:rPr>
              <w:fldChar w:fldCharType="begin">
                <w:fldData xml:space="preserve">PEVuZE5vdGU+PENpdGU+PEF1dGhvcj5IYWxsYXM8L0F1dGhvcj48WWVhcj4yMDA2PC9ZZWFyPjxS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PEVuZE5vdGU+PENpdGU+PEF1dGhvcj5IYWxsYXM8L0F1dGhvcj48WWVhcj4yMDA2PC9ZZWFyPjxS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6</w:t>
            </w:r>
            <w:r w:rsidRPr="0082484A">
              <w:rPr>
                <w:sz w:val="22"/>
                <w:szCs w:val="22"/>
              </w:rPr>
              <w:fldChar w:fldCharType="end"/>
            </w:r>
          </w:p>
        </w:tc>
      </w:tr>
      <w:tr w:rsidR="009A3C2D" w:rsidRPr="0082484A" w14:paraId="2FC639FF" w14:textId="77777777" w:rsidTr="00272145">
        <w:tc>
          <w:tcPr>
            <w:tcW w:w="5240" w:type="dxa"/>
          </w:tcPr>
          <w:p w14:paraId="2A49CE3B" w14:textId="77777777" w:rsidR="009A3C2D" w:rsidRPr="0082484A" w:rsidRDefault="009A3C2D" w:rsidP="00272145">
            <w:pPr>
              <w:rPr>
                <w:sz w:val="22"/>
                <w:szCs w:val="22"/>
              </w:rPr>
            </w:pPr>
            <w:r w:rsidRPr="0082484A">
              <w:rPr>
                <w:sz w:val="22"/>
                <w:szCs w:val="22"/>
              </w:rPr>
              <w:t xml:space="preserve">Indicator 5- GI risk </w:t>
            </w:r>
          </w:p>
          <w:p w14:paraId="6C79876C" w14:textId="77777777" w:rsidR="009A3C2D" w:rsidRPr="0082484A" w:rsidRDefault="009A3C2D" w:rsidP="00272145">
            <w:pPr>
              <w:rPr>
                <w:sz w:val="22"/>
                <w:szCs w:val="22"/>
              </w:rPr>
            </w:pPr>
            <w:r w:rsidRPr="0082484A">
              <w:rPr>
                <w:sz w:val="22"/>
                <w:szCs w:val="22"/>
              </w:rPr>
              <w:t xml:space="preserve"> warfarin and NSAID use </w:t>
            </w:r>
          </w:p>
        </w:tc>
        <w:tc>
          <w:tcPr>
            <w:tcW w:w="1701" w:type="dxa"/>
          </w:tcPr>
          <w:p w14:paraId="0D4D19D9" w14:textId="77777777" w:rsidR="009A3C2D" w:rsidRPr="0082484A" w:rsidRDefault="009A3C2D" w:rsidP="00272145">
            <w:pPr>
              <w:rPr>
                <w:sz w:val="22"/>
                <w:szCs w:val="22"/>
              </w:rPr>
            </w:pPr>
          </w:p>
          <w:p w14:paraId="61E5449D" w14:textId="77777777" w:rsidR="009A3C2D" w:rsidRPr="0082484A" w:rsidRDefault="009A3C2D" w:rsidP="00272145">
            <w:pPr>
              <w:rPr>
                <w:sz w:val="22"/>
                <w:szCs w:val="22"/>
              </w:rPr>
            </w:pPr>
            <w:r w:rsidRPr="0082484A">
              <w:rPr>
                <w:sz w:val="22"/>
                <w:szCs w:val="22"/>
              </w:rPr>
              <w:t>4.60</w:t>
            </w:r>
          </w:p>
        </w:tc>
        <w:tc>
          <w:tcPr>
            <w:tcW w:w="1559" w:type="dxa"/>
          </w:tcPr>
          <w:p w14:paraId="33863060" w14:textId="77777777" w:rsidR="009A3C2D" w:rsidRPr="0082484A" w:rsidRDefault="009A3C2D" w:rsidP="00272145">
            <w:pPr>
              <w:rPr>
                <w:sz w:val="22"/>
                <w:szCs w:val="22"/>
              </w:rPr>
            </w:pPr>
          </w:p>
          <w:p w14:paraId="3DFA9796" w14:textId="77777777" w:rsidR="009A3C2D" w:rsidRPr="0082484A" w:rsidRDefault="009A3C2D" w:rsidP="00272145">
            <w:pPr>
              <w:rPr>
                <w:sz w:val="22"/>
                <w:szCs w:val="22"/>
              </w:rPr>
            </w:pPr>
            <w:r w:rsidRPr="0082484A">
              <w:rPr>
                <w:sz w:val="22"/>
                <w:szCs w:val="22"/>
              </w:rPr>
              <w:t>2.77-7.64</w:t>
            </w:r>
          </w:p>
        </w:tc>
        <w:tc>
          <w:tcPr>
            <w:tcW w:w="4933" w:type="dxa"/>
          </w:tcPr>
          <w:p w14:paraId="51961E9F" w14:textId="77777777" w:rsidR="009A3C2D" w:rsidRPr="0082484A" w:rsidRDefault="009A3C2D" w:rsidP="00272145">
            <w:pPr>
              <w:rPr>
                <w:sz w:val="22"/>
                <w:szCs w:val="22"/>
              </w:rPr>
            </w:pPr>
          </w:p>
          <w:p w14:paraId="07219E65" w14:textId="39223FDF" w:rsidR="009A3C2D" w:rsidRPr="0082484A" w:rsidRDefault="009A3C2D" w:rsidP="00952E85">
            <w:pPr>
              <w:rPr>
                <w:sz w:val="22"/>
                <w:szCs w:val="22"/>
              </w:rPr>
            </w:pPr>
            <w:r w:rsidRPr="0082484A">
              <w:rPr>
                <w:sz w:val="22"/>
                <w:szCs w:val="22"/>
              </w:rPr>
              <w:t xml:space="preserve">Delaney </w:t>
            </w:r>
            <w:r w:rsidRPr="0082484A">
              <w:rPr>
                <w:i/>
                <w:sz w:val="22"/>
                <w:szCs w:val="22"/>
              </w:rPr>
              <w:t>et al</w:t>
            </w:r>
            <w:r w:rsidRPr="0082484A">
              <w:rPr>
                <w:sz w:val="22"/>
                <w:szCs w:val="22"/>
              </w:rPr>
              <w:t>. (2007)</w:t>
            </w:r>
            <w:r w:rsidRPr="0082484A">
              <w:rPr>
                <w:sz w:val="22"/>
                <w:szCs w:val="22"/>
              </w:rPr>
              <w:fldChar w:fldCharType="begin"/>
            </w:r>
            <w:r w:rsidR="00952E85" w:rsidRPr="0082484A">
              <w:rPr>
                <w:sz w:val="22"/>
                <w:szCs w:val="22"/>
              </w:rPr>
              <w:instrText xml:space="preserve"> ADDIN EN.CITE &lt;EndNote&gt;&lt;Cite&gt;&lt;Author&gt;Delaney&lt;/Author&gt;&lt;Year&gt;2007&lt;/Year&gt;&lt;RecNum&gt;3324&lt;/RecNum&gt;&lt;DisplayText&gt;&lt;style face="superscript"&gt;7&lt;/style&gt;&lt;/DisplayText&gt;&lt;record&gt;&lt;rec-number&gt;3324&lt;/rec-number&gt;&lt;foreign-keys&gt;&lt;key app="EN" db-id="5srzarxr5dr9r5es2r7xst9lr9t2rewrpffr" timestamp="1516029004"&gt;3324&lt;/key&gt;&lt;/foreign-keys&gt;&lt;ref-type name="Journal Article"&gt;17&lt;/ref-type&gt;&lt;contributors&gt;&lt;authors&gt;&lt;author&gt;Delaney, J. A.&lt;/author&gt;&lt;author&gt;Opatrny, L.&lt;/author&gt;&lt;author&gt;Brophy, J. M.&lt;/author&gt;&lt;author&gt;Suissa, S.&lt;/author&gt;&lt;/authors&gt;&lt;/contributors&gt;&lt;auth-address&gt;Royal Victoria Hosp, Div Clin Epidemiol, Montreal, PQ H3A 1A1, Canada&lt;/auth-address&gt;&lt;titles&gt;&lt;title&gt;Drug-drug interactions between antithrombotic medications and the risk of gastrointestinal bleeding&lt;/title&gt;&lt;secondary-title&gt;Canadian Medical Association Journal&lt;/secondary-title&gt;&lt;alt-title&gt;Can Med Assoc J&lt;/alt-title&gt;&lt;/titles&gt;&lt;periodical&gt;&lt;full-title&gt;Canadian Medical Association Journal&lt;/full-title&gt;&lt;abbr-1&gt;Can Med Assoc J&lt;/abbr-1&gt;&lt;/periodical&gt;&lt;alt-periodical&gt;&lt;full-title&gt;Canadian Medical Association Journal&lt;/full-title&gt;&lt;abbr-1&gt;Can Med Assoc J&lt;/abbr-1&gt;&lt;/alt-periodical&gt;&lt;pages&gt;347-351&lt;/pages&gt;&lt;volume&gt;177&lt;/volume&gt;&lt;number&gt;4&lt;/number&gt;&lt;keywords&gt;&lt;keyword&gt;practice research database&lt;/keyword&gt;&lt;keyword&gt;general-practice&lt;/keyword&gt;&lt;keyword&gt;myocardial-infarction&lt;/keyword&gt;&lt;keyword&gt;atrial-fibrillation&lt;/keyword&gt;&lt;keyword&gt;warfarin&lt;/keyword&gt;&lt;keyword&gt;aspirin&lt;/keyword&gt;&lt;keyword&gt;anticoagulation&lt;/keyword&gt;&lt;keyword&gt;metaanalysis&lt;/keyword&gt;&lt;keyword&gt;hemorrhage&lt;/keyword&gt;&lt;keyword&gt;therapy&lt;/keyword&gt;&lt;/keywords&gt;&lt;dates&gt;&lt;year&gt;2007&lt;/year&gt;&lt;pub-dates&gt;&lt;date&gt;Aug 14&lt;/date&gt;&lt;/pub-dates&gt;&lt;/dates&gt;&lt;isbn&gt;0820-3946&lt;/isbn&gt;&lt;accession-num&gt;WOS:000248993600010&lt;/accession-num&gt;&lt;urls&gt;&lt;related-urls&gt;&lt;url&gt;&amp;lt;Go to ISI&amp;gt;://WOS:000248993600010&lt;/url&gt;&lt;/related-urls&gt;&lt;/urls&gt;&lt;electronic-resource-num&gt;10.1053/cmaj.070186&lt;/electronic-resource-num&gt;&lt;language&gt;English&lt;/language&gt;&lt;/record&gt;&lt;/Cite&gt;&lt;/EndNote&gt;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7</w:t>
            </w:r>
            <w:r w:rsidRPr="0082484A">
              <w:rPr>
                <w:sz w:val="22"/>
                <w:szCs w:val="22"/>
              </w:rPr>
              <w:fldChar w:fldCharType="end"/>
            </w:r>
            <w:r w:rsidRPr="0082484A">
              <w:rPr>
                <w:sz w:val="22"/>
                <w:szCs w:val="22"/>
              </w:rPr>
              <w:t xml:space="preserve"> </w:t>
            </w:r>
          </w:p>
        </w:tc>
      </w:tr>
      <w:tr w:rsidR="009A3C2D" w:rsidRPr="0082484A" w14:paraId="0F325DF0" w14:textId="77777777" w:rsidTr="00272145">
        <w:tc>
          <w:tcPr>
            <w:tcW w:w="5240" w:type="dxa"/>
          </w:tcPr>
          <w:p w14:paraId="62ABB30B" w14:textId="77777777" w:rsidR="009A3C2D" w:rsidRPr="0082484A" w:rsidRDefault="009A3C2D" w:rsidP="00272145">
            <w:pPr>
              <w:rPr>
                <w:sz w:val="22"/>
                <w:szCs w:val="22"/>
              </w:rPr>
            </w:pPr>
            <w:r w:rsidRPr="0082484A">
              <w:rPr>
                <w:sz w:val="22"/>
                <w:szCs w:val="22"/>
              </w:rPr>
              <w:t xml:space="preserve">Indicator 7 - GI Risk </w:t>
            </w:r>
          </w:p>
          <w:p w14:paraId="70008ACE" w14:textId="77777777" w:rsidR="009A3C2D" w:rsidRPr="0082484A" w:rsidRDefault="009A3C2D" w:rsidP="00272145">
            <w:pPr>
              <w:rPr>
                <w:sz w:val="22"/>
                <w:szCs w:val="22"/>
              </w:rPr>
            </w:pPr>
            <w:r w:rsidRPr="0082484A">
              <w:rPr>
                <w:sz w:val="22"/>
                <w:szCs w:val="22"/>
              </w:rPr>
              <w:t>7a- warfarin and clopidrogel</w:t>
            </w:r>
          </w:p>
          <w:p w14:paraId="5FD9EA8F" w14:textId="77777777" w:rsidR="009A3C2D" w:rsidRPr="0082484A" w:rsidRDefault="009A3C2D" w:rsidP="00272145">
            <w:pPr>
              <w:rPr>
                <w:sz w:val="22"/>
                <w:szCs w:val="22"/>
              </w:rPr>
            </w:pPr>
            <w:r w:rsidRPr="0082484A">
              <w:rPr>
                <w:sz w:val="22"/>
                <w:szCs w:val="22"/>
              </w:rPr>
              <w:t xml:space="preserve">7b- warfarin and low dose aspirin use </w:t>
            </w:r>
          </w:p>
        </w:tc>
        <w:tc>
          <w:tcPr>
            <w:tcW w:w="1701" w:type="dxa"/>
          </w:tcPr>
          <w:p w14:paraId="4608552D" w14:textId="77777777" w:rsidR="009A3C2D" w:rsidRPr="0082484A" w:rsidRDefault="009A3C2D" w:rsidP="00272145">
            <w:pPr>
              <w:rPr>
                <w:sz w:val="22"/>
                <w:szCs w:val="22"/>
              </w:rPr>
            </w:pPr>
          </w:p>
          <w:p w14:paraId="48B88866" w14:textId="77777777" w:rsidR="009A3C2D" w:rsidRPr="0082484A" w:rsidRDefault="009A3C2D" w:rsidP="00272145">
            <w:pPr>
              <w:rPr>
                <w:sz w:val="22"/>
                <w:szCs w:val="22"/>
              </w:rPr>
            </w:pPr>
            <w:r w:rsidRPr="0082484A">
              <w:rPr>
                <w:sz w:val="22"/>
                <w:szCs w:val="22"/>
              </w:rPr>
              <w:t>6.25</w:t>
            </w:r>
          </w:p>
          <w:p w14:paraId="6A557DDB" w14:textId="77777777" w:rsidR="009A3C2D" w:rsidRPr="0082484A" w:rsidRDefault="009A3C2D" w:rsidP="00272145">
            <w:pPr>
              <w:rPr>
                <w:sz w:val="22"/>
                <w:szCs w:val="22"/>
              </w:rPr>
            </w:pPr>
            <w:r w:rsidRPr="0082484A">
              <w:rPr>
                <w:sz w:val="22"/>
                <w:szCs w:val="22"/>
              </w:rPr>
              <w:t>11.016</w:t>
            </w:r>
          </w:p>
        </w:tc>
        <w:tc>
          <w:tcPr>
            <w:tcW w:w="1559" w:type="dxa"/>
          </w:tcPr>
          <w:p w14:paraId="6CCA1B5D" w14:textId="77777777" w:rsidR="009A3C2D" w:rsidRPr="0082484A" w:rsidRDefault="009A3C2D" w:rsidP="00272145">
            <w:pPr>
              <w:rPr>
                <w:sz w:val="22"/>
                <w:szCs w:val="22"/>
              </w:rPr>
            </w:pPr>
          </w:p>
          <w:p w14:paraId="2088B2B4" w14:textId="77777777" w:rsidR="009A3C2D" w:rsidRPr="0082484A" w:rsidRDefault="009A3C2D" w:rsidP="00272145">
            <w:pPr>
              <w:rPr>
                <w:sz w:val="22"/>
                <w:szCs w:val="22"/>
              </w:rPr>
            </w:pPr>
            <w:r w:rsidRPr="0082484A">
              <w:rPr>
                <w:sz w:val="22"/>
                <w:szCs w:val="22"/>
              </w:rPr>
              <w:t>2.0 -14</w:t>
            </w:r>
          </w:p>
          <w:p w14:paraId="373C56DE" w14:textId="77777777" w:rsidR="009A3C2D" w:rsidRPr="0082484A" w:rsidRDefault="009A3C2D" w:rsidP="00272145">
            <w:pPr>
              <w:rPr>
                <w:sz w:val="22"/>
                <w:szCs w:val="22"/>
              </w:rPr>
            </w:pPr>
            <w:r w:rsidRPr="0082484A">
              <w:rPr>
                <w:sz w:val="22"/>
                <w:szCs w:val="22"/>
              </w:rPr>
              <w:t>6.0 -20.5</w:t>
            </w:r>
          </w:p>
        </w:tc>
        <w:tc>
          <w:tcPr>
            <w:tcW w:w="4933" w:type="dxa"/>
          </w:tcPr>
          <w:p w14:paraId="20DD5453" w14:textId="77777777" w:rsidR="009A3C2D" w:rsidRPr="0082484A" w:rsidRDefault="009A3C2D" w:rsidP="00272145">
            <w:pPr>
              <w:rPr>
                <w:sz w:val="22"/>
                <w:szCs w:val="22"/>
              </w:rPr>
            </w:pPr>
          </w:p>
          <w:p w14:paraId="65F8A72D" w14:textId="30A61979" w:rsidR="009A3C2D" w:rsidRPr="0082484A" w:rsidRDefault="009A3C2D" w:rsidP="00952E85">
            <w:pPr>
              <w:rPr>
                <w:sz w:val="22"/>
                <w:szCs w:val="22"/>
              </w:rPr>
            </w:pPr>
            <w:r w:rsidRPr="0082484A">
              <w:rPr>
                <w:sz w:val="22"/>
                <w:szCs w:val="22"/>
              </w:rPr>
              <w:t xml:space="preserve">Delaney </w:t>
            </w:r>
            <w:r w:rsidRPr="0082484A">
              <w:rPr>
                <w:i/>
                <w:sz w:val="22"/>
                <w:szCs w:val="22"/>
              </w:rPr>
              <w:t>et al</w:t>
            </w:r>
            <w:r w:rsidRPr="0082484A">
              <w:rPr>
                <w:sz w:val="22"/>
                <w:szCs w:val="22"/>
              </w:rPr>
              <w:t>. (2007)</w:t>
            </w:r>
            <w:r w:rsidRPr="0082484A">
              <w:rPr>
                <w:sz w:val="22"/>
                <w:szCs w:val="22"/>
              </w:rPr>
              <w:fldChar w:fldCharType="begin"/>
            </w:r>
            <w:r w:rsidR="00952E85" w:rsidRPr="0082484A">
              <w:rPr>
                <w:sz w:val="22"/>
                <w:szCs w:val="22"/>
              </w:rPr>
              <w:instrText xml:space="preserve"> ADDIN EN.CITE &lt;EndNote&gt;&lt;Cite&gt;&lt;Author&gt;Delaney&lt;/Author&gt;&lt;Year&gt;2007&lt;/Year&gt;&lt;RecNum&gt;3324&lt;/RecNum&gt;&lt;DisplayText&gt;&lt;style face="superscript"&gt;7&lt;/style&gt;&lt;/DisplayText&gt;&lt;record&gt;&lt;rec-number&gt;3324&lt;/rec-number&gt;&lt;foreign-keys&gt;&lt;key app="EN" db-id="5srzarxr5dr9r5es2r7xst9lr9t2rewrpffr" timestamp="1516029004"&gt;3324&lt;/key&gt;&lt;/foreign-keys&gt;&lt;ref-type name="Journal Article"&gt;17&lt;/ref-type&gt;&lt;contributors&gt;&lt;authors&gt;&lt;author&gt;Delaney, J. A.&lt;/author&gt;&lt;author&gt;Opatrny, L.&lt;/author&gt;&lt;author&gt;Brophy, J. M.&lt;/author&gt;&lt;author&gt;Suissa, S.&lt;/author&gt;&lt;/authors&gt;&lt;/contributors&gt;&lt;auth-address&gt;Royal Victoria Hosp, Div Clin Epidemiol, Montreal, PQ H3A 1A1, Canada&lt;/auth-address&gt;&lt;titles&gt;&lt;title&gt;Drug-drug interactions between antithrombotic medications and the risk of gastrointestinal bleeding&lt;/title&gt;&lt;secondary-title&gt;Canadian Medical Association Journal&lt;/secondary-title&gt;&lt;alt-title&gt;Can Med Assoc J&lt;/alt-title&gt;&lt;/titles&gt;&lt;periodical&gt;&lt;full-title&gt;Canadian Medical Association Journal&lt;/full-title&gt;&lt;abbr-1&gt;Can Med Assoc J&lt;/abbr-1&gt;&lt;/periodical&gt;&lt;alt-periodical&gt;&lt;full-title&gt;Canadian Medical Association Journal&lt;/full-title&gt;&lt;abbr-1&gt;Can Med Assoc J&lt;/abbr-1&gt;&lt;/alt-periodical&gt;&lt;pages&gt;347-351&lt;/pages&gt;&lt;volume&gt;177&lt;/volume&gt;&lt;number&gt;4&lt;/number&gt;&lt;keywords&gt;&lt;keyword&gt;practice research database&lt;/keyword&gt;&lt;keyword&gt;general-practice&lt;/keyword&gt;&lt;keyword&gt;myocardial-infarction&lt;/keyword&gt;&lt;keyword&gt;atrial-fibrillation&lt;/keyword&gt;&lt;keyword&gt;warfarin&lt;/keyword&gt;&lt;keyword&gt;aspirin&lt;/keyword&gt;&lt;keyword&gt;anticoagulation&lt;/keyword&gt;&lt;keyword&gt;metaanalysis&lt;/keyword&gt;&lt;keyword&gt;hemorrhage&lt;/keyword&gt;&lt;keyword&gt;therapy&lt;/keyword&gt;&lt;/keywords&gt;&lt;dates&gt;&lt;year&gt;2007&lt;/year&gt;&lt;pub-dates&gt;&lt;date&gt;Aug 14&lt;/date&gt;&lt;/pub-dates&gt;&lt;/dates&gt;&lt;isbn&gt;0820-3946&lt;/isbn&gt;&lt;accession-num&gt;WOS:000248993600010&lt;/accession-num&gt;&lt;urls&gt;&lt;related-urls&gt;&lt;url&gt;&amp;lt;Go to ISI&amp;gt;://WOS:000248993600010&lt;/url&gt;&lt;/related-urls&gt;&lt;/urls&gt;&lt;electronic-resource-num&gt;10.1053/cmaj.070186&lt;/electronic-resource-num&gt;&lt;language&gt;English&lt;/language&gt;&lt;/record&gt;&lt;/Cite&gt;&lt;/EndNote&gt;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7</w:t>
            </w:r>
            <w:r w:rsidRPr="0082484A">
              <w:rPr>
                <w:sz w:val="22"/>
                <w:szCs w:val="22"/>
              </w:rPr>
              <w:fldChar w:fldCharType="end"/>
            </w:r>
            <w:r w:rsidRPr="0082484A">
              <w:rPr>
                <w:sz w:val="22"/>
                <w:szCs w:val="22"/>
              </w:rPr>
              <w:t xml:space="preserve"> and McQuaid and Laine (2006)</w:t>
            </w:r>
            <w:r w:rsidRPr="0082484A">
              <w:rPr>
                <w:sz w:val="22"/>
                <w:szCs w:val="22"/>
              </w:rPr>
              <w:fldChar w:fldCharType="begin"/>
            </w:r>
            <w:r w:rsidR="00952E85" w:rsidRPr="0082484A">
              <w:rPr>
                <w:sz w:val="22"/>
                <w:szCs w:val="22"/>
              </w:rPr>
              <w:instrText xml:space="preserve"> ADDIN EN.CITE &lt;EndNote&gt;&lt;Cite&gt;&lt;Author&gt;McQuaid&lt;/Author&gt;&lt;Year&gt;2006&lt;/Year&gt;&lt;RecNum&gt;3322&lt;/RecNum&gt;&lt;DisplayText&gt;&lt;style face="superscript"&gt;5&lt;/style&gt;&lt;/DisplayText&gt;&lt;record&gt;&lt;rec-number&gt;3322&lt;/rec-number&gt;&lt;foreign-keys&gt;&lt;key app="EN" db-id="5srzarxr5dr9r5es2r7xst9lr9t2rewrpffr" timestamp="1516028648"&gt;3322&lt;/key&gt;&lt;/foreign-keys&gt;&lt;ref-type name="Journal Article"&gt;17&lt;/ref-type&gt;&lt;contributors&gt;&lt;authors&gt;&lt;author&gt;McQuaid, K. R.&lt;/author&gt;&lt;author&gt;Laine, L.&lt;/author&gt;&lt;/authors&gt;&lt;/contributors&gt;&lt;auth-address&gt;Veterans Affairs Medical Center, San Francisco, Ca 94121, USA. enneth.mcquaid@med.va.gov&lt;/auth-address&gt;&lt;titles&gt;&lt;title&gt;Systematic review and meta-analysis of adverse events of low-dose aspirin and clopidogrel in randomized controlled trials&lt;/title&gt;&lt;secondary-title&gt;Am J Med&lt;/secondary-title&gt;&lt;/titles&gt;&lt;periodical&gt;&lt;full-title&gt;Am J Med&lt;/full-title&gt;&lt;/periodical&gt;&lt;pages&gt;624-38&lt;/pages&gt;&lt;volume&gt;119&lt;/volume&gt;&lt;number&gt;8&lt;/number&gt;&lt;keywords&gt;&lt;keyword&gt;Aspirin/*administration &amp;amp; dosage/*adverse effects/economics&lt;/keyword&gt;&lt;keyword&gt;Humans&lt;/keyword&gt;&lt;keyword&gt;Platelet Aggregation Inhibitors/*administration &amp;amp; dosage/*adverse effects&lt;/keyword&gt;&lt;keyword&gt;Ticlopidine/adverse effects/*analogs &amp;amp; derivatives/economics&lt;/keyword&gt;&lt;/keywords&gt;&lt;dates&gt;&lt;year&gt;2006&lt;/year&gt;&lt;pub-dates&gt;&lt;date&gt;Aug&lt;/date&gt;&lt;/pub-dates&gt;&lt;/dates&gt;&lt;isbn&gt;1555-7162 (Electronic)&amp;#xD;0002-9343 (Linking)&lt;/isbn&gt;&lt;accession-num&gt;16887404&lt;/accession-num&gt;&lt;urls&gt;&lt;related-urls&gt;&lt;url&gt;http://www.ncbi.nlm.nih.gov/pubmed/16887404&lt;/url&gt;&lt;/related-urls&gt;&lt;/urls&gt;&lt;electronic-resource-num&gt;10.1016/j.amjmed.2005.10.039&lt;/electronic-resource-num&gt;&lt;/record&gt;&lt;/Cite&gt;&lt;/EndNote&gt;</w:instrText>
            </w:r>
            <w:r w:rsidRPr="0082484A">
              <w:rPr>
                <w:sz w:val="22"/>
                <w:szCs w:val="22"/>
              </w:rPr>
              <w:fldChar w:fldCharType="separate"/>
            </w:r>
            <w:r w:rsidR="00952E85" w:rsidRPr="0082484A">
              <w:rPr>
                <w:noProof/>
                <w:sz w:val="22"/>
                <w:szCs w:val="22"/>
                <w:vertAlign w:val="superscript"/>
              </w:rPr>
              <w:t>5</w:t>
            </w:r>
            <w:r w:rsidRPr="0082484A">
              <w:rPr>
                <w:sz w:val="22"/>
                <w:szCs w:val="22"/>
              </w:rPr>
              <w:fldChar w:fldCharType="end"/>
            </w:r>
            <w:r w:rsidRPr="0082484A">
              <w:rPr>
                <w:sz w:val="22"/>
                <w:szCs w:val="22"/>
              </w:rPr>
              <w:t xml:space="preserve"> using indirect treatment comparison</w:t>
            </w:r>
          </w:p>
        </w:tc>
      </w:tr>
      <w:tr w:rsidR="009A3C2D" w:rsidRPr="0082484A" w14:paraId="20A1E3ED" w14:textId="77777777" w:rsidTr="00272145">
        <w:tc>
          <w:tcPr>
            <w:tcW w:w="13433" w:type="dxa"/>
            <w:gridSpan w:val="4"/>
          </w:tcPr>
          <w:p w14:paraId="1A4A8BF1" w14:textId="77777777" w:rsidR="009A3C2D" w:rsidRPr="0082484A" w:rsidRDefault="009A3C2D" w:rsidP="00272145">
            <w:pPr>
              <w:rPr>
                <w:i/>
                <w:sz w:val="22"/>
                <w:szCs w:val="22"/>
              </w:rPr>
            </w:pPr>
            <w:r w:rsidRPr="0082484A">
              <w:rPr>
                <w:i/>
                <w:sz w:val="22"/>
                <w:szCs w:val="22"/>
              </w:rPr>
              <w:t>Risks associated with NSAID prescription</w:t>
            </w:r>
          </w:p>
          <w:p w14:paraId="38E76887" w14:textId="77777777" w:rsidR="009A3C2D" w:rsidRPr="0082484A" w:rsidRDefault="009A3C2D" w:rsidP="00272145">
            <w:pPr>
              <w:rPr>
                <w:sz w:val="22"/>
                <w:szCs w:val="22"/>
              </w:rPr>
            </w:pPr>
          </w:p>
        </w:tc>
      </w:tr>
      <w:tr w:rsidR="009A3C2D" w:rsidRPr="0082484A" w14:paraId="6D6E1909" w14:textId="77777777" w:rsidTr="00272145">
        <w:tc>
          <w:tcPr>
            <w:tcW w:w="5240" w:type="dxa"/>
          </w:tcPr>
          <w:p w14:paraId="7DB1CF9D" w14:textId="77777777" w:rsidR="009A3C2D" w:rsidRPr="0082484A" w:rsidRDefault="009A3C2D" w:rsidP="00272145">
            <w:pPr>
              <w:rPr>
                <w:sz w:val="22"/>
                <w:szCs w:val="22"/>
              </w:rPr>
            </w:pPr>
            <w:r w:rsidRPr="0082484A">
              <w:rPr>
                <w:sz w:val="22"/>
                <w:szCs w:val="22"/>
              </w:rPr>
              <w:t xml:space="preserve">Indicator 14 - Heart Failure Risk </w:t>
            </w:r>
          </w:p>
          <w:p w14:paraId="2976B60B" w14:textId="77777777" w:rsidR="009A3C2D" w:rsidRPr="0082484A" w:rsidRDefault="009A3C2D" w:rsidP="00272145">
            <w:pPr>
              <w:rPr>
                <w:sz w:val="22"/>
                <w:szCs w:val="22"/>
              </w:rPr>
            </w:pPr>
            <w:r w:rsidRPr="0082484A">
              <w:rPr>
                <w:sz w:val="22"/>
                <w:szCs w:val="22"/>
              </w:rPr>
              <w:t>NSAID use in patients with HF</w:t>
            </w:r>
          </w:p>
        </w:tc>
        <w:tc>
          <w:tcPr>
            <w:tcW w:w="1701" w:type="dxa"/>
          </w:tcPr>
          <w:p w14:paraId="4A328F26" w14:textId="77777777" w:rsidR="009A3C2D" w:rsidRPr="0082484A" w:rsidRDefault="009A3C2D" w:rsidP="00272145">
            <w:pPr>
              <w:rPr>
                <w:sz w:val="22"/>
                <w:szCs w:val="22"/>
              </w:rPr>
            </w:pPr>
            <w:r w:rsidRPr="0082484A">
              <w:rPr>
                <w:sz w:val="22"/>
                <w:szCs w:val="22"/>
              </w:rPr>
              <w:t>9.9</w:t>
            </w:r>
          </w:p>
        </w:tc>
        <w:tc>
          <w:tcPr>
            <w:tcW w:w="1559" w:type="dxa"/>
          </w:tcPr>
          <w:p w14:paraId="10AA85C4" w14:textId="77777777" w:rsidR="009A3C2D" w:rsidRPr="0082484A" w:rsidRDefault="009A3C2D" w:rsidP="00272145">
            <w:pPr>
              <w:rPr>
                <w:sz w:val="22"/>
                <w:szCs w:val="22"/>
              </w:rPr>
            </w:pPr>
            <w:r w:rsidRPr="0082484A">
              <w:rPr>
                <w:sz w:val="22"/>
                <w:szCs w:val="22"/>
              </w:rPr>
              <w:t>1.7-57</w:t>
            </w:r>
          </w:p>
        </w:tc>
        <w:tc>
          <w:tcPr>
            <w:tcW w:w="4933" w:type="dxa"/>
          </w:tcPr>
          <w:p w14:paraId="78DA6553" w14:textId="5E874162" w:rsidR="009A3C2D" w:rsidRPr="0082484A" w:rsidRDefault="009A3C2D" w:rsidP="00952E85">
            <w:pPr>
              <w:rPr>
                <w:sz w:val="22"/>
                <w:szCs w:val="22"/>
              </w:rPr>
            </w:pPr>
            <w:r w:rsidRPr="0082484A">
              <w:rPr>
                <w:sz w:val="22"/>
                <w:szCs w:val="22"/>
              </w:rPr>
              <w:t xml:space="preserve">Feenstra </w:t>
            </w:r>
            <w:r w:rsidRPr="0082484A">
              <w:rPr>
                <w:i/>
                <w:sz w:val="22"/>
                <w:szCs w:val="22"/>
              </w:rPr>
              <w:t>et al</w:t>
            </w:r>
            <w:r w:rsidRPr="0082484A">
              <w:rPr>
                <w:sz w:val="22"/>
                <w:szCs w:val="22"/>
              </w:rPr>
              <w:t>. (2002)</w:t>
            </w:r>
            <w:r w:rsidRPr="0082484A">
              <w:rPr>
                <w:sz w:val="22"/>
                <w:szCs w:val="22"/>
              </w:rPr>
              <w:fldChar w:fldCharType="begin">
                <w:fldData xml:space="preserve">PEVuZE5vdGU+PENpdGU+PEF1dGhvcj5GZWVuc3RyYTwvQXV0aG9yPjxZZWFyPjIwMDI8L1llYXI+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=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PEVuZE5vdGU+PENpdGU+PEF1dGhvcj5GZWVuc3RyYTwvQXV0aG9yPjxZZWFyPjIwMDI8L1llYXI+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=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8</w:t>
            </w:r>
            <w:r w:rsidRPr="0082484A">
              <w:rPr>
                <w:sz w:val="22"/>
                <w:szCs w:val="22"/>
              </w:rPr>
              <w:fldChar w:fldCharType="end"/>
            </w:r>
          </w:p>
        </w:tc>
      </w:tr>
      <w:tr w:rsidR="009A3C2D" w:rsidRPr="0082484A" w14:paraId="694A0288" w14:textId="77777777" w:rsidTr="00272145">
        <w:tc>
          <w:tcPr>
            <w:tcW w:w="13433" w:type="dxa"/>
            <w:gridSpan w:val="4"/>
          </w:tcPr>
          <w:p w14:paraId="33C36016" w14:textId="4DCC7F7B" w:rsidR="009A3C2D" w:rsidRPr="0082484A" w:rsidRDefault="009A3C2D" w:rsidP="00272145">
            <w:pPr>
              <w:rPr>
                <w:sz w:val="22"/>
                <w:szCs w:val="22"/>
              </w:rPr>
            </w:pPr>
            <w:r w:rsidRPr="0082484A">
              <w:rPr>
                <w:sz w:val="22"/>
                <w:szCs w:val="22"/>
              </w:rPr>
              <w:t xml:space="preserve">Indicator 11 – Acute Kidney Injury (see </w:t>
            </w:r>
            <w:r w:rsidRPr="0082484A">
              <w:rPr>
                <w:sz w:val="22"/>
                <w:szCs w:val="22"/>
              </w:rPr>
              <w:fldChar w:fldCharType="begin"/>
            </w:r>
            <w:r w:rsidRPr="0082484A">
              <w:rPr>
                <w:sz w:val="22"/>
                <w:szCs w:val="22"/>
              </w:rPr>
              <w:instrText xml:space="preserve"> REF _Ref491077305 \h  \* MERGEFORMAT </w:instrText>
            </w:r>
            <w:r w:rsidRPr="0082484A">
              <w:rPr>
                <w:sz w:val="22"/>
                <w:szCs w:val="22"/>
              </w:rPr>
            </w:r>
            <w:r w:rsidRPr="0082484A">
              <w:rPr>
                <w:sz w:val="22"/>
                <w:szCs w:val="22"/>
              </w:rPr>
              <w:fldChar w:fldCharType="separate"/>
            </w:r>
            <w:r w:rsidR="00CC779E" w:rsidRPr="00CC779E">
              <w:rPr>
                <w:sz w:val="22"/>
                <w:szCs w:val="22"/>
              </w:rPr>
              <w:t xml:space="preserve">Table </w:t>
            </w:r>
            <w:r w:rsidR="00CC779E" w:rsidRPr="00CC779E">
              <w:rPr>
                <w:noProof/>
                <w:sz w:val="22"/>
                <w:szCs w:val="22"/>
              </w:rPr>
              <w:t>92</w:t>
            </w:r>
            <w:r w:rsidRPr="0082484A">
              <w:rPr>
                <w:sz w:val="22"/>
                <w:szCs w:val="22"/>
              </w:rPr>
              <w:fldChar w:fldCharType="end"/>
            </w:r>
            <w:r w:rsidRPr="0082484A">
              <w:rPr>
                <w:sz w:val="22"/>
                <w:szCs w:val="22"/>
              </w:rPr>
              <w:t>)</w:t>
            </w:r>
          </w:p>
        </w:tc>
      </w:tr>
    </w:tbl>
    <w:p w14:paraId="575013BD" w14:textId="77777777" w:rsidR="009A3C2D" w:rsidRPr="0082484A" w:rsidRDefault="009A3C2D" w:rsidP="009A3C2D">
      <w:pPr>
        <w:rPr>
          <w:sz w:val="22"/>
          <w:szCs w:val="22"/>
        </w:rPr>
      </w:pPr>
      <w:r w:rsidRPr="0082484A">
        <w:rPr>
          <w:sz w:val="22"/>
          <w:szCs w:val="22"/>
        </w:rPr>
        <w:t>*When no standard errors around risk estimates were reported, we assumed it equalled half the mean to construct confidence intervals; ** For evaluating indicator 7 it was assumed patients were equally split between 7a and 7b</w:t>
      </w:r>
    </w:p>
    <w:p w14:paraId="36122EED" w14:textId="77777777" w:rsidR="009A3C2D" w:rsidRPr="0082484A" w:rsidRDefault="009A3C2D" w:rsidP="009A3C2D">
      <w:pPr>
        <w:rPr>
          <w:sz w:val="22"/>
          <w:szCs w:val="22"/>
          <w:lang w:val="en-US"/>
        </w:rPr>
        <w:sectPr w:rsidR="009A3C2D" w:rsidRPr="0082484A" w:rsidSect="009A3C2D">
          <w:pgSz w:w="11906" w:h="16838"/>
          <w:pgMar w:top="1440" w:right="1440" w:bottom="1440" w:left="1440" w:header="708" w:footer="708" w:gutter="0"/>
          <w:cols w:space="708"/>
          <w:docGrid w:linePitch="360"/>
        </w:sectPr>
      </w:pPr>
    </w:p>
    <w:p w14:paraId="729EF7D6" w14:textId="39436D2C" w:rsidR="009A3C2D" w:rsidRPr="0082484A" w:rsidRDefault="009A3C2D" w:rsidP="009A3C2D">
      <w:pPr>
        <w:pStyle w:val="Caption"/>
        <w:rPr>
          <w:b w:val="0"/>
          <w:sz w:val="22"/>
          <w:szCs w:val="22"/>
          <w:lang w:val="en-US"/>
        </w:rPr>
      </w:pPr>
      <w:bookmarkStart w:id="323" w:name="_Ref501109735"/>
      <w:bookmarkStart w:id="324" w:name="_Toc8728171"/>
      <w:bookmarkStart w:id="325" w:name="_Toc19526818"/>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89</w:t>
      </w:r>
      <w:r w:rsidRPr="0082484A">
        <w:rPr>
          <w:b w:val="0"/>
          <w:noProof/>
          <w:sz w:val="22"/>
          <w:szCs w:val="22"/>
        </w:rPr>
        <w:fldChar w:fldCharType="end"/>
      </w:r>
      <w:bookmarkEnd w:id="323"/>
      <w:r w:rsidRPr="0082484A">
        <w:rPr>
          <w:b w:val="0"/>
          <w:sz w:val="22"/>
          <w:szCs w:val="22"/>
          <w:lang w:val="en-US"/>
        </w:rPr>
        <w:t>: Risky prescribing model - effectiveness parameters</w:t>
      </w:r>
      <w:bookmarkEnd w:id="324"/>
      <w:bookmarkEnd w:id="325"/>
    </w:p>
    <w:tbl>
      <w:tblPr>
        <w:tblStyle w:val="TableGrid"/>
        <w:tblW w:w="0" w:type="auto"/>
        <w:tblLook w:val="04A0" w:firstRow="1" w:lastRow="0" w:firstColumn="1" w:lastColumn="0" w:noHBand="0" w:noVBand="1"/>
      </w:tblPr>
      <w:tblGrid>
        <w:gridCol w:w="6578"/>
        <w:gridCol w:w="926"/>
        <w:gridCol w:w="1512"/>
      </w:tblGrid>
      <w:tr w:rsidR="009A3C2D" w:rsidRPr="0082484A" w14:paraId="34E5831F" w14:textId="77777777" w:rsidTr="00272145">
        <w:tc>
          <w:tcPr>
            <w:tcW w:w="0" w:type="auto"/>
            <w:vMerge w:val="restart"/>
            <w:vAlign w:val="center"/>
          </w:tcPr>
          <w:p w14:paraId="5796C05B" w14:textId="77777777" w:rsidR="009A3C2D" w:rsidRPr="0082484A" w:rsidRDefault="009A3C2D" w:rsidP="00272145">
            <w:pPr>
              <w:rPr>
                <w:sz w:val="22"/>
                <w:szCs w:val="22"/>
                <w:lang w:val="en-US"/>
              </w:rPr>
            </w:pPr>
            <w:r w:rsidRPr="0082484A">
              <w:rPr>
                <w:sz w:val="22"/>
                <w:szCs w:val="22"/>
                <w:lang w:val="en-US"/>
              </w:rPr>
              <w:t>Indicators</w:t>
            </w:r>
          </w:p>
        </w:tc>
        <w:tc>
          <w:tcPr>
            <w:tcW w:w="0" w:type="auto"/>
            <w:gridSpan w:val="2"/>
          </w:tcPr>
          <w:p w14:paraId="4D5E4763" w14:textId="77777777" w:rsidR="009A3C2D" w:rsidRPr="0082484A" w:rsidRDefault="009A3C2D" w:rsidP="00272145">
            <w:pPr>
              <w:jc w:val="center"/>
              <w:rPr>
                <w:sz w:val="22"/>
                <w:szCs w:val="22"/>
                <w:lang w:val="en-US"/>
              </w:rPr>
            </w:pPr>
            <w:r w:rsidRPr="0082484A">
              <w:rPr>
                <w:sz w:val="22"/>
                <w:szCs w:val="22"/>
                <w:lang w:val="en-US"/>
              </w:rPr>
              <w:t>Proportion achieved*</w:t>
            </w:r>
          </w:p>
        </w:tc>
      </w:tr>
      <w:tr w:rsidR="009A3C2D" w:rsidRPr="0082484A" w14:paraId="747A5821" w14:textId="77777777" w:rsidTr="00272145">
        <w:tc>
          <w:tcPr>
            <w:tcW w:w="0" w:type="auto"/>
            <w:vMerge/>
          </w:tcPr>
          <w:p w14:paraId="63E41427" w14:textId="77777777" w:rsidR="009A3C2D" w:rsidRPr="0082484A" w:rsidRDefault="009A3C2D" w:rsidP="00272145">
            <w:pPr>
              <w:rPr>
                <w:sz w:val="22"/>
                <w:szCs w:val="22"/>
                <w:lang w:val="en-US"/>
              </w:rPr>
            </w:pPr>
          </w:p>
        </w:tc>
        <w:tc>
          <w:tcPr>
            <w:tcW w:w="0" w:type="auto"/>
            <w:gridSpan w:val="2"/>
          </w:tcPr>
          <w:p w14:paraId="3FE5F87B" w14:textId="77777777" w:rsidR="009A3C2D" w:rsidRPr="0082484A" w:rsidRDefault="009A3C2D" w:rsidP="00272145">
            <w:pPr>
              <w:jc w:val="center"/>
              <w:rPr>
                <w:sz w:val="22"/>
                <w:szCs w:val="22"/>
                <w:lang w:val="en-US"/>
              </w:rPr>
            </w:pPr>
            <w:r w:rsidRPr="0082484A">
              <w:rPr>
                <w:sz w:val="22"/>
                <w:szCs w:val="22"/>
                <w:lang w:val="en-US"/>
              </w:rPr>
              <w:t>Trial arm</w:t>
            </w:r>
          </w:p>
        </w:tc>
      </w:tr>
      <w:tr w:rsidR="009A3C2D" w:rsidRPr="0082484A" w14:paraId="4F01A08D" w14:textId="77777777" w:rsidTr="00272145">
        <w:tc>
          <w:tcPr>
            <w:tcW w:w="0" w:type="auto"/>
            <w:vMerge/>
          </w:tcPr>
          <w:p w14:paraId="1493D4D7" w14:textId="77777777" w:rsidR="009A3C2D" w:rsidRPr="0082484A" w:rsidRDefault="009A3C2D" w:rsidP="00272145">
            <w:pPr>
              <w:rPr>
                <w:sz w:val="22"/>
                <w:szCs w:val="22"/>
                <w:lang w:val="en-US"/>
              </w:rPr>
            </w:pPr>
          </w:p>
        </w:tc>
        <w:tc>
          <w:tcPr>
            <w:tcW w:w="0" w:type="auto"/>
          </w:tcPr>
          <w:p w14:paraId="0658F07C" w14:textId="77777777" w:rsidR="009A3C2D" w:rsidRPr="0082484A" w:rsidRDefault="009A3C2D" w:rsidP="00272145">
            <w:pPr>
              <w:jc w:val="center"/>
              <w:rPr>
                <w:sz w:val="22"/>
                <w:szCs w:val="22"/>
                <w:lang w:val="en-US"/>
              </w:rPr>
            </w:pPr>
            <w:r w:rsidRPr="0082484A">
              <w:rPr>
                <w:sz w:val="22"/>
                <w:szCs w:val="22"/>
                <w:lang w:val="en-US"/>
              </w:rPr>
              <w:t>Control</w:t>
            </w:r>
          </w:p>
        </w:tc>
        <w:tc>
          <w:tcPr>
            <w:tcW w:w="0" w:type="auto"/>
          </w:tcPr>
          <w:p w14:paraId="1D0E7740" w14:textId="77777777" w:rsidR="009A3C2D" w:rsidRPr="0082484A" w:rsidRDefault="009A3C2D" w:rsidP="00272145">
            <w:pPr>
              <w:jc w:val="center"/>
              <w:rPr>
                <w:sz w:val="22"/>
                <w:szCs w:val="22"/>
                <w:lang w:val="en-US"/>
              </w:rPr>
            </w:pPr>
            <w:r w:rsidRPr="0082484A">
              <w:rPr>
                <w:sz w:val="22"/>
                <w:szCs w:val="22"/>
                <w:lang w:val="en-US"/>
              </w:rPr>
              <w:t>Risky prescribing</w:t>
            </w:r>
          </w:p>
        </w:tc>
      </w:tr>
      <w:tr w:rsidR="009A3C2D" w:rsidRPr="0082484A" w14:paraId="068D7FA7" w14:textId="77777777" w:rsidTr="00272145">
        <w:trPr>
          <w:trHeight w:val="806"/>
        </w:trPr>
        <w:tc>
          <w:tcPr>
            <w:tcW w:w="0" w:type="auto"/>
          </w:tcPr>
          <w:p w14:paraId="0C7913F2" w14:textId="77777777" w:rsidR="009A3C2D" w:rsidRPr="0082484A" w:rsidRDefault="009A3C2D" w:rsidP="00272145">
            <w:pPr>
              <w:rPr>
                <w:sz w:val="22"/>
                <w:szCs w:val="22"/>
                <w:lang w:val="en-US"/>
              </w:rPr>
            </w:pPr>
            <w:r w:rsidRPr="0082484A">
              <w:rPr>
                <w:sz w:val="22"/>
                <w:szCs w:val="22"/>
                <w:lang w:val="en-US"/>
              </w:rPr>
              <w:t>Indicator 12_1: Prescribing a traditional oral NSAID or low-dose aspirin in patients with a history of peptic ulceration without co-prescription of gastro-protection</w:t>
            </w:r>
          </w:p>
        </w:tc>
        <w:tc>
          <w:tcPr>
            <w:tcW w:w="0" w:type="auto"/>
            <w:vAlign w:val="center"/>
          </w:tcPr>
          <w:p w14:paraId="1BFEF2C6" w14:textId="77777777" w:rsidR="009A3C2D" w:rsidRPr="0082484A" w:rsidRDefault="009A3C2D" w:rsidP="00272145">
            <w:pPr>
              <w:jc w:val="center"/>
              <w:rPr>
                <w:sz w:val="22"/>
                <w:szCs w:val="22"/>
                <w:lang w:val="en-US"/>
              </w:rPr>
            </w:pPr>
            <w:r w:rsidRPr="0082484A">
              <w:rPr>
                <w:sz w:val="22"/>
                <w:szCs w:val="22"/>
                <w:lang w:val="en-US"/>
              </w:rPr>
              <w:t>0.216</w:t>
            </w:r>
          </w:p>
        </w:tc>
        <w:tc>
          <w:tcPr>
            <w:tcW w:w="0" w:type="auto"/>
            <w:vAlign w:val="center"/>
          </w:tcPr>
          <w:p w14:paraId="1EB450D3" w14:textId="77777777" w:rsidR="009A3C2D" w:rsidRPr="0082484A" w:rsidRDefault="009A3C2D" w:rsidP="00272145">
            <w:pPr>
              <w:jc w:val="center"/>
              <w:rPr>
                <w:sz w:val="22"/>
                <w:szCs w:val="22"/>
                <w:lang w:val="en-US"/>
              </w:rPr>
            </w:pPr>
            <w:r w:rsidRPr="0082484A">
              <w:rPr>
                <w:sz w:val="22"/>
                <w:szCs w:val="22"/>
                <w:lang w:val="en-US"/>
              </w:rPr>
              <w:t>0.208</w:t>
            </w:r>
          </w:p>
        </w:tc>
      </w:tr>
      <w:tr w:rsidR="009A3C2D" w:rsidRPr="0082484A" w14:paraId="7C6B09F7" w14:textId="77777777" w:rsidTr="00272145">
        <w:trPr>
          <w:trHeight w:val="806"/>
        </w:trPr>
        <w:tc>
          <w:tcPr>
            <w:tcW w:w="0" w:type="auto"/>
          </w:tcPr>
          <w:p w14:paraId="7D66EAB4" w14:textId="77777777" w:rsidR="009A3C2D" w:rsidRPr="0082484A" w:rsidRDefault="009A3C2D" w:rsidP="00272145">
            <w:pPr>
              <w:rPr>
                <w:sz w:val="22"/>
                <w:szCs w:val="22"/>
                <w:lang w:val="en-US"/>
              </w:rPr>
            </w:pPr>
            <w:r w:rsidRPr="0082484A">
              <w:rPr>
                <w:sz w:val="22"/>
                <w:szCs w:val="22"/>
                <w:lang w:val="en-US"/>
              </w:rPr>
              <w:t>Indicator 12_11: Prescribing an oral NSAID in patients with chronic kidney disease</w:t>
            </w:r>
          </w:p>
        </w:tc>
        <w:tc>
          <w:tcPr>
            <w:tcW w:w="0" w:type="auto"/>
            <w:vAlign w:val="center"/>
          </w:tcPr>
          <w:p w14:paraId="7046EEB4" w14:textId="77777777" w:rsidR="009A3C2D" w:rsidRPr="0082484A" w:rsidRDefault="009A3C2D" w:rsidP="00272145">
            <w:pPr>
              <w:jc w:val="center"/>
              <w:rPr>
                <w:sz w:val="22"/>
                <w:szCs w:val="22"/>
                <w:lang w:val="en-US"/>
              </w:rPr>
            </w:pPr>
            <w:r w:rsidRPr="0082484A">
              <w:rPr>
                <w:sz w:val="22"/>
                <w:szCs w:val="22"/>
                <w:lang w:val="en-US"/>
              </w:rPr>
              <w:t>0.030</w:t>
            </w:r>
          </w:p>
        </w:tc>
        <w:tc>
          <w:tcPr>
            <w:tcW w:w="0" w:type="auto"/>
            <w:vAlign w:val="center"/>
          </w:tcPr>
          <w:p w14:paraId="6C405E35" w14:textId="77777777" w:rsidR="009A3C2D" w:rsidRPr="0082484A" w:rsidRDefault="009A3C2D" w:rsidP="00272145">
            <w:pPr>
              <w:jc w:val="center"/>
              <w:rPr>
                <w:sz w:val="22"/>
                <w:szCs w:val="22"/>
                <w:lang w:val="en-US"/>
              </w:rPr>
            </w:pPr>
            <w:r w:rsidRPr="0082484A">
              <w:rPr>
                <w:sz w:val="22"/>
                <w:szCs w:val="22"/>
                <w:lang w:val="en-US"/>
              </w:rPr>
              <w:t>0.027</w:t>
            </w:r>
          </w:p>
        </w:tc>
      </w:tr>
      <w:tr w:rsidR="009A3C2D" w:rsidRPr="0082484A" w14:paraId="33CDD3E5" w14:textId="77777777" w:rsidTr="00272145">
        <w:trPr>
          <w:trHeight w:val="806"/>
        </w:trPr>
        <w:tc>
          <w:tcPr>
            <w:tcW w:w="0" w:type="auto"/>
          </w:tcPr>
          <w:p w14:paraId="316A4C88" w14:textId="77777777" w:rsidR="009A3C2D" w:rsidRPr="0082484A" w:rsidRDefault="009A3C2D" w:rsidP="00272145">
            <w:pPr>
              <w:rPr>
                <w:sz w:val="22"/>
                <w:szCs w:val="22"/>
                <w:lang w:val="en-US"/>
              </w:rPr>
            </w:pPr>
            <w:r w:rsidRPr="0082484A">
              <w:rPr>
                <w:sz w:val="22"/>
                <w:szCs w:val="22"/>
                <w:lang w:val="en-US"/>
              </w:rPr>
              <w:t>Indicator 12_14: prescribing an oral NSAID in patients with heart failure</w:t>
            </w:r>
          </w:p>
        </w:tc>
        <w:tc>
          <w:tcPr>
            <w:tcW w:w="0" w:type="auto"/>
            <w:vAlign w:val="center"/>
          </w:tcPr>
          <w:p w14:paraId="5606C45D" w14:textId="77777777" w:rsidR="009A3C2D" w:rsidRPr="0082484A" w:rsidRDefault="009A3C2D" w:rsidP="00272145">
            <w:pPr>
              <w:jc w:val="center"/>
              <w:rPr>
                <w:sz w:val="22"/>
                <w:szCs w:val="22"/>
                <w:lang w:val="en-US"/>
              </w:rPr>
            </w:pPr>
            <w:r w:rsidRPr="0082484A">
              <w:rPr>
                <w:sz w:val="22"/>
                <w:szCs w:val="22"/>
                <w:lang w:val="en-US"/>
              </w:rPr>
              <w:t>0.021</w:t>
            </w:r>
          </w:p>
        </w:tc>
        <w:tc>
          <w:tcPr>
            <w:tcW w:w="0" w:type="auto"/>
            <w:vAlign w:val="center"/>
          </w:tcPr>
          <w:p w14:paraId="5CA7FE26" w14:textId="77777777" w:rsidR="009A3C2D" w:rsidRPr="0082484A" w:rsidRDefault="009A3C2D" w:rsidP="00272145">
            <w:pPr>
              <w:jc w:val="center"/>
              <w:rPr>
                <w:sz w:val="22"/>
                <w:szCs w:val="22"/>
                <w:lang w:val="en-US"/>
              </w:rPr>
            </w:pPr>
            <w:r w:rsidRPr="0082484A">
              <w:rPr>
                <w:sz w:val="22"/>
                <w:szCs w:val="22"/>
                <w:lang w:val="en-US"/>
              </w:rPr>
              <w:t>0.016</w:t>
            </w:r>
          </w:p>
        </w:tc>
      </w:tr>
      <w:tr w:rsidR="009A3C2D" w:rsidRPr="0082484A" w14:paraId="00B1F659" w14:textId="77777777" w:rsidTr="00272145">
        <w:trPr>
          <w:trHeight w:val="806"/>
        </w:trPr>
        <w:tc>
          <w:tcPr>
            <w:tcW w:w="0" w:type="auto"/>
          </w:tcPr>
          <w:p w14:paraId="7A46B4BB" w14:textId="77777777" w:rsidR="009A3C2D" w:rsidRPr="0082484A" w:rsidRDefault="009A3C2D" w:rsidP="00272145">
            <w:pPr>
              <w:rPr>
                <w:sz w:val="22"/>
                <w:szCs w:val="22"/>
                <w:lang w:val="en-US"/>
              </w:rPr>
            </w:pPr>
            <w:r w:rsidRPr="0082484A">
              <w:rPr>
                <w:sz w:val="22"/>
                <w:szCs w:val="22"/>
                <w:lang w:val="en-US"/>
              </w:rPr>
              <w:t>Indicator 12_2: Prescribing a traditional oral NSAID and aspirin in patients aged 75 years or over without co-prescription of gastro protection</w:t>
            </w:r>
          </w:p>
        </w:tc>
        <w:tc>
          <w:tcPr>
            <w:tcW w:w="0" w:type="auto"/>
            <w:vAlign w:val="center"/>
          </w:tcPr>
          <w:p w14:paraId="05906126" w14:textId="77777777" w:rsidR="009A3C2D" w:rsidRPr="0082484A" w:rsidRDefault="009A3C2D" w:rsidP="00272145">
            <w:pPr>
              <w:jc w:val="center"/>
              <w:rPr>
                <w:sz w:val="22"/>
                <w:szCs w:val="22"/>
                <w:lang w:val="en-US"/>
              </w:rPr>
            </w:pPr>
            <w:r w:rsidRPr="0082484A">
              <w:rPr>
                <w:sz w:val="22"/>
                <w:szCs w:val="22"/>
                <w:lang w:val="en-US"/>
              </w:rPr>
              <w:t>0.269</w:t>
            </w:r>
          </w:p>
        </w:tc>
        <w:tc>
          <w:tcPr>
            <w:tcW w:w="0" w:type="auto"/>
            <w:vAlign w:val="center"/>
          </w:tcPr>
          <w:p w14:paraId="0EEBA1FC" w14:textId="77777777" w:rsidR="009A3C2D" w:rsidRPr="0082484A" w:rsidRDefault="009A3C2D" w:rsidP="00272145">
            <w:pPr>
              <w:jc w:val="center"/>
              <w:rPr>
                <w:sz w:val="22"/>
                <w:szCs w:val="22"/>
                <w:lang w:val="en-US"/>
              </w:rPr>
            </w:pPr>
            <w:r w:rsidRPr="0082484A">
              <w:rPr>
                <w:sz w:val="22"/>
                <w:szCs w:val="22"/>
                <w:lang w:val="en-US"/>
              </w:rPr>
              <w:t>0.284</w:t>
            </w:r>
          </w:p>
        </w:tc>
      </w:tr>
      <w:tr w:rsidR="009A3C2D" w:rsidRPr="0082484A" w14:paraId="2DBCD240" w14:textId="77777777" w:rsidTr="00272145">
        <w:trPr>
          <w:trHeight w:val="806"/>
        </w:trPr>
        <w:tc>
          <w:tcPr>
            <w:tcW w:w="0" w:type="auto"/>
          </w:tcPr>
          <w:p w14:paraId="464477D8" w14:textId="77777777" w:rsidR="009A3C2D" w:rsidRPr="0082484A" w:rsidRDefault="009A3C2D" w:rsidP="00272145">
            <w:pPr>
              <w:rPr>
                <w:sz w:val="22"/>
                <w:szCs w:val="22"/>
                <w:lang w:val="en-US"/>
              </w:rPr>
            </w:pPr>
            <w:r w:rsidRPr="0082484A">
              <w:rPr>
                <w:sz w:val="22"/>
                <w:szCs w:val="22"/>
                <w:lang w:val="en-US"/>
              </w:rPr>
              <w:t>Indicator 12_3: Prescribing of a traditional oral NSAID and aspirin in patients aged 65 years or over without co-prescription of gastro-protection</w:t>
            </w:r>
          </w:p>
        </w:tc>
        <w:tc>
          <w:tcPr>
            <w:tcW w:w="0" w:type="auto"/>
            <w:vAlign w:val="center"/>
          </w:tcPr>
          <w:p w14:paraId="4BB66632" w14:textId="77777777" w:rsidR="009A3C2D" w:rsidRPr="0082484A" w:rsidRDefault="009A3C2D" w:rsidP="00272145">
            <w:pPr>
              <w:jc w:val="center"/>
              <w:rPr>
                <w:sz w:val="22"/>
                <w:szCs w:val="22"/>
                <w:lang w:val="en-US"/>
              </w:rPr>
            </w:pPr>
            <w:r w:rsidRPr="0082484A">
              <w:rPr>
                <w:sz w:val="22"/>
                <w:szCs w:val="22"/>
                <w:lang w:val="en-US"/>
              </w:rPr>
              <w:t>0.188</w:t>
            </w:r>
          </w:p>
        </w:tc>
        <w:tc>
          <w:tcPr>
            <w:tcW w:w="0" w:type="auto"/>
            <w:vAlign w:val="center"/>
          </w:tcPr>
          <w:p w14:paraId="2F7B7178" w14:textId="77777777" w:rsidR="009A3C2D" w:rsidRPr="0082484A" w:rsidRDefault="009A3C2D" w:rsidP="00272145">
            <w:pPr>
              <w:jc w:val="center"/>
              <w:rPr>
                <w:sz w:val="22"/>
                <w:szCs w:val="22"/>
                <w:lang w:val="en-US"/>
              </w:rPr>
            </w:pPr>
            <w:r w:rsidRPr="0082484A">
              <w:rPr>
                <w:sz w:val="22"/>
                <w:szCs w:val="22"/>
                <w:lang w:val="en-US"/>
              </w:rPr>
              <w:t>0.208</w:t>
            </w:r>
          </w:p>
        </w:tc>
      </w:tr>
      <w:tr w:rsidR="009A3C2D" w:rsidRPr="0082484A" w14:paraId="4C4E1C9E" w14:textId="77777777" w:rsidTr="00272145">
        <w:trPr>
          <w:trHeight w:val="806"/>
        </w:trPr>
        <w:tc>
          <w:tcPr>
            <w:tcW w:w="0" w:type="auto"/>
          </w:tcPr>
          <w:p w14:paraId="3FDAA9EE" w14:textId="77777777" w:rsidR="009A3C2D" w:rsidRPr="0082484A" w:rsidRDefault="009A3C2D" w:rsidP="00272145">
            <w:pPr>
              <w:rPr>
                <w:sz w:val="22"/>
                <w:szCs w:val="22"/>
                <w:lang w:val="en-US"/>
              </w:rPr>
            </w:pPr>
            <w:r w:rsidRPr="0082484A">
              <w:rPr>
                <w:sz w:val="22"/>
                <w:szCs w:val="22"/>
                <w:lang w:val="en-US"/>
              </w:rPr>
              <w:t>Indicator 12_4: Prescribing of aspirin and clopidogrel in patients aged 65 years of over without co-prescription of gastro-protection</w:t>
            </w:r>
          </w:p>
        </w:tc>
        <w:tc>
          <w:tcPr>
            <w:tcW w:w="0" w:type="auto"/>
            <w:vAlign w:val="center"/>
          </w:tcPr>
          <w:p w14:paraId="42B5F0A5" w14:textId="77777777" w:rsidR="009A3C2D" w:rsidRPr="0082484A" w:rsidRDefault="009A3C2D" w:rsidP="00272145">
            <w:pPr>
              <w:jc w:val="center"/>
              <w:rPr>
                <w:sz w:val="22"/>
                <w:szCs w:val="22"/>
                <w:lang w:val="en-US"/>
              </w:rPr>
            </w:pPr>
            <w:r w:rsidRPr="0082484A">
              <w:rPr>
                <w:sz w:val="22"/>
                <w:szCs w:val="22"/>
                <w:lang w:val="en-US"/>
              </w:rPr>
              <w:t>0.352</w:t>
            </w:r>
          </w:p>
        </w:tc>
        <w:tc>
          <w:tcPr>
            <w:tcW w:w="0" w:type="auto"/>
            <w:vAlign w:val="center"/>
          </w:tcPr>
          <w:p w14:paraId="58DDB3F8" w14:textId="77777777" w:rsidR="009A3C2D" w:rsidRPr="0082484A" w:rsidRDefault="009A3C2D" w:rsidP="00272145">
            <w:pPr>
              <w:jc w:val="center"/>
              <w:rPr>
                <w:sz w:val="22"/>
                <w:szCs w:val="22"/>
                <w:lang w:val="en-US"/>
              </w:rPr>
            </w:pPr>
            <w:r w:rsidRPr="0082484A">
              <w:rPr>
                <w:sz w:val="22"/>
                <w:szCs w:val="22"/>
                <w:lang w:val="en-US"/>
              </w:rPr>
              <w:t>0.253</w:t>
            </w:r>
          </w:p>
        </w:tc>
      </w:tr>
      <w:tr w:rsidR="009A3C2D" w:rsidRPr="0082484A" w14:paraId="2C1ACFC6" w14:textId="77777777" w:rsidTr="00272145">
        <w:trPr>
          <w:trHeight w:val="806"/>
        </w:trPr>
        <w:tc>
          <w:tcPr>
            <w:tcW w:w="0" w:type="auto"/>
          </w:tcPr>
          <w:p w14:paraId="6BACA5F9" w14:textId="77777777" w:rsidR="009A3C2D" w:rsidRPr="0082484A" w:rsidRDefault="009A3C2D" w:rsidP="00272145">
            <w:pPr>
              <w:rPr>
                <w:sz w:val="22"/>
                <w:szCs w:val="22"/>
                <w:lang w:val="en-US"/>
              </w:rPr>
            </w:pPr>
            <w:r w:rsidRPr="0082484A">
              <w:rPr>
                <w:sz w:val="22"/>
                <w:szCs w:val="22"/>
                <w:lang w:val="en-US"/>
              </w:rPr>
              <w:t>Indicator 12_5: prescribing of warfarin and a traditional oral NSAID</w:t>
            </w:r>
          </w:p>
        </w:tc>
        <w:tc>
          <w:tcPr>
            <w:tcW w:w="0" w:type="auto"/>
            <w:vAlign w:val="center"/>
          </w:tcPr>
          <w:p w14:paraId="596833B9" w14:textId="77777777" w:rsidR="009A3C2D" w:rsidRPr="0082484A" w:rsidRDefault="009A3C2D" w:rsidP="00272145">
            <w:pPr>
              <w:jc w:val="center"/>
              <w:rPr>
                <w:sz w:val="22"/>
                <w:szCs w:val="22"/>
                <w:lang w:val="en-US"/>
              </w:rPr>
            </w:pPr>
            <w:r w:rsidRPr="0082484A">
              <w:rPr>
                <w:sz w:val="22"/>
                <w:szCs w:val="22"/>
                <w:lang w:val="en-US"/>
              </w:rPr>
              <w:t>0.010</w:t>
            </w:r>
          </w:p>
        </w:tc>
        <w:tc>
          <w:tcPr>
            <w:tcW w:w="0" w:type="auto"/>
            <w:vAlign w:val="center"/>
          </w:tcPr>
          <w:p w14:paraId="0D951A33" w14:textId="77777777" w:rsidR="009A3C2D" w:rsidRPr="0082484A" w:rsidRDefault="009A3C2D" w:rsidP="00272145">
            <w:pPr>
              <w:jc w:val="center"/>
              <w:rPr>
                <w:sz w:val="22"/>
                <w:szCs w:val="22"/>
                <w:lang w:val="en-US"/>
              </w:rPr>
            </w:pPr>
            <w:r w:rsidRPr="0082484A">
              <w:rPr>
                <w:sz w:val="22"/>
                <w:szCs w:val="22"/>
                <w:lang w:val="en-US"/>
              </w:rPr>
              <w:t>0.009</w:t>
            </w:r>
          </w:p>
        </w:tc>
      </w:tr>
      <w:tr w:rsidR="009A3C2D" w:rsidRPr="0082484A" w14:paraId="407A67ED" w14:textId="77777777" w:rsidTr="00272145">
        <w:trPr>
          <w:trHeight w:val="806"/>
        </w:trPr>
        <w:tc>
          <w:tcPr>
            <w:tcW w:w="0" w:type="auto"/>
          </w:tcPr>
          <w:p w14:paraId="1BA1B014" w14:textId="77777777" w:rsidR="009A3C2D" w:rsidRPr="0082484A" w:rsidRDefault="009A3C2D" w:rsidP="00272145">
            <w:pPr>
              <w:rPr>
                <w:sz w:val="22"/>
                <w:szCs w:val="22"/>
                <w:lang w:val="en-US"/>
              </w:rPr>
            </w:pPr>
            <w:r w:rsidRPr="0082484A">
              <w:rPr>
                <w:sz w:val="22"/>
                <w:szCs w:val="22"/>
                <w:lang w:val="en-US"/>
              </w:rPr>
              <w:t>Indicator 12_7: Prescribing of warfarin and low-dose aspirin or clopidogrel without co-prescription of gastro-protection</w:t>
            </w:r>
          </w:p>
        </w:tc>
        <w:tc>
          <w:tcPr>
            <w:tcW w:w="0" w:type="auto"/>
            <w:vAlign w:val="center"/>
          </w:tcPr>
          <w:p w14:paraId="24ECBE3E" w14:textId="77777777" w:rsidR="009A3C2D" w:rsidRPr="0082484A" w:rsidRDefault="009A3C2D" w:rsidP="00272145">
            <w:pPr>
              <w:jc w:val="center"/>
              <w:rPr>
                <w:sz w:val="22"/>
                <w:szCs w:val="22"/>
                <w:lang w:val="en-US"/>
              </w:rPr>
            </w:pPr>
            <w:r w:rsidRPr="0082484A">
              <w:rPr>
                <w:sz w:val="22"/>
                <w:szCs w:val="22"/>
                <w:lang w:val="en-US"/>
              </w:rPr>
              <w:t>0.364</w:t>
            </w:r>
          </w:p>
        </w:tc>
        <w:tc>
          <w:tcPr>
            <w:tcW w:w="0" w:type="auto"/>
            <w:vAlign w:val="center"/>
          </w:tcPr>
          <w:p w14:paraId="294B153C" w14:textId="77777777" w:rsidR="009A3C2D" w:rsidRPr="0082484A" w:rsidRDefault="009A3C2D" w:rsidP="00272145">
            <w:pPr>
              <w:jc w:val="center"/>
              <w:rPr>
                <w:sz w:val="22"/>
                <w:szCs w:val="22"/>
                <w:lang w:val="en-US"/>
              </w:rPr>
            </w:pPr>
            <w:r w:rsidRPr="0082484A">
              <w:rPr>
                <w:sz w:val="22"/>
                <w:szCs w:val="22"/>
                <w:lang w:val="en-US"/>
              </w:rPr>
              <w:t>0.366</w:t>
            </w:r>
          </w:p>
        </w:tc>
      </w:tr>
    </w:tbl>
    <w:p w14:paraId="32F1D3BA" w14:textId="77777777" w:rsidR="009A3C2D" w:rsidRPr="0082484A" w:rsidRDefault="009A3C2D" w:rsidP="009A3C2D">
      <w:pPr>
        <w:rPr>
          <w:sz w:val="22"/>
          <w:szCs w:val="22"/>
          <w:lang w:val="en-US"/>
        </w:rPr>
      </w:pPr>
      <w:r w:rsidRPr="0082484A">
        <w:rPr>
          <w:sz w:val="22"/>
          <w:szCs w:val="22"/>
          <w:lang w:val="en-US"/>
        </w:rPr>
        <w:t>*Confidence intervals not shown</w:t>
      </w:r>
    </w:p>
    <w:p w14:paraId="02545E3E" w14:textId="77777777" w:rsidR="009A3C2D" w:rsidRPr="0082484A" w:rsidRDefault="009A3C2D" w:rsidP="009A3C2D">
      <w:pPr>
        <w:spacing w:after="200"/>
        <w:rPr>
          <w:sz w:val="22"/>
          <w:szCs w:val="22"/>
          <w:lang w:val="en-US"/>
        </w:rPr>
      </w:pPr>
      <w:r w:rsidRPr="0082484A">
        <w:rPr>
          <w:sz w:val="22"/>
          <w:szCs w:val="22"/>
          <w:lang w:val="en-US"/>
        </w:rPr>
        <w:br w:type="page"/>
      </w:r>
    </w:p>
    <w:p w14:paraId="729EC57C" w14:textId="6AC00281" w:rsidR="009A3C2D" w:rsidRPr="0082484A" w:rsidRDefault="009A3C2D" w:rsidP="009A3C2D">
      <w:pPr>
        <w:pStyle w:val="Caption"/>
        <w:rPr>
          <w:b w:val="0"/>
          <w:sz w:val="22"/>
          <w:szCs w:val="22"/>
        </w:rPr>
      </w:pPr>
      <w:bookmarkStart w:id="326" w:name="_Ref501109755"/>
      <w:bookmarkStart w:id="327" w:name="_Ref491336068"/>
      <w:bookmarkStart w:id="328" w:name="_Toc491341663"/>
      <w:bookmarkStart w:id="329" w:name="_Toc8728172"/>
      <w:bookmarkStart w:id="330" w:name="_Toc19526819"/>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90</w:t>
      </w:r>
      <w:r w:rsidRPr="0082484A">
        <w:rPr>
          <w:b w:val="0"/>
          <w:noProof/>
          <w:sz w:val="22"/>
          <w:szCs w:val="22"/>
        </w:rPr>
        <w:fldChar w:fldCharType="end"/>
      </w:r>
      <w:bookmarkEnd w:id="326"/>
      <w:r w:rsidRPr="0082484A">
        <w:rPr>
          <w:b w:val="0"/>
          <w:noProof/>
          <w:sz w:val="22"/>
          <w:szCs w:val="22"/>
        </w:rPr>
        <w:t>:</w:t>
      </w:r>
      <w:r w:rsidRPr="0082484A">
        <w:rPr>
          <w:b w:val="0"/>
          <w:sz w:val="22"/>
          <w:szCs w:val="22"/>
        </w:rPr>
        <w:t xml:space="preserve"> </w:t>
      </w:r>
      <w:bookmarkEnd w:id="327"/>
      <w:r w:rsidRPr="0082484A">
        <w:rPr>
          <w:b w:val="0"/>
          <w:sz w:val="22"/>
          <w:szCs w:val="22"/>
        </w:rPr>
        <w:t>Risky prescribing model - three month costs</w:t>
      </w:r>
      <w:bookmarkEnd w:id="328"/>
      <w:bookmarkEnd w:id="329"/>
      <w:bookmarkEnd w:id="330"/>
    </w:p>
    <w:tbl>
      <w:tblPr>
        <w:tblStyle w:val="TableGrid"/>
        <w:tblW w:w="0" w:type="auto"/>
        <w:tblLayout w:type="fixed"/>
        <w:tblLook w:val="04A0" w:firstRow="1" w:lastRow="0" w:firstColumn="1" w:lastColumn="0" w:noHBand="0" w:noVBand="1"/>
      </w:tblPr>
      <w:tblGrid>
        <w:gridCol w:w="3369"/>
        <w:gridCol w:w="1417"/>
        <w:gridCol w:w="2551"/>
      </w:tblGrid>
      <w:tr w:rsidR="009A3C2D" w:rsidRPr="0082484A" w14:paraId="2BAFE65D" w14:textId="77777777" w:rsidTr="00272145">
        <w:tc>
          <w:tcPr>
            <w:tcW w:w="3369" w:type="dxa"/>
          </w:tcPr>
          <w:p w14:paraId="500B26D9" w14:textId="77777777" w:rsidR="009A3C2D" w:rsidRPr="0082484A" w:rsidRDefault="009A3C2D" w:rsidP="00272145">
            <w:pPr>
              <w:jc w:val="center"/>
              <w:rPr>
                <w:sz w:val="22"/>
                <w:szCs w:val="22"/>
              </w:rPr>
            </w:pPr>
          </w:p>
        </w:tc>
        <w:tc>
          <w:tcPr>
            <w:tcW w:w="1417" w:type="dxa"/>
          </w:tcPr>
          <w:p w14:paraId="56DE35F6" w14:textId="77777777" w:rsidR="009A3C2D" w:rsidRPr="0082484A" w:rsidRDefault="009A3C2D" w:rsidP="00272145">
            <w:pPr>
              <w:jc w:val="center"/>
              <w:rPr>
                <w:sz w:val="22"/>
                <w:szCs w:val="22"/>
              </w:rPr>
            </w:pPr>
            <w:r w:rsidRPr="0082484A">
              <w:rPr>
                <w:sz w:val="22"/>
                <w:szCs w:val="22"/>
              </w:rPr>
              <w:t>Mean Cost*</w:t>
            </w:r>
          </w:p>
        </w:tc>
        <w:tc>
          <w:tcPr>
            <w:tcW w:w="2551" w:type="dxa"/>
          </w:tcPr>
          <w:p w14:paraId="25C9041F" w14:textId="77777777" w:rsidR="009A3C2D" w:rsidRPr="0082484A" w:rsidRDefault="009A3C2D" w:rsidP="00272145">
            <w:pPr>
              <w:jc w:val="center"/>
              <w:rPr>
                <w:sz w:val="22"/>
                <w:szCs w:val="22"/>
              </w:rPr>
            </w:pPr>
            <w:r w:rsidRPr="0082484A">
              <w:rPr>
                <w:sz w:val="22"/>
                <w:szCs w:val="22"/>
              </w:rPr>
              <w:t>Source</w:t>
            </w:r>
          </w:p>
        </w:tc>
      </w:tr>
      <w:tr w:rsidR="009A3C2D" w:rsidRPr="0082484A" w14:paraId="5929FE25" w14:textId="77777777" w:rsidTr="00272145">
        <w:tc>
          <w:tcPr>
            <w:tcW w:w="3369" w:type="dxa"/>
          </w:tcPr>
          <w:p w14:paraId="1625541B" w14:textId="77777777" w:rsidR="009A3C2D" w:rsidRPr="0082484A" w:rsidRDefault="009A3C2D" w:rsidP="00272145">
            <w:pPr>
              <w:rPr>
                <w:sz w:val="22"/>
                <w:szCs w:val="22"/>
              </w:rPr>
            </w:pPr>
            <w:r w:rsidRPr="0082484A">
              <w:rPr>
                <w:sz w:val="22"/>
                <w:szCs w:val="22"/>
              </w:rPr>
              <w:t>Medication costs per 3-month cycle (dose per day)</w:t>
            </w:r>
          </w:p>
        </w:tc>
        <w:tc>
          <w:tcPr>
            <w:tcW w:w="1417" w:type="dxa"/>
          </w:tcPr>
          <w:p w14:paraId="31184CE0" w14:textId="77777777" w:rsidR="009A3C2D" w:rsidRPr="0082484A" w:rsidRDefault="009A3C2D" w:rsidP="00272145">
            <w:pPr>
              <w:rPr>
                <w:color w:val="000000"/>
                <w:sz w:val="22"/>
                <w:szCs w:val="22"/>
              </w:rPr>
            </w:pPr>
          </w:p>
        </w:tc>
        <w:tc>
          <w:tcPr>
            <w:tcW w:w="2551" w:type="dxa"/>
            <w:vMerge w:val="restart"/>
          </w:tcPr>
          <w:p w14:paraId="0C4A08A4" w14:textId="77777777" w:rsidR="009A3C2D" w:rsidRPr="0082484A" w:rsidRDefault="009A3C2D" w:rsidP="00272145">
            <w:pPr>
              <w:rPr>
                <w:sz w:val="22"/>
                <w:szCs w:val="22"/>
                <w:highlight w:val="yellow"/>
              </w:rPr>
            </w:pPr>
          </w:p>
          <w:p w14:paraId="0F3A3833" w14:textId="77777777" w:rsidR="009A3C2D" w:rsidRPr="0082484A" w:rsidRDefault="009A3C2D" w:rsidP="00272145">
            <w:pPr>
              <w:rPr>
                <w:sz w:val="22"/>
                <w:szCs w:val="22"/>
                <w:highlight w:val="yellow"/>
              </w:rPr>
            </w:pPr>
          </w:p>
          <w:p w14:paraId="478AADFB" w14:textId="77777777" w:rsidR="009A3C2D" w:rsidRPr="0082484A" w:rsidRDefault="009A3C2D" w:rsidP="00272145">
            <w:pPr>
              <w:rPr>
                <w:sz w:val="22"/>
                <w:szCs w:val="22"/>
                <w:highlight w:val="yellow"/>
              </w:rPr>
            </w:pPr>
          </w:p>
          <w:p w14:paraId="2E414B87" w14:textId="2FE729D0" w:rsidR="009A3C2D" w:rsidRPr="0082484A" w:rsidRDefault="009A3C2D" w:rsidP="00272145">
            <w:pPr>
              <w:rPr>
                <w:sz w:val="22"/>
                <w:szCs w:val="22"/>
              </w:rPr>
            </w:pPr>
            <w:r w:rsidRPr="0082484A">
              <w:rPr>
                <w:sz w:val="22"/>
                <w:szCs w:val="22"/>
              </w:rPr>
              <w:t xml:space="preserve">Drug costs from BNF. AE costs from NICE CG177 </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Excellence&lt;/Author&gt;&lt;Year&gt;2014 &lt;/Year&gt;&lt;RecNum&gt;3304&lt;/RecNum&gt;&lt;DisplayText&gt;&lt;style face="superscript"&gt;1&lt;/style&gt;&lt;/DisplayText&gt;&lt;record&gt;&lt;rec-number&gt;3304&lt;/rec-number&gt;&lt;foreign-keys&gt;&lt;key app="EN" db-id="5srzarxr5dr9r5es2r7xst9lr9t2rewrpffr" timestamp="1516018832"&gt;3304&lt;/key&gt;&lt;/foreign-keys&gt;&lt;ref-type name="Report"&gt;27&lt;/ref-type&gt;&lt;contributors&gt;&lt;authors&gt;&lt;author&gt;National Institute for Health and Clinical Excellence,&lt;/author&gt;&lt;/authors&gt;&lt;/contributors&gt;&lt;titles&gt;&lt;title&gt;Osteoarthritis: care and management [CG177]&lt;/title&gt;&lt;/titles&gt;&lt;dates&gt;&lt;year&gt;2014 &lt;/year&gt;&lt;/dates&gt;&lt;pub-location&gt;London&lt;/pub-location&gt;&lt;urls&gt;&lt;/urls&gt;&lt;/record&gt;&lt;/Cite&gt;&lt;/EndNote&gt;</w:instrText>
            </w:r>
            <w:r w:rsidRPr="0082484A">
              <w:rPr>
                <w:sz w:val="22"/>
                <w:szCs w:val="22"/>
              </w:rPr>
              <w:fldChar w:fldCharType="separate"/>
            </w:r>
            <w:r w:rsidR="00952E85" w:rsidRPr="0082484A">
              <w:rPr>
                <w:noProof/>
                <w:sz w:val="22"/>
                <w:szCs w:val="22"/>
                <w:vertAlign w:val="superscript"/>
              </w:rPr>
              <w:t>1</w:t>
            </w:r>
            <w:r w:rsidRPr="0082484A">
              <w:rPr>
                <w:sz w:val="22"/>
                <w:szCs w:val="22"/>
              </w:rPr>
              <w:fldChar w:fldCharType="end"/>
            </w:r>
          </w:p>
          <w:p w14:paraId="19FB4F9D" w14:textId="77777777" w:rsidR="009A3C2D" w:rsidRPr="0082484A" w:rsidRDefault="009A3C2D" w:rsidP="00272145">
            <w:pPr>
              <w:rPr>
                <w:sz w:val="22"/>
                <w:szCs w:val="22"/>
              </w:rPr>
            </w:pPr>
            <w:r w:rsidRPr="0082484A">
              <w:rPr>
                <w:sz w:val="22"/>
                <w:szCs w:val="22"/>
              </w:rPr>
              <w:t>inflated to 2017 prices</w:t>
            </w:r>
          </w:p>
        </w:tc>
      </w:tr>
      <w:tr w:rsidR="009A3C2D" w:rsidRPr="0082484A" w14:paraId="4379AF90" w14:textId="77777777" w:rsidTr="00272145">
        <w:tc>
          <w:tcPr>
            <w:tcW w:w="3369" w:type="dxa"/>
          </w:tcPr>
          <w:p w14:paraId="3B07AF8D" w14:textId="77777777" w:rsidR="009A3C2D" w:rsidRPr="0082484A" w:rsidRDefault="009A3C2D" w:rsidP="00272145">
            <w:pPr>
              <w:jc w:val="right"/>
              <w:rPr>
                <w:sz w:val="22"/>
                <w:szCs w:val="22"/>
              </w:rPr>
            </w:pPr>
            <w:r w:rsidRPr="0082484A">
              <w:rPr>
                <w:sz w:val="22"/>
                <w:szCs w:val="22"/>
              </w:rPr>
              <w:t>Gastro protector (PPI)</w:t>
            </w:r>
          </w:p>
        </w:tc>
        <w:tc>
          <w:tcPr>
            <w:tcW w:w="1417" w:type="dxa"/>
            <w:vAlign w:val="center"/>
          </w:tcPr>
          <w:p w14:paraId="30E69375" w14:textId="77777777" w:rsidR="009A3C2D" w:rsidRPr="0082484A" w:rsidRDefault="009A3C2D" w:rsidP="00272145">
            <w:pPr>
              <w:jc w:val="right"/>
              <w:rPr>
                <w:color w:val="000000"/>
                <w:sz w:val="22"/>
                <w:szCs w:val="22"/>
              </w:rPr>
            </w:pPr>
            <w:r w:rsidRPr="0082484A">
              <w:rPr>
                <w:color w:val="000000"/>
                <w:sz w:val="22"/>
                <w:szCs w:val="22"/>
              </w:rPr>
              <w:t>£14.84</w:t>
            </w:r>
          </w:p>
        </w:tc>
        <w:tc>
          <w:tcPr>
            <w:tcW w:w="2551" w:type="dxa"/>
            <w:vMerge/>
          </w:tcPr>
          <w:p w14:paraId="18B3C42D" w14:textId="77777777" w:rsidR="009A3C2D" w:rsidRPr="0082484A" w:rsidRDefault="009A3C2D" w:rsidP="00272145">
            <w:pPr>
              <w:rPr>
                <w:sz w:val="22"/>
                <w:szCs w:val="22"/>
                <w:highlight w:val="yellow"/>
              </w:rPr>
            </w:pPr>
          </w:p>
        </w:tc>
      </w:tr>
      <w:tr w:rsidR="009A3C2D" w:rsidRPr="0082484A" w14:paraId="71E9F313" w14:textId="77777777" w:rsidTr="00272145">
        <w:tc>
          <w:tcPr>
            <w:tcW w:w="3369" w:type="dxa"/>
          </w:tcPr>
          <w:p w14:paraId="2E511083" w14:textId="77777777" w:rsidR="009A3C2D" w:rsidRPr="0082484A" w:rsidRDefault="009A3C2D" w:rsidP="00272145">
            <w:pPr>
              <w:jc w:val="right"/>
              <w:rPr>
                <w:sz w:val="22"/>
                <w:szCs w:val="22"/>
              </w:rPr>
            </w:pPr>
            <w:r w:rsidRPr="0082484A">
              <w:rPr>
                <w:sz w:val="22"/>
                <w:szCs w:val="22"/>
              </w:rPr>
              <w:t>Paracetamol (3000mg)</w:t>
            </w:r>
          </w:p>
        </w:tc>
        <w:tc>
          <w:tcPr>
            <w:tcW w:w="1417" w:type="dxa"/>
            <w:vAlign w:val="center"/>
          </w:tcPr>
          <w:p w14:paraId="76F34C53" w14:textId="77777777" w:rsidR="009A3C2D" w:rsidRPr="0082484A" w:rsidRDefault="009A3C2D" w:rsidP="00272145">
            <w:pPr>
              <w:jc w:val="right"/>
              <w:rPr>
                <w:color w:val="000000"/>
                <w:sz w:val="22"/>
                <w:szCs w:val="22"/>
              </w:rPr>
            </w:pPr>
            <w:r w:rsidRPr="0082484A">
              <w:rPr>
                <w:color w:val="000000"/>
                <w:sz w:val="22"/>
                <w:szCs w:val="22"/>
              </w:rPr>
              <w:t>£10.64</w:t>
            </w:r>
          </w:p>
        </w:tc>
        <w:tc>
          <w:tcPr>
            <w:tcW w:w="2551" w:type="dxa"/>
            <w:vMerge/>
          </w:tcPr>
          <w:p w14:paraId="6EC40B14" w14:textId="77777777" w:rsidR="009A3C2D" w:rsidRPr="0082484A" w:rsidRDefault="009A3C2D" w:rsidP="00272145">
            <w:pPr>
              <w:rPr>
                <w:sz w:val="22"/>
                <w:szCs w:val="22"/>
                <w:highlight w:val="yellow"/>
              </w:rPr>
            </w:pPr>
          </w:p>
        </w:tc>
      </w:tr>
      <w:tr w:rsidR="009A3C2D" w:rsidRPr="0082484A" w14:paraId="12D230AD" w14:textId="77777777" w:rsidTr="00272145">
        <w:tc>
          <w:tcPr>
            <w:tcW w:w="3369" w:type="dxa"/>
          </w:tcPr>
          <w:p w14:paraId="371F2700" w14:textId="77777777" w:rsidR="009A3C2D" w:rsidRPr="0082484A" w:rsidRDefault="009A3C2D" w:rsidP="00272145">
            <w:pPr>
              <w:jc w:val="right"/>
              <w:rPr>
                <w:sz w:val="22"/>
                <w:szCs w:val="22"/>
              </w:rPr>
            </w:pPr>
            <w:r w:rsidRPr="0082484A">
              <w:rPr>
                <w:sz w:val="22"/>
                <w:szCs w:val="22"/>
              </w:rPr>
              <w:t>Diclofenac (100mg)</w:t>
            </w:r>
          </w:p>
        </w:tc>
        <w:tc>
          <w:tcPr>
            <w:tcW w:w="1417" w:type="dxa"/>
            <w:vAlign w:val="center"/>
          </w:tcPr>
          <w:p w14:paraId="4127F1A8" w14:textId="77777777" w:rsidR="009A3C2D" w:rsidRPr="0082484A" w:rsidRDefault="009A3C2D" w:rsidP="00272145">
            <w:pPr>
              <w:jc w:val="right"/>
              <w:rPr>
                <w:color w:val="000000"/>
                <w:sz w:val="22"/>
                <w:szCs w:val="22"/>
              </w:rPr>
            </w:pPr>
            <w:r w:rsidRPr="0082484A">
              <w:rPr>
                <w:color w:val="000000"/>
                <w:sz w:val="22"/>
                <w:szCs w:val="22"/>
              </w:rPr>
              <w:t>£4.35</w:t>
            </w:r>
          </w:p>
        </w:tc>
        <w:tc>
          <w:tcPr>
            <w:tcW w:w="2551" w:type="dxa"/>
            <w:vMerge/>
          </w:tcPr>
          <w:p w14:paraId="346E9EE3" w14:textId="77777777" w:rsidR="009A3C2D" w:rsidRPr="0082484A" w:rsidRDefault="009A3C2D" w:rsidP="00272145">
            <w:pPr>
              <w:rPr>
                <w:sz w:val="22"/>
                <w:szCs w:val="22"/>
                <w:highlight w:val="yellow"/>
              </w:rPr>
            </w:pPr>
          </w:p>
        </w:tc>
      </w:tr>
      <w:tr w:rsidR="009A3C2D" w:rsidRPr="0082484A" w14:paraId="4F9D09DA" w14:textId="77777777" w:rsidTr="00272145">
        <w:tc>
          <w:tcPr>
            <w:tcW w:w="3369" w:type="dxa"/>
          </w:tcPr>
          <w:p w14:paraId="24A217E5" w14:textId="77777777" w:rsidR="009A3C2D" w:rsidRPr="0082484A" w:rsidRDefault="009A3C2D" w:rsidP="00272145">
            <w:pPr>
              <w:jc w:val="right"/>
              <w:rPr>
                <w:sz w:val="22"/>
                <w:szCs w:val="22"/>
              </w:rPr>
            </w:pPr>
            <w:r w:rsidRPr="0082484A">
              <w:rPr>
                <w:sz w:val="22"/>
                <w:szCs w:val="22"/>
              </w:rPr>
              <w:t>Naproxen (750mg)</w:t>
            </w:r>
          </w:p>
        </w:tc>
        <w:tc>
          <w:tcPr>
            <w:tcW w:w="1417" w:type="dxa"/>
            <w:vAlign w:val="center"/>
          </w:tcPr>
          <w:p w14:paraId="797B64C2" w14:textId="77777777" w:rsidR="009A3C2D" w:rsidRPr="0082484A" w:rsidRDefault="009A3C2D" w:rsidP="00272145">
            <w:pPr>
              <w:jc w:val="right"/>
              <w:rPr>
                <w:color w:val="000000"/>
                <w:sz w:val="22"/>
                <w:szCs w:val="22"/>
              </w:rPr>
            </w:pPr>
            <w:r w:rsidRPr="0082484A">
              <w:rPr>
                <w:color w:val="000000"/>
                <w:sz w:val="22"/>
                <w:szCs w:val="22"/>
              </w:rPr>
              <w:t>£8.58</w:t>
            </w:r>
          </w:p>
        </w:tc>
        <w:tc>
          <w:tcPr>
            <w:tcW w:w="2551" w:type="dxa"/>
            <w:vMerge/>
          </w:tcPr>
          <w:p w14:paraId="0DD56C01" w14:textId="77777777" w:rsidR="009A3C2D" w:rsidRPr="0082484A" w:rsidRDefault="009A3C2D" w:rsidP="00272145">
            <w:pPr>
              <w:rPr>
                <w:sz w:val="22"/>
                <w:szCs w:val="22"/>
                <w:highlight w:val="yellow"/>
              </w:rPr>
            </w:pPr>
          </w:p>
        </w:tc>
      </w:tr>
      <w:tr w:rsidR="009A3C2D" w:rsidRPr="0082484A" w14:paraId="7D36092F" w14:textId="77777777" w:rsidTr="00272145">
        <w:tc>
          <w:tcPr>
            <w:tcW w:w="3369" w:type="dxa"/>
          </w:tcPr>
          <w:p w14:paraId="568FBF78" w14:textId="77777777" w:rsidR="009A3C2D" w:rsidRPr="0082484A" w:rsidRDefault="009A3C2D" w:rsidP="00272145">
            <w:pPr>
              <w:jc w:val="right"/>
              <w:rPr>
                <w:sz w:val="22"/>
                <w:szCs w:val="22"/>
              </w:rPr>
            </w:pPr>
            <w:r w:rsidRPr="0082484A">
              <w:rPr>
                <w:sz w:val="22"/>
                <w:szCs w:val="22"/>
              </w:rPr>
              <w:t>Ibuprofen (1200mg)</w:t>
            </w:r>
          </w:p>
        </w:tc>
        <w:tc>
          <w:tcPr>
            <w:tcW w:w="1417" w:type="dxa"/>
            <w:vAlign w:val="center"/>
          </w:tcPr>
          <w:p w14:paraId="63B13F2D" w14:textId="77777777" w:rsidR="009A3C2D" w:rsidRPr="0082484A" w:rsidRDefault="009A3C2D" w:rsidP="00272145">
            <w:pPr>
              <w:jc w:val="right"/>
              <w:rPr>
                <w:color w:val="000000"/>
                <w:sz w:val="22"/>
                <w:szCs w:val="22"/>
              </w:rPr>
            </w:pPr>
            <w:r w:rsidRPr="0082484A">
              <w:rPr>
                <w:color w:val="000000"/>
                <w:sz w:val="22"/>
                <w:szCs w:val="22"/>
              </w:rPr>
              <w:t>£8.01</w:t>
            </w:r>
          </w:p>
        </w:tc>
        <w:tc>
          <w:tcPr>
            <w:tcW w:w="2551" w:type="dxa"/>
            <w:vMerge/>
          </w:tcPr>
          <w:p w14:paraId="21D1805C" w14:textId="77777777" w:rsidR="009A3C2D" w:rsidRPr="0082484A" w:rsidRDefault="009A3C2D" w:rsidP="00272145">
            <w:pPr>
              <w:rPr>
                <w:sz w:val="22"/>
                <w:szCs w:val="22"/>
                <w:highlight w:val="yellow"/>
              </w:rPr>
            </w:pPr>
          </w:p>
        </w:tc>
      </w:tr>
      <w:tr w:rsidR="009A3C2D" w:rsidRPr="0082484A" w14:paraId="4D7F1CC4" w14:textId="77777777" w:rsidTr="00272145">
        <w:tc>
          <w:tcPr>
            <w:tcW w:w="3369" w:type="dxa"/>
          </w:tcPr>
          <w:p w14:paraId="1D0B4005" w14:textId="77777777" w:rsidR="009A3C2D" w:rsidRPr="0082484A" w:rsidRDefault="009A3C2D" w:rsidP="00272145">
            <w:pPr>
              <w:rPr>
                <w:sz w:val="22"/>
                <w:szCs w:val="22"/>
              </w:rPr>
            </w:pPr>
            <w:r w:rsidRPr="0082484A">
              <w:rPr>
                <w:sz w:val="22"/>
                <w:szCs w:val="22"/>
              </w:rPr>
              <w:t>Adverse event costs</w:t>
            </w:r>
          </w:p>
        </w:tc>
        <w:tc>
          <w:tcPr>
            <w:tcW w:w="1417" w:type="dxa"/>
          </w:tcPr>
          <w:p w14:paraId="53A3C1AD" w14:textId="77777777" w:rsidR="009A3C2D" w:rsidRPr="0082484A" w:rsidRDefault="009A3C2D" w:rsidP="00272145">
            <w:pPr>
              <w:jc w:val="right"/>
              <w:rPr>
                <w:color w:val="000000"/>
                <w:sz w:val="22"/>
                <w:szCs w:val="22"/>
              </w:rPr>
            </w:pPr>
          </w:p>
        </w:tc>
        <w:tc>
          <w:tcPr>
            <w:tcW w:w="2551" w:type="dxa"/>
            <w:vMerge/>
          </w:tcPr>
          <w:p w14:paraId="4C49FD16" w14:textId="77777777" w:rsidR="009A3C2D" w:rsidRPr="0082484A" w:rsidRDefault="009A3C2D" w:rsidP="00272145">
            <w:pPr>
              <w:rPr>
                <w:sz w:val="22"/>
                <w:szCs w:val="22"/>
                <w:highlight w:val="yellow"/>
              </w:rPr>
            </w:pPr>
          </w:p>
        </w:tc>
      </w:tr>
      <w:tr w:rsidR="009A3C2D" w:rsidRPr="0082484A" w14:paraId="1203983B" w14:textId="77777777" w:rsidTr="00272145">
        <w:tc>
          <w:tcPr>
            <w:tcW w:w="3369" w:type="dxa"/>
          </w:tcPr>
          <w:p w14:paraId="207F7B00" w14:textId="77777777" w:rsidR="009A3C2D" w:rsidRPr="0082484A" w:rsidRDefault="009A3C2D" w:rsidP="00272145">
            <w:pPr>
              <w:jc w:val="right"/>
              <w:rPr>
                <w:sz w:val="22"/>
                <w:szCs w:val="22"/>
              </w:rPr>
            </w:pPr>
            <w:r w:rsidRPr="0082484A">
              <w:rPr>
                <w:sz w:val="22"/>
                <w:szCs w:val="22"/>
              </w:rPr>
              <w:t>Dyspepsia</w:t>
            </w:r>
          </w:p>
        </w:tc>
        <w:tc>
          <w:tcPr>
            <w:tcW w:w="1417" w:type="dxa"/>
          </w:tcPr>
          <w:p w14:paraId="559E62C6" w14:textId="77777777" w:rsidR="009A3C2D" w:rsidRPr="0082484A" w:rsidRDefault="009A3C2D" w:rsidP="00272145">
            <w:pPr>
              <w:jc w:val="right"/>
              <w:rPr>
                <w:sz w:val="22"/>
                <w:szCs w:val="22"/>
              </w:rPr>
            </w:pPr>
            <w:r w:rsidRPr="0082484A">
              <w:rPr>
                <w:sz w:val="22"/>
                <w:szCs w:val="22"/>
              </w:rPr>
              <w:t>£45.00</w:t>
            </w:r>
          </w:p>
        </w:tc>
        <w:tc>
          <w:tcPr>
            <w:tcW w:w="2551" w:type="dxa"/>
            <w:vMerge/>
          </w:tcPr>
          <w:p w14:paraId="3840337A" w14:textId="77777777" w:rsidR="009A3C2D" w:rsidRPr="0082484A" w:rsidRDefault="009A3C2D" w:rsidP="00272145">
            <w:pPr>
              <w:rPr>
                <w:sz w:val="22"/>
                <w:szCs w:val="22"/>
              </w:rPr>
            </w:pPr>
          </w:p>
        </w:tc>
      </w:tr>
      <w:tr w:rsidR="009A3C2D" w:rsidRPr="0082484A" w14:paraId="0602C6C8" w14:textId="77777777" w:rsidTr="00272145">
        <w:tc>
          <w:tcPr>
            <w:tcW w:w="3369" w:type="dxa"/>
          </w:tcPr>
          <w:p w14:paraId="2EF3B8CC" w14:textId="77777777" w:rsidR="009A3C2D" w:rsidRPr="0082484A" w:rsidRDefault="009A3C2D" w:rsidP="00272145">
            <w:pPr>
              <w:jc w:val="right"/>
              <w:rPr>
                <w:sz w:val="22"/>
                <w:szCs w:val="22"/>
              </w:rPr>
            </w:pPr>
            <w:r w:rsidRPr="0082484A">
              <w:rPr>
                <w:sz w:val="22"/>
                <w:szCs w:val="22"/>
              </w:rPr>
              <w:t>Symptomatic ulcer</w:t>
            </w:r>
          </w:p>
        </w:tc>
        <w:tc>
          <w:tcPr>
            <w:tcW w:w="1417" w:type="dxa"/>
          </w:tcPr>
          <w:p w14:paraId="570527C6" w14:textId="77777777" w:rsidR="009A3C2D" w:rsidRPr="0082484A" w:rsidRDefault="009A3C2D" w:rsidP="00272145">
            <w:pPr>
              <w:jc w:val="right"/>
              <w:rPr>
                <w:sz w:val="22"/>
                <w:szCs w:val="22"/>
              </w:rPr>
            </w:pPr>
            <w:r w:rsidRPr="0082484A">
              <w:rPr>
                <w:sz w:val="22"/>
                <w:szCs w:val="22"/>
              </w:rPr>
              <w:t>£689.00</w:t>
            </w:r>
          </w:p>
        </w:tc>
        <w:tc>
          <w:tcPr>
            <w:tcW w:w="2551" w:type="dxa"/>
            <w:vMerge/>
          </w:tcPr>
          <w:p w14:paraId="7BD3C393" w14:textId="77777777" w:rsidR="009A3C2D" w:rsidRPr="0082484A" w:rsidRDefault="009A3C2D" w:rsidP="00272145">
            <w:pPr>
              <w:rPr>
                <w:sz w:val="22"/>
                <w:szCs w:val="22"/>
              </w:rPr>
            </w:pPr>
          </w:p>
        </w:tc>
      </w:tr>
      <w:tr w:rsidR="009A3C2D" w:rsidRPr="0082484A" w14:paraId="209D311B" w14:textId="77777777" w:rsidTr="00272145">
        <w:tc>
          <w:tcPr>
            <w:tcW w:w="3369" w:type="dxa"/>
          </w:tcPr>
          <w:p w14:paraId="33909B2F" w14:textId="77777777" w:rsidR="009A3C2D" w:rsidRPr="0082484A" w:rsidRDefault="009A3C2D" w:rsidP="00272145">
            <w:pPr>
              <w:jc w:val="right"/>
              <w:rPr>
                <w:sz w:val="22"/>
                <w:szCs w:val="22"/>
              </w:rPr>
            </w:pPr>
            <w:r w:rsidRPr="0082484A">
              <w:rPr>
                <w:sz w:val="22"/>
                <w:szCs w:val="22"/>
              </w:rPr>
              <w:t>Complicated GI</w:t>
            </w:r>
          </w:p>
        </w:tc>
        <w:tc>
          <w:tcPr>
            <w:tcW w:w="1417" w:type="dxa"/>
          </w:tcPr>
          <w:p w14:paraId="4D9E1A36" w14:textId="77777777" w:rsidR="009A3C2D" w:rsidRPr="0082484A" w:rsidRDefault="009A3C2D" w:rsidP="00272145">
            <w:pPr>
              <w:jc w:val="right"/>
              <w:rPr>
                <w:sz w:val="22"/>
                <w:szCs w:val="22"/>
              </w:rPr>
            </w:pPr>
            <w:r w:rsidRPr="0082484A">
              <w:rPr>
                <w:sz w:val="22"/>
                <w:szCs w:val="22"/>
              </w:rPr>
              <w:t>£3075.00</w:t>
            </w:r>
          </w:p>
        </w:tc>
        <w:tc>
          <w:tcPr>
            <w:tcW w:w="2551" w:type="dxa"/>
            <w:vMerge/>
          </w:tcPr>
          <w:p w14:paraId="4560760A" w14:textId="77777777" w:rsidR="009A3C2D" w:rsidRPr="0082484A" w:rsidRDefault="009A3C2D" w:rsidP="00272145">
            <w:pPr>
              <w:rPr>
                <w:sz w:val="22"/>
                <w:szCs w:val="22"/>
              </w:rPr>
            </w:pPr>
          </w:p>
        </w:tc>
      </w:tr>
      <w:tr w:rsidR="009A3C2D" w:rsidRPr="0082484A" w14:paraId="5238C51E" w14:textId="77777777" w:rsidTr="00272145">
        <w:tc>
          <w:tcPr>
            <w:tcW w:w="3369" w:type="dxa"/>
          </w:tcPr>
          <w:p w14:paraId="4971999F" w14:textId="77777777" w:rsidR="009A3C2D" w:rsidRPr="0082484A" w:rsidRDefault="009A3C2D" w:rsidP="00272145">
            <w:pPr>
              <w:jc w:val="right"/>
              <w:rPr>
                <w:sz w:val="22"/>
                <w:szCs w:val="22"/>
              </w:rPr>
            </w:pPr>
            <w:r w:rsidRPr="0082484A">
              <w:rPr>
                <w:sz w:val="22"/>
                <w:szCs w:val="22"/>
              </w:rPr>
              <w:t>MI</w:t>
            </w:r>
          </w:p>
        </w:tc>
        <w:tc>
          <w:tcPr>
            <w:tcW w:w="1417" w:type="dxa"/>
          </w:tcPr>
          <w:p w14:paraId="261F472C" w14:textId="77777777" w:rsidR="009A3C2D" w:rsidRPr="0082484A" w:rsidRDefault="009A3C2D" w:rsidP="00272145">
            <w:pPr>
              <w:jc w:val="right"/>
              <w:rPr>
                <w:sz w:val="22"/>
                <w:szCs w:val="22"/>
              </w:rPr>
            </w:pPr>
            <w:r w:rsidRPr="0082484A">
              <w:rPr>
                <w:sz w:val="22"/>
                <w:szCs w:val="22"/>
              </w:rPr>
              <w:t>£1542.00</w:t>
            </w:r>
          </w:p>
        </w:tc>
        <w:tc>
          <w:tcPr>
            <w:tcW w:w="2551" w:type="dxa"/>
            <w:vMerge/>
          </w:tcPr>
          <w:p w14:paraId="18FA37BB" w14:textId="77777777" w:rsidR="009A3C2D" w:rsidRPr="0082484A" w:rsidRDefault="009A3C2D" w:rsidP="00272145">
            <w:pPr>
              <w:rPr>
                <w:sz w:val="22"/>
                <w:szCs w:val="22"/>
              </w:rPr>
            </w:pPr>
          </w:p>
        </w:tc>
      </w:tr>
      <w:tr w:rsidR="009A3C2D" w:rsidRPr="0082484A" w14:paraId="70F172C7" w14:textId="77777777" w:rsidTr="00272145">
        <w:tc>
          <w:tcPr>
            <w:tcW w:w="3369" w:type="dxa"/>
          </w:tcPr>
          <w:p w14:paraId="66EEF4FA" w14:textId="77777777" w:rsidR="009A3C2D" w:rsidRPr="0082484A" w:rsidRDefault="009A3C2D" w:rsidP="00272145">
            <w:pPr>
              <w:jc w:val="right"/>
              <w:rPr>
                <w:sz w:val="22"/>
                <w:szCs w:val="22"/>
              </w:rPr>
            </w:pPr>
            <w:r w:rsidRPr="0082484A">
              <w:rPr>
                <w:sz w:val="22"/>
                <w:szCs w:val="22"/>
              </w:rPr>
              <w:t>Stroke</w:t>
            </w:r>
          </w:p>
        </w:tc>
        <w:tc>
          <w:tcPr>
            <w:tcW w:w="1417" w:type="dxa"/>
          </w:tcPr>
          <w:p w14:paraId="7838F5EE" w14:textId="77777777" w:rsidR="009A3C2D" w:rsidRPr="0082484A" w:rsidRDefault="009A3C2D" w:rsidP="00272145">
            <w:pPr>
              <w:jc w:val="right"/>
              <w:rPr>
                <w:sz w:val="22"/>
                <w:szCs w:val="22"/>
              </w:rPr>
            </w:pPr>
            <w:r w:rsidRPr="0082484A">
              <w:rPr>
                <w:sz w:val="22"/>
                <w:szCs w:val="22"/>
              </w:rPr>
              <w:t>£2434.00</w:t>
            </w:r>
          </w:p>
        </w:tc>
        <w:tc>
          <w:tcPr>
            <w:tcW w:w="2551" w:type="dxa"/>
            <w:vMerge/>
          </w:tcPr>
          <w:p w14:paraId="3C3FA6DE" w14:textId="77777777" w:rsidR="009A3C2D" w:rsidRPr="0082484A" w:rsidRDefault="009A3C2D" w:rsidP="00272145">
            <w:pPr>
              <w:rPr>
                <w:sz w:val="22"/>
                <w:szCs w:val="22"/>
              </w:rPr>
            </w:pPr>
          </w:p>
        </w:tc>
      </w:tr>
      <w:tr w:rsidR="009A3C2D" w:rsidRPr="0082484A" w14:paraId="078A8A66" w14:textId="77777777" w:rsidTr="00272145">
        <w:tc>
          <w:tcPr>
            <w:tcW w:w="3369" w:type="dxa"/>
          </w:tcPr>
          <w:p w14:paraId="79CD3E37" w14:textId="77777777" w:rsidR="009A3C2D" w:rsidRPr="0082484A" w:rsidRDefault="009A3C2D" w:rsidP="00272145">
            <w:pPr>
              <w:jc w:val="right"/>
              <w:rPr>
                <w:sz w:val="22"/>
                <w:szCs w:val="22"/>
              </w:rPr>
            </w:pPr>
            <w:r w:rsidRPr="0082484A">
              <w:rPr>
                <w:sz w:val="22"/>
                <w:szCs w:val="22"/>
              </w:rPr>
              <w:t>HF</w:t>
            </w:r>
          </w:p>
        </w:tc>
        <w:tc>
          <w:tcPr>
            <w:tcW w:w="1417" w:type="dxa"/>
          </w:tcPr>
          <w:p w14:paraId="51D8C2FC" w14:textId="77777777" w:rsidR="009A3C2D" w:rsidRPr="0082484A" w:rsidRDefault="009A3C2D" w:rsidP="00272145">
            <w:pPr>
              <w:jc w:val="right"/>
              <w:rPr>
                <w:sz w:val="22"/>
                <w:szCs w:val="22"/>
              </w:rPr>
            </w:pPr>
            <w:r w:rsidRPr="0082484A">
              <w:rPr>
                <w:sz w:val="22"/>
                <w:szCs w:val="22"/>
              </w:rPr>
              <w:t>£1,900.00</w:t>
            </w:r>
          </w:p>
        </w:tc>
        <w:tc>
          <w:tcPr>
            <w:tcW w:w="2551" w:type="dxa"/>
            <w:vMerge/>
          </w:tcPr>
          <w:p w14:paraId="03BD12E5" w14:textId="77777777" w:rsidR="009A3C2D" w:rsidRPr="0082484A" w:rsidRDefault="009A3C2D" w:rsidP="00272145">
            <w:pPr>
              <w:rPr>
                <w:sz w:val="22"/>
                <w:szCs w:val="22"/>
              </w:rPr>
            </w:pPr>
          </w:p>
        </w:tc>
      </w:tr>
      <w:tr w:rsidR="009A3C2D" w:rsidRPr="0082484A" w14:paraId="40E9A145" w14:textId="77777777" w:rsidTr="00272145">
        <w:tc>
          <w:tcPr>
            <w:tcW w:w="3369" w:type="dxa"/>
          </w:tcPr>
          <w:p w14:paraId="68EC2F2A" w14:textId="77777777" w:rsidR="009A3C2D" w:rsidRPr="0082484A" w:rsidRDefault="009A3C2D" w:rsidP="00272145">
            <w:pPr>
              <w:jc w:val="right"/>
              <w:rPr>
                <w:sz w:val="22"/>
                <w:szCs w:val="22"/>
              </w:rPr>
            </w:pPr>
            <w:r w:rsidRPr="0082484A">
              <w:rPr>
                <w:sz w:val="22"/>
                <w:szCs w:val="22"/>
              </w:rPr>
              <w:t>Post symptomatic ulcer</w:t>
            </w:r>
          </w:p>
        </w:tc>
        <w:tc>
          <w:tcPr>
            <w:tcW w:w="1417" w:type="dxa"/>
          </w:tcPr>
          <w:p w14:paraId="47DA3C5E" w14:textId="77777777" w:rsidR="009A3C2D" w:rsidRPr="0082484A" w:rsidRDefault="009A3C2D" w:rsidP="00272145">
            <w:pPr>
              <w:jc w:val="right"/>
              <w:rPr>
                <w:sz w:val="22"/>
                <w:szCs w:val="22"/>
              </w:rPr>
            </w:pPr>
            <w:r w:rsidRPr="0082484A">
              <w:rPr>
                <w:sz w:val="22"/>
                <w:szCs w:val="22"/>
              </w:rPr>
              <w:t>£20.00</w:t>
            </w:r>
          </w:p>
        </w:tc>
        <w:tc>
          <w:tcPr>
            <w:tcW w:w="2551" w:type="dxa"/>
            <w:vMerge/>
          </w:tcPr>
          <w:p w14:paraId="1A4AC163" w14:textId="77777777" w:rsidR="009A3C2D" w:rsidRPr="0082484A" w:rsidRDefault="009A3C2D" w:rsidP="00272145">
            <w:pPr>
              <w:rPr>
                <w:sz w:val="22"/>
                <w:szCs w:val="22"/>
              </w:rPr>
            </w:pPr>
          </w:p>
        </w:tc>
      </w:tr>
      <w:tr w:rsidR="009A3C2D" w:rsidRPr="0082484A" w14:paraId="76529B90" w14:textId="77777777" w:rsidTr="00272145">
        <w:tc>
          <w:tcPr>
            <w:tcW w:w="3369" w:type="dxa"/>
          </w:tcPr>
          <w:p w14:paraId="5DDCB7A5" w14:textId="77777777" w:rsidR="009A3C2D" w:rsidRPr="0082484A" w:rsidRDefault="009A3C2D" w:rsidP="00272145">
            <w:pPr>
              <w:jc w:val="right"/>
              <w:rPr>
                <w:sz w:val="22"/>
                <w:szCs w:val="22"/>
              </w:rPr>
            </w:pPr>
            <w:r w:rsidRPr="0082484A">
              <w:rPr>
                <w:sz w:val="22"/>
                <w:szCs w:val="22"/>
              </w:rPr>
              <w:t>Post complicated GI</w:t>
            </w:r>
          </w:p>
        </w:tc>
        <w:tc>
          <w:tcPr>
            <w:tcW w:w="1417" w:type="dxa"/>
          </w:tcPr>
          <w:p w14:paraId="777E1E23" w14:textId="77777777" w:rsidR="009A3C2D" w:rsidRPr="0082484A" w:rsidRDefault="009A3C2D" w:rsidP="00272145">
            <w:pPr>
              <w:jc w:val="right"/>
              <w:rPr>
                <w:sz w:val="22"/>
                <w:szCs w:val="22"/>
              </w:rPr>
            </w:pPr>
            <w:r w:rsidRPr="0082484A">
              <w:rPr>
                <w:sz w:val="22"/>
                <w:szCs w:val="22"/>
              </w:rPr>
              <w:t>£20.00</w:t>
            </w:r>
          </w:p>
        </w:tc>
        <w:tc>
          <w:tcPr>
            <w:tcW w:w="2551" w:type="dxa"/>
            <w:vMerge/>
          </w:tcPr>
          <w:p w14:paraId="3C5725D1" w14:textId="77777777" w:rsidR="009A3C2D" w:rsidRPr="0082484A" w:rsidRDefault="009A3C2D" w:rsidP="00272145">
            <w:pPr>
              <w:rPr>
                <w:sz w:val="22"/>
                <w:szCs w:val="22"/>
              </w:rPr>
            </w:pPr>
          </w:p>
        </w:tc>
      </w:tr>
      <w:tr w:rsidR="009A3C2D" w:rsidRPr="0082484A" w14:paraId="43D88497" w14:textId="77777777" w:rsidTr="00272145">
        <w:tc>
          <w:tcPr>
            <w:tcW w:w="3369" w:type="dxa"/>
          </w:tcPr>
          <w:p w14:paraId="5A26DEF1" w14:textId="77777777" w:rsidR="009A3C2D" w:rsidRPr="0082484A" w:rsidRDefault="009A3C2D" w:rsidP="00272145">
            <w:pPr>
              <w:jc w:val="right"/>
              <w:rPr>
                <w:sz w:val="22"/>
                <w:szCs w:val="22"/>
              </w:rPr>
            </w:pPr>
            <w:r w:rsidRPr="0082484A">
              <w:rPr>
                <w:sz w:val="22"/>
                <w:szCs w:val="22"/>
              </w:rPr>
              <w:t>Post MI</w:t>
            </w:r>
          </w:p>
        </w:tc>
        <w:tc>
          <w:tcPr>
            <w:tcW w:w="1417" w:type="dxa"/>
          </w:tcPr>
          <w:p w14:paraId="2043B8AA" w14:textId="77777777" w:rsidR="009A3C2D" w:rsidRPr="0082484A" w:rsidRDefault="009A3C2D" w:rsidP="00272145">
            <w:pPr>
              <w:jc w:val="right"/>
              <w:rPr>
                <w:sz w:val="22"/>
                <w:szCs w:val="22"/>
              </w:rPr>
            </w:pPr>
            <w:r w:rsidRPr="0082484A">
              <w:rPr>
                <w:sz w:val="22"/>
                <w:szCs w:val="22"/>
              </w:rPr>
              <w:t>£144.00</w:t>
            </w:r>
          </w:p>
        </w:tc>
        <w:tc>
          <w:tcPr>
            <w:tcW w:w="2551" w:type="dxa"/>
            <w:vMerge/>
          </w:tcPr>
          <w:p w14:paraId="611027EC" w14:textId="77777777" w:rsidR="009A3C2D" w:rsidRPr="0082484A" w:rsidRDefault="009A3C2D" w:rsidP="00272145">
            <w:pPr>
              <w:rPr>
                <w:sz w:val="22"/>
                <w:szCs w:val="22"/>
              </w:rPr>
            </w:pPr>
          </w:p>
        </w:tc>
      </w:tr>
      <w:tr w:rsidR="009A3C2D" w:rsidRPr="0082484A" w14:paraId="38C3DF3C" w14:textId="77777777" w:rsidTr="00272145">
        <w:tc>
          <w:tcPr>
            <w:tcW w:w="3369" w:type="dxa"/>
          </w:tcPr>
          <w:p w14:paraId="6463785C" w14:textId="77777777" w:rsidR="009A3C2D" w:rsidRPr="0082484A" w:rsidRDefault="009A3C2D" w:rsidP="00272145">
            <w:pPr>
              <w:jc w:val="right"/>
              <w:rPr>
                <w:sz w:val="22"/>
                <w:szCs w:val="22"/>
              </w:rPr>
            </w:pPr>
            <w:r w:rsidRPr="0082484A">
              <w:rPr>
                <w:sz w:val="22"/>
                <w:szCs w:val="22"/>
              </w:rPr>
              <w:t>Post stroke</w:t>
            </w:r>
          </w:p>
        </w:tc>
        <w:tc>
          <w:tcPr>
            <w:tcW w:w="1417" w:type="dxa"/>
          </w:tcPr>
          <w:p w14:paraId="570D43A7" w14:textId="77777777" w:rsidR="009A3C2D" w:rsidRPr="0082484A" w:rsidRDefault="009A3C2D" w:rsidP="00272145">
            <w:pPr>
              <w:jc w:val="right"/>
              <w:rPr>
                <w:sz w:val="22"/>
                <w:szCs w:val="22"/>
              </w:rPr>
            </w:pPr>
            <w:r w:rsidRPr="0082484A">
              <w:rPr>
                <w:sz w:val="22"/>
                <w:szCs w:val="22"/>
              </w:rPr>
              <w:t>£467.00</w:t>
            </w:r>
          </w:p>
        </w:tc>
        <w:tc>
          <w:tcPr>
            <w:tcW w:w="2551" w:type="dxa"/>
            <w:vMerge/>
          </w:tcPr>
          <w:p w14:paraId="32E93C87" w14:textId="77777777" w:rsidR="009A3C2D" w:rsidRPr="0082484A" w:rsidRDefault="009A3C2D" w:rsidP="00272145">
            <w:pPr>
              <w:rPr>
                <w:sz w:val="22"/>
                <w:szCs w:val="22"/>
              </w:rPr>
            </w:pPr>
          </w:p>
        </w:tc>
      </w:tr>
      <w:tr w:rsidR="009A3C2D" w:rsidRPr="0082484A" w14:paraId="73275316" w14:textId="77777777" w:rsidTr="00272145">
        <w:tc>
          <w:tcPr>
            <w:tcW w:w="3369" w:type="dxa"/>
          </w:tcPr>
          <w:p w14:paraId="4D57D29E" w14:textId="77777777" w:rsidR="009A3C2D" w:rsidRPr="0082484A" w:rsidRDefault="009A3C2D" w:rsidP="00272145">
            <w:pPr>
              <w:jc w:val="right"/>
              <w:rPr>
                <w:sz w:val="22"/>
                <w:szCs w:val="22"/>
              </w:rPr>
            </w:pPr>
            <w:r w:rsidRPr="0082484A">
              <w:rPr>
                <w:sz w:val="22"/>
                <w:szCs w:val="22"/>
              </w:rPr>
              <w:t>Post HF</w:t>
            </w:r>
          </w:p>
        </w:tc>
        <w:tc>
          <w:tcPr>
            <w:tcW w:w="1417" w:type="dxa"/>
          </w:tcPr>
          <w:p w14:paraId="3D37DEBA" w14:textId="77777777" w:rsidR="009A3C2D" w:rsidRPr="0082484A" w:rsidRDefault="009A3C2D" w:rsidP="00272145">
            <w:pPr>
              <w:jc w:val="right"/>
              <w:rPr>
                <w:sz w:val="22"/>
                <w:szCs w:val="22"/>
              </w:rPr>
            </w:pPr>
            <w:r w:rsidRPr="0082484A">
              <w:rPr>
                <w:color w:val="000000"/>
                <w:sz w:val="22"/>
                <w:szCs w:val="22"/>
              </w:rPr>
              <w:t>£144.00</w:t>
            </w:r>
          </w:p>
        </w:tc>
        <w:tc>
          <w:tcPr>
            <w:tcW w:w="2551" w:type="dxa"/>
            <w:vMerge/>
          </w:tcPr>
          <w:p w14:paraId="23684B8E" w14:textId="77777777" w:rsidR="009A3C2D" w:rsidRPr="0082484A" w:rsidRDefault="009A3C2D" w:rsidP="00272145">
            <w:pPr>
              <w:rPr>
                <w:sz w:val="22"/>
                <w:szCs w:val="22"/>
              </w:rPr>
            </w:pPr>
          </w:p>
        </w:tc>
      </w:tr>
    </w:tbl>
    <w:p w14:paraId="46AB5E4A" w14:textId="77777777" w:rsidR="009A3C2D" w:rsidRPr="0082484A" w:rsidRDefault="009A3C2D" w:rsidP="009A3C2D">
      <w:pPr>
        <w:rPr>
          <w:sz w:val="22"/>
          <w:szCs w:val="22"/>
        </w:rPr>
      </w:pPr>
      <w:r w:rsidRPr="0082484A">
        <w:rPr>
          <w:sz w:val="22"/>
          <w:szCs w:val="22"/>
        </w:rPr>
        <w:t xml:space="preserve">*A variation of +/- 10% around mean estimates was applied in probabilistic evaluation. </w:t>
      </w:r>
    </w:p>
    <w:p w14:paraId="374D1AEB" w14:textId="77777777" w:rsidR="009A3C2D" w:rsidRPr="0082484A" w:rsidRDefault="009A3C2D" w:rsidP="009A3C2D">
      <w:pPr>
        <w:rPr>
          <w:sz w:val="22"/>
          <w:szCs w:val="22"/>
        </w:rPr>
      </w:pPr>
    </w:p>
    <w:p w14:paraId="471E87F4" w14:textId="77777777" w:rsidR="001D1443" w:rsidRPr="0082484A" w:rsidRDefault="001D1443">
      <w:pPr>
        <w:spacing w:before="0" w:after="200"/>
        <w:rPr>
          <w:bCs/>
          <w:sz w:val="22"/>
          <w:szCs w:val="22"/>
        </w:rPr>
      </w:pPr>
      <w:bookmarkStart w:id="331" w:name="_Ref491076452"/>
      <w:bookmarkStart w:id="332" w:name="_Toc491341664"/>
      <w:bookmarkStart w:id="333" w:name="_Toc8728173"/>
      <w:r w:rsidRPr="0082484A">
        <w:rPr>
          <w:b/>
          <w:sz w:val="22"/>
          <w:szCs w:val="22"/>
        </w:rPr>
        <w:br w:type="page"/>
      </w:r>
    </w:p>
    <w:p w14:paraId="240E81A3" w14:textId="632D00AD" w:rsidR="009A3C2D" w:rsidRPr="0082484A" w:rsidRDefault="009A3C2D" w:rsidP="009A3C2D">
      <w:pPr>
        <w:pStyle w:val="Caption"/>
        <w:rPr>
          <w:b w:val="0"/>
          <w:sz w:val="22"/>
          <w:szCs w:val="22"/>
        </w:rPr>
      </w:pPr>
      <w:bookmarkStart w:id="334" w:name="_Toc19526820"/>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91</w:t>
      </w:r>
      <w:r w:rsidRPr="0082484A">
        <w:rPr>
          <w:b w:val="0"/>
          <w:noProof/>
          <w:sz w:val="22"/>
          <w:szCs w:val="22"/>
        </w:rPr>
        <w:fldChar w:fldCharType="end"/>
      </w:r>
      <w:r w:rsidRPr="0082484A">
        <w:rPr>
          <w:b w:val="0"/>
          <w:sz w:val="22"/>
          <w:szCs w:val="22"/>
        </w:rPr>
        <w:t>:</w:t>
      </w:r>
      <w:bookmarkEnd w:id="331"/>
      <w:r w:rsidRPr="0082484A">
        <w:rPr>
          <w:b w:val="0"/>
          <w:sz w:val="22"/>
          <w:szCs w:val="22"/>
        </w:rPr>
        <w:t xml:space="preserve"> Risky prescribing model – Utility parameter multipliers</w:t>
      </w:r>
      <w:bookmarkEnd w:id="332"/>
      <w:bookmarkEnd w:id="333"/>
      <w:bookmarkEnd w:id="334"/>
    </w:p>
    <w:tbl>
      <w:tblPr>
        <w:tblStyle w:val="TableGrid"/>
        <w:tblW w:w="0" w:type="auto"/>
        <w:tblLook w:val="04A0" w:firstRow="1" w:lastRow="0" w:firstColumn="1" w:lastColumn="0" w:noHBand="0" w:noVBand="1"/>
      </w:tblPr>
      <w:tblGrid>
        <w:gridCol w:w="2776"/>
        <w:gridCol w:w="1595"/>
        <w:gridCol w:w="3199"/>
      </w:tblGrid>
      <w:tr w:rsidR="009A3C2D" w:rsidRPr="0082484A" w14:paraId="5B7798F6" w14:textId="77777777" w:rsidTr="00272145">
        <w:tc>
          <w:tcPr>
            <w:tcW w:w="2776" w:type="dxa"/>
          </w:tcPr>
          <w:p w14:paraId="5B902301" w14:textId="77777777" w:rsidR="009A3C2D" w:rsidRPr="0082484A" w:rsidRDefault="009A3C2D" w:rsidP="00272145">
            <w:pPr>
              <w:jc w:val="center"/>
              <w:rPr>
                <w:sz w:val="22"/>
                <w:szCs w:val="22"/>
              </w:rPr>
            </w:pPr>
            <w:r w:rsidRPr="0082484A">
              <w:rPr>
                <w:sz w:val="22"/>
                <w:szCs w:val="22"/>
              </w:rPr>
              <w:t>Adverse event</w:t>
            </w:r>
          </w:p>
          <w:p w14:paraId="439BC092" w14:textId="77777777" w:rsidR="009A3C2D" w:rsidRPr="0082484A" w:rsidRDefault="009A3C2D" w:rsidP="00272145">
            <w:pPr>
              <w:jc w:val="center"/>
              <w:rPr>
                <w:sz w:val="22"/>
                <w:szCs w:val="22"/>
              </w:rPr>
            </w:pPr>
          </w:p>
        </w:tc>
        <w:tc>
          <w:tcPr>
            <w:tcW w:w="1595" w:type="dxa"/>
          </w:tcPr>
          <w:p w14:paraId="49376766" w14:textId="77777777" w:rsidR="009A3C2D" w:rsidRPr="0082484A" w:rsidRDefault="009A3C2D" w:rsidP="00272145">
            <w:pPr>
              <w:jc w:val="center"/>
              <w:rPr>
                <w:sz w:val="22"/>
                <w:szCs w:val="22"/>
              </w:rPr>
            </w:pPr>
            <w:r w:rsidRPr="0082484A">
              <w:rPr>
                <w:sz w:val="22"/>
                <w:szCs w:val="22"/>
              </w:rPr>
              <w:t>Utility multiplier</w:t>
            </w:r>
          </w:p>
        </w:tc>
        <w:tc>
          <w:tcPr>
            <w:tcW w:w="3199" w:type="dxa"/>
          </w:tcPr>
          <w:p w14:paraId="6D867D08" w14:textId="77777777" w:rsidR="009A3C2D" w:rsidRPr="0082484A" w:rsidRDefault="009A3C2D" w:rsidP="00272145">
            <w:pPr>
              <w:jc w:val="center"/>
              <w:rPr>
                <w:sz w:val="22"/>
                <w:szCs w:val="22"/>
              </w:rPr>
            </w:pPr>
            <w:r w:rsidRPr="0082484A">
              <w:rPr>
                <w:sz w:val="22"/>
                <w:szCs w:val="22"/>
              </w:rPr>
              <w:t>Source</w:t>
            </w:r>
          </w:p>
        </w:tc>
      </w:tr>
      <w:tr w:rsidR="009A3C2D" w:rsidRPr="0082484A" w14:paraId="0B330044" w14:textId="77777777" w:rsidTr="00272145">
        <w:tc>
          <w:tcPr>
            <w:tcW w:w="2776" w:type="dxa"/>
          </w:tcPr>
          <w:p w14:paraId="1633F55A" w14:textId="77777777" w:rsidR="009A3C2D" w:rsidRPr="0082484A" w:rsidRDefault="009A3C2D" w:rsidP="00272145">
            <w:pPr>
              <w:rPr>
                <w:sz w:val="22"/>
                <w:szCs w:val="22"/>
              </w:rPr>
            </w:pPr>
            <w:r w:rsidRPr="0082484A">
              <w:rPr>
                <w:sz w:val="22"/>
                <w:szCs w:val="22"/>
              </w:rPr>
              <w:t>Dyspepsia</w:t>
            </w:r>
          </w:p>
        </w:tc>
        <w:tc>
          <w:tcPr>
            <w:tcW w:w="1595" w:type="dxa"/>
          </w:tcPr>
          <w:p w14:paraId="62584B52" w14:textId="77777777" w:rsidR="009A3C2D" w:rsidRPr="0082484A" w:rsidRDefault="009A3C2D" w:rsidP="00272145">
            <w:pPr>
              <w:jc w:val="right"/>
              <w:rPr>
                <w:sz w:val="22"/>
                <w:szCs w:val="22"/>
              </w:rPr>
            </w:pPr>
            <w:r w:rsidRPr="0082484A">
              <w:rPr>
                <w:sz w:val="22"/>
                <w:szCs w:val="22"/>
              </w:rPr>
              <w:t>0.73</w:t>
            </w:r>
          </w:p>
        </w:tc>
        <w:tc>
          <w:tcPr>
            <w:tcW w:w="3199" w:type="dxa"/>
          </w:tcPr>
          <w:p w14:paraId="704E6985" w14:textId="3CCFD4B9" w:rsidR="009A3C2D" w:rsidRPr="0082484A" w:rsidRDefault="009A3C2D" w:rsidP="00952E85">
            <w:pPr>
              <w:rPr>
                <w:sz w:val="22"/>
                <w:szCs w:val="22"/>
              </w:rPr>
            </w:pPr>
            <w:r w:rsidRPr="0082484A">
              <w:rPr>
                <w:sz w:val="22"/>
                <w:szCs w:val="22"/>
              </w:rPr>
              <w:t>All CG177</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Excellence&lt;/Author&gt;&lt;Year&gt;2014 &lt;/Year&gt;&lt;RecNum&gt;3304&lt;/RecNum&gt;&lt;DisplayText&gt;&lt;style face="superscript"&gt;1&lt;/style&gt;&lt;/DisplayText&gt;&lt;record&gt;&lt;rec-number&gt;3304&lt;/rec-number&gt;&lt;foreign-keys&gt;&lt;key app="EN" db-id="5srzarxr5dr9r5es2r7xst9lr9t2rewrpffr" timestamp="1516018832"&gt;3304&lt;/key&gt;&lt;/foreign-keys&gt;&lt;ref-type name="Report"&gt;27&lt;/ref-type&gt;&lt;contributors&gt;&lt;authors&gt;&lt;author&gt;National Institute for Health and Clinical Excellence,&lt;/author&gt;&lt;/authors&gt;&lt;/contributors&gt;&lt;titles&gt;&lt;title&gt;Osteoarthritis: care and management [CG177]&lt;/title&gt;&lt;/titles&gt;&lt;dates&gt;&lt;year&gt;2014 &lt;/year&gt;&lt;/dates&gt;&lt;pub-location&gt;London&lt;/pub-location&gt;&lt;urls&gt;&lt;/urls&gt;&lt;/record&gt;&lt;/Cite&gt;&lt;/EndNote&gt;</w:instrText>
            </w:r>
            <w:r w:rsidRPr="0082484A">
              <w:rPr>
                <w:sz w:val="22"/>
                <w:szCs w:val="22"/>
              </w:rPr>
              <w:fldChar w:fldCharType="separate"/>
            </w:r>
            <w:r w:rsidR="00952E85" w:rsidRPr="0082484A">
              <w:rPr>
                <w:noProof/>
                <w:sz w:val="22"/>
                <w:szCs w:val="22"/>
                <w:vertAlign w:val="superscript"/>
              </w:rPr>
              <w:t>1</w:t>
            </w:r>
            <w:r w:rsidRPr="0082484A">
              <w:rPr>
                <w:sz w:val="22"/>
                <w:szCs w:val="22"/>
              </w:rPr>
              <w:fldChar w:fldCharType="end"/>
            </w:r>
          </w:p>
        </w:tc>
      </w:tr>
      <w:tr w:rsidR="009A3C2D" w:rsidRPr="0082484A" w14:paraId="5C222BDA" w14:textId="77777777" w:rsidTr="00272145">
        <w:tc>
          <w:tcPr>
            <w:tcW w:w="2776" w:type="dxa"/>
          </w:tcPr>
          <w:p w14:paraId="3E9DE860" w14:textId="77777777" w:rsidR="009A3C2D" w:rsidRPr="0082484A" w:rsidRDefault="009A3C2D" w:rsidP="00272145">
            <w:pPr>
              <w:rPr>
                <w:sz w:val="22"/>
                <w:szCs w:val="22"/>
              </w:rPr>
            </w:pPr>
            <w:r w:rsidRPr="0082484A">
              <w:rPr>
                <w:sz w:val="22"/>
                <w:szCs w:val="22"/>
              </w:rPr>
              <w:t>Symptomatic ulcer</w:t>
            </w:r>
          </w:p>
        </w:tc>
        <w:tc>
          <w:tcPr>
            <w:tcW w:w="1595" w:type="dxa"/>
          </w:tcPr>
          <w:p w14:paraId="4AE88324" w14:textId="77777777" w:rsidR="009A3C2D" w:rsidRPr="0082484A" w:rsidRDefault="009A3C2D" w:rsidP="00272145">
            <w:pPr>
              <w:jc w:val="right"/>
              <w:rPr>
                <w:sz w:val="22"/>
                <w:szCs w:val="22"/>
              </w:rPr>
            </w:pPr>
            <w:r w:rsidRPr="0082484A">
              <w:rPr>
                <w:sz w:val="22"/>
                <w:szCs w:val="22"/>
              </w:rPr>
              <w:t>0.55</w:t>
            </w:r>
          </w:p>
        </w:tc>
        <w:tc>
          <w:tcPr>
            <w:tcW w:w="3199" w:type="dxa"/>
          </w:tcPr>
          <w:p w14:paraId="54FBD4DE" w14:textId="77777777" w:rsidR="009A3C2D" w:rsidRPr="0082484A" w:rsidRDefault="009A3C2D" w:rsidP="00272145">
            <w:pPr>
              <w:rPr>
                <w:sz w:val="22"/>
                <w:szCs w:val="22"/>
              </w:rPr>
            </w:pPr>
          </w:p>
        </w:tc>
      </w:tr>
      <w:tr w:rsidR="009A3C2D" w:rsidRPr="0082484A" w14:paraId="16BBEAE0" w14:textId="77777777" w:rsidTr="00272145">
        <w:tc>
          <w:tcPr>
            <w:tcW w:w="2776" w:type="dxa"/>
          </w:tcPr>
          <w:p w14:paraId="25F936EB" w14:textId="77777777" w:rsidR="009A3C2D" w:rsidRPr="0082484A" w:rsidRDefault="009A3C2D" w:rsidP="00272145">
            <w:pPr>
              <w:rPr>
                <w:sz w:val="22"/>
                <w:szCs w:val="22"/>
              </w:rPr>
            </w:pPr>
            <w:r w:rsidRPr="0082484A">
              <w:rPr>
                <w:sz w:val="22"/>
                <w:szCs w:val="22"/>
              </w:rPr>
              <w:t>Complicated GI</w:t>
            </w:r>
          </w:p>
        </w:tc>
        <w:tc>
          <w:tcPr>
            <w:tcW w:w="1595" w:type="dxa"/>
          </w:tcPr>
          <w:p w14:paraId="64BC9E59" w14:textId="77777777" w:rsidR="009A3C2D" w:rsidRPr="0082484A" w:rsidRDefault="009A3C2D" w:rsidP="00272145">
            <w:pPr>
              <w:jc w:val="right"/>
              <w:rPr>
                <w:sz w:val="22"/>
                <w:szCs w:val="22"/>
              </w:rPr>
            </w:pPr>
            <w:r w:rsidRPr="0082484A">
              <w:rPr>
                <w:sz w:val="22"/>
                <w:szCs w:val="22"/>
              </w:rPr>
              <w:t>0.46</w:t>
            </w:r>
          </w:p>
        </w:tc>
        <w:tc>
          <w:tcPr>
            <w:tcW w:w="3199" w:type="dxa"/>
          </w:tcPr>
          <w:p w14:paraId="3313B963" w14:textId="77777777" w:rsidR="009A3C2D" w:rsidRPr="0082484A" w:rsidRDefault="009A3C2D" w:rsidP="00272145">
            <w:pPr>
              <w:rPr>
                <w:sz w:val="22"/>
                <w:szCs w:val="22"/>
              </w:rPr>
            </w:pPr>
          </w:p>
        </w:tc>
      </w:tr>
      <w:tr w:rsidR="009A3C2D" w:rsidRPr="0082484A" w14:paraId="326D21C4" w14:textId="77777777" w:rsidTr="00272145">
        <w:tc>
          <w:tcPr>
            <w:tcW w:w="2776" w:type="dxa"/>
          </w:tcPr>
          <w:p w14:paraId="422E5A08" w14:textId="77777777" w:rsidR="009A3C2D" w:rsidRPr="0082484A" w:rsidRDefault="009A3C2D" w:rsidP="00272145">
            <w:pPr>
              <w:rPr>
                <w:sz w:val="22"/>
                <w:szCs w:val="22"/>
              </w:rPr>
            </w:pPr>
            <w:r w:rsidRPr="0082484A">
              <w:rPr>
                <w:sz w:val="22"/>
                <w:szCs w:val="22"/>
              </w:rPr>
              <w:t>MI</w:t>
            </w:r>
          </w:p>
        </w:tc>
        <w:tc>
          <w:tcPr>
            <w:tcW w:w="1595" w:type="dxa"/>
          </w:tcPr>
          <w:p w14:paraId="0740C9C3" w14:textId="77777777" w:rsidR="009A3C2D" w:rsidRPr="0082484A" w:rsidRDefault="009A3C2D" w:rsidP="00272145">
            <w:pPr>
              <w:jc w:val="right"/>
              <w:rPr>
                <w:sz w:val="22"/>
                <w:szCs w:val="22"/>
              </w:rPr>
            </w:pPr>
            <w:r w:rsidRPr="0082484A">
              <w:rPr>
                <w:sz w:val="22"/>
                <w:szCs w:val="22"/>
              </w:rPr>
              <w:t>0.37</w:t>
            </w:r>
          </w:p>
        </w:tc>
        <w:tc>
          <w:tcPr>
            <w:tcW w:w="3199" w:type="dxa"/>
          </w:tcPr>
          <w:p w14:paraId="5B89040C" w14:textId="77777777" w:rsidR="009A3C2D" w:rsidRPr="0082484A" w:rsidRDefault="009A3C2D" w:rsidP="00272145">
            <w:pPr>
              <w:rPr>
                <w:sz w:val="22"/>
                <w:szCs w:val="22"/>
              </w:rPr>
            </w:pPr>
          </w:p>
        </w:tc>
      </w:tr>
      <w:tr w:rsidR="009A3C2D" w:rsidRPr="0082484A" w14:paraId="76462F9A" w14:textId="77777777" w:rsidTr="00272145">
        <w:tc>
          <w:tcPr>
            <w:tcW w:w="2776" w:type="dxa"/>
          </w:tcPr>
          <w:p w14:paraId="1FB53B24" w14:textId="77777777" w:rsidR="009A3C2D" w:rsidRPr="0082484A" w:rsidRDefault="009A3C2D" w:rsidP="00272145">
            <w:pPr>
              <w:rPr>
                <w:sz w:val="22"/>
                <w:szCs w:val="22"/>
              </w:rPr>
            </w:pPr>
            <w:r w:rsidRPr="0082484A">
              <w:rPr>
                <w:sz w:val="22"/>
                <w:szCs w:val="22"/>
              </w:rPr>
              <w:t>Stroke</w:t>
            </w:r>
          </w:p>
        </w:tc>
        <w:tc>
          <w:tcPr>
            <w:tcW w:w="1595" w:type="dxa"/>
          </w:tcPr>
          <w:p w14:paraId="06AA8CE1" w14:textId="77777777" w:rsidR="009A3C2D" w:rsidRPr="0082484A" w:rsidRDefault="009A3C2D" w:rsidP="00272145">
            <w:pPr>
              <w:jc w:val="right"/>
              <w:rPr>
                <w:sz w:val="22"/>
                <w:szCs w:val="22"/>
              </w:rPr>
            </w:pPr>
            <w:r w:rsidRPr="0082484A">
              <w:rPr>
                <w:sz w:val="22"/>
                <w:szCs w:val="22"/>
              </w:rPr>
              <w:t>0.35</w:t>
            </w:r>
          </w:p>
        </w:tc>
        <w:tc>
          <w:tcPr>
            <w:tcW w:w="3199" w:type="dxa"/>
          </w:tcPr>
          <w:p w14:paraId="57EB3B13" w14:textId="77777777" w:rsidR="009A3C2D" w:rsidRPr="0082484A" w:rsidRDefault="009A3C2D" w:rsidP="00272145">
            <w:pPr>
              <w:rPr>
                <w:sz w:val="22"/>
                <w:szCs w:val="22"/>
              </w:rPr>
            </w:pPr>
          </w:p>
        </w:tc>
      </w:tr>
      <w:tr w:rsidR="009A3C2D" w:rsidRPr="0082484A" w14:paraId="066E39D8" w14:textId="77777777" w:rsidTr="00272145">
        <w:tc>
          <w:tcPr>
            <w:tcW w:w="2776" w:type="dxa"/>
          </w:tcPr>
          <w:p w14:paraId="7D9D0FC4" w14:textId="77777777" w:rsidR="009A3C2D" w:rsidRPr="0082484A" w:rsidRDefault="009A3C2D" w:rsidP="00272145">
            <w:pPr>
              <w:rPr>
                <w:sz w:val="22"/>
                <w:szCs w:val="22"/>
              </w:rPr>
            </w:pPr>
            <w:r w:rsidRPr="0082484A">
              <w:rPr>
                <w:sz w:val="22"/>
                <w:szCs w:val="22"/>
              </w:rPr>
              <w:t>HF</w:t>
            </w:r>
          </w:p>
        </w:tc>
        <w:tc>
          <w:tcPr>
            <w:tcW w:w="1595" w:type="dxa"/>
          </w:tcPr>
          <w:p w14:paraId="0D72D6E8" w14:textId="77777777" w:rsidR="009A3C2D" w:rsidRPr="0082484A" w:rsidRDefault="009A3C2D" w:rsidP="00272145">
            <w:pPr>
              <w:jc w:val="right"/>
              <w:rPr>
                <w:sz w:val="22"/>
                <w:szCs w:val="22"/>
              </w:rPr>
            </w:pPr>
            <w:r w:rsidRPr="0082484A">
              <w:rPr>
                <w:sz w:val="22"/>
                <w:szCs w:val="22"/>
              </w:rPr>
              <w:t>0.71</w:t>
            </w:r>
          </w:p>
        </w:tc>
        <w:tc>
          <w:tcPr>
            <w:tcW w:w="3199" w:type="dxa"/>
          </w:tcPr>
          <w:p w14:paraId="09AB29C6" w14:textId="77777777" w:rsidR="009A3C2D" w:rsidRPr="0082484A" w:rsidRDefault="009A3C2D" w:rsidP="00272145">
            <w:pPr>
              <w:rPr>
                <w:sz w:val="22"/>
                <w:szCs w:val="22"/>
              </w:rPr>
            </w:pPr>
          </w:p>
        </w:tc>
      </w:tr>
      <w:tr w:rsidR="009A3C2D" w:rsidRPr="0082484A" w14:paraId="18496094" w14:textId="77777777" w:rsidTr="00272145">
        <w:tc>
          <w:tcPr>
            <w:tcW w:w="2776" w:type="dxa"/>
          </w:tcPr>
          <w:p w14:paraId="4DADCDB0" w14:textId="77777777" w:rsidR="009A3C2D" w:rsidRPr="0082484A" w:rsidRDefault="009A3C2D" w:rsidP="00272145">
            <w:pPr>
              <w:rPr>
                <w:sz w:val="22"/>
                <w:szCs w:val="22"/>
              </w:rPr>
            </w:pPr>
            <w:r w:rsidRPr="0082484A">
              <w:rPr>
                <w:sz w:val="22"/>
                <w:szCs w:val="22"/>
              </w:rPr>
              <w:t>Post symptomatic ulcer</w:t>
            </w:r>
          </w:p>
        </w:tc>
        <w:tc>
          <w:tcPr>
            <w:tcW w:w="1595" w:type="dxa"/>
          </w:tcPr>
          <w:p w14:paraId="1FB8B7F3" w14:textId="77777777" w:rsidR="009A3C2D" w:rsidRPr="0082484A" w:rsidRDefault="009A3C2D" w:rsidP="00272145">
            <w:pPr>
              <w:jc w:val="right"/>
              <w:rPr>
                <w:sz w:val="22"/>
                <w:szCs w:val="22"/>
              </w:rPr>
            </w:pPr>
            <w:r w:rsidRPr="0082484A">
              <w:rPr>
                <w:sz w:val="22"/>
                <w:szCs w:val="22"/>
              </w:rPr>
              <w:t>0.98</w:t>
            </w:r>
          </w:p>
        </w:tc>
        <w:tc>
          <w:tcPr>
            <w:tcW w:w="3199" w:type="dxa"/>
          </w:tcPr>
          <w:p w14:paraId="0C75A50B" w14:textId="77777777" w:rsidR="009A3C2D" w:rsidRPr="0082484A" w:rsidRDefault="009A3C2D" w:rsidP="00272145">
            <w:pPr>
              <w:rPr>
                <w:sz w:val="22"/>
                <w:szCs w:val="22"/>
              </w:rPr>
            </w:pPr>
          </w:p>
        </w:tc>
      </w:tr>
      <w:tr w:rsidR="009A3C2D" w:rsidRPr="0082484A" w14:paraId="7818F855" w14:textId="77777777" w:rsidTr="00272145">
        <w:tc>
          <w:tcPr>
            <w:tcW w:w="2776" w:type="dxa"/>
          </w:tcPr>
          <w:p w14:paraId="520ACF7A" w14:textId="77777777" w:rsidR="009A3C2D" w:rsidRPr="0082484A" w:rsidRDefault="009A3C2D" w:rsidP="00272145">
            <w:pPr>
              <w:rPr>
                <w:sz w:val="22"/>
                <w:szCs w:val="22"/>
              </w:rPr>
            </w:pPr>
            <w:r w:rsidRPr="0082484A">
              <w:rPr>
                <w:sz w:val="22"/>
                <w:szCs w:val="22"/>
              </w:rPr>
              <w:t>Post complicated GI</w:t>
            </w:r>
          </w:p>
        </w:tc>
        <w:tc>
          <w:tcPr>
            <w:tcW w:w="1595" w:type="dxa"/>
          </w:tcPr>
          <w:p w14:paraId="03C660A1" w14:textId="77777777" w:rsidR="009A3C2D" w:rsidRPr="0082484A" w:rsidRDefault="009A3C2D" w:rsidP="00272145">
            <w:pPr>
              <w:jc w:val="right"/>
              <w:rPr>
                <w:sz w:val="22"/>
                <w:szCs w:val="22"/>
              </w:rPr>
            </w:pPr>
            <w:r w:rsidRPr="0082484A">
              <w:rPr>
                <w:sz w:val="22"/>
                <w:szCs w:val="22"/>
              </w:rPr>
              <w:t>0.98</w:t>
            </w:r>
          </w:p>
        </w:tc>
        <w:tc>
          <w:tcPr>
            <w:tcW w:w="3199" w:type="dxa"/>
          </w:tcPr>
          <w:p w14:paraId="6C75A3C7" w14:textId="77777777" w:rsidR="009A3C2D" w:rsidRPr="0082484A" w:rsidRDefault="009A3C2D" w:rsidP="00272145">
            <w:pPr>
              <w:rPr>
                <w:sz w:val="22"/>
                <w:szCs w:val="22"/>
              </w:rPr>
            </w:pPr>
          </w:p>
        </w:tc>
      </w:tr>
      <w:tr w:rsidR="009A3C2D" w:rsidRPr="0082484A" w14:paraId="1DF86B0D" w14:textId="77777777" w:rsidTr="00272145">
        <w:tc>
          <w:tcPr>
            <w:tcW w:w="2776" w:type="dxa"/>
          </w:tcPr>
          <w:p w14:paraId="70FBDC92" w14:textId="77777777" w:rsidR="009A3C2D" w:rsidRPr="0082484A" w:rsidRDefault="009A3C2D" w:rsidP="00272145">
            <w:pPr>
              <w:rPr>
                <w:sz w:val="22"/>
                <w:szCs w:val="22"/>
              </w:rPr>
            </w:pPr>
            <w:r w:rsidRPr="0082484A">
              <w:rPr>
                <w:sz w:val="22"/>
                <w:szCs w:val="22"/>
              </w:rPr>
              <w:t>Post MI</w:t>
            </w:r>
          </w:p>
        </w:tc>
        <w:tc>
          <w:tcPr>
            <w:tcW w:w="1595" w:type="dxa"/>
          </w:tcPr>
          <w:p w14:paraId="0949CB72" w14:textId="77777777" w:rsidR="009A3C2D" w:rsidRPr="0082484A" w:rsidRDefault="009A3C2D" w:rsidP="00272145">
            <w:pPr>
              <w:jc w:val="right"/>
              <w:rPr>
                <w:sz w:val="22"/>
                <w:szCs w:val="22"/>
              </w:rPr>
            </w:pPr>
            <w:r w:rsidRPr="0082484A">
              <w:rPr>
                <w:sz w:val="22"/>
                <w:szCs w:val="22"/>
              </w:rPr>
              <w:t>0.88</w:t>
            </w:r>
          </w:p>
        </w:tc>
        <w:tc>
          <w:tcPr>
            <w:tcW w:w="3199" w:type="dxa"/>
          </w:tcPr>
          <w:p w14:paraId="6F0E985F" w14:textId="77777777" w:rsidR="009A3C2D" w:rsidRPr="0082484A" w:rsidRDefault="009A3C2D" w:rsidP="00272145">
            <w:pPr>
              <w:rPr>
                <w:sz w:val="22"/>
                <w:szCs w:val="22"/>
              </w:rPr>
            </w:pPr>
          </w:p>
        </w:tc>
      </w:tr>
      <w:tr w:rsidR="009A3C2D" w:rsidRPr="0082484A" w14:paraId="590D52E7" w14:textId="77777777" w:rsidTr="00272145">
        <w:tc>
          <w:tcPr>
            <w:tcW w:w="2776" w:type="dxa"/>
          </w:tcPr>
          <w:p w14:paraId="5E2F92FC" w14:textId="77777777" w:rsidR="009A3C2D" w:rsidRPr="0082484A" w:rsidRDefault="009A3C2D" w:rsidP="00272145">
            <w:pPr>
              <w:rPr>
                <w:sz w:val="22"/>
                <w:szCs w:val="22"/>
              </w:rPr>
            </w:pPr>
            <w:r w:rsidRPr="0082484A">
              <w:rPr>
                <w:sz w:val="22"/>
                <w:szCs w:val="22"/>
              </w:rPr>
              <w:t>Post stroke</w:t>
            </w:r>
          </w:p>
        </w:tc>
        <w:tc>
          <w:tcPr>
            <w:tcW w:w="1595" w:type="dxa"/>
          </w:tcPr>
          <w:p w14:paraId="6226AF67" w14:textId="77777777" w:rsidR="009A3C2D" w:rsidRPr="0082484A" w:rsidRDefault="009A3C2D" w:rsidP="00272145">
            <w:pPr>
              <w:jc w:val="right"/>
              <w:rPr>
                <w:sz w:val="22"/>
                <w:szCs w:val="22"/>
              </w:rPr>
            </w:pPr>
            <w:r w:rsidRPr="0082484A">
              <w:rPr>
                <w:sz w:val="22"/>
                <w:szCs w:val="22"/>
              </w:rPr>
              <w:t>0.71</w:t>
            </w:r>
          </w:p>
        </w:tc>
        <w:tc>
          <w:tcPr>
            <w:tcW w:w="3199" w:type="dxa"/>
          </w:tcPr>
          <w:p w14:paraId="0123E4CE" w14:textId="77777777" w:rsidR="009A3C2D" w:rsidRPr="0082484A" w:rsidRDefault="009A3C2D" w:rsidP="00272145">
            <w:pPr>
              <w:rPr>
                <w:sz w:val="22"/>
                <w:szCs w:val="22"/>
              </w:rPr>
            </w:pPr>
          </w:p>
        </w:tc>
      </w:tr>
      <w:tr w:rsidR="009A3C2D" w:rsidRPr="0082484A" w14:paraId="5DCD4AA8" w14:textId="77777777" w:rsidTr="00272145">
        <w:tc>
          <w:tcPr>
            <w:tcW w:w="2776" w:type="dxa"/>
          </w:tcPr>
          <w:p w14:paraId="6F325E3A" w14:textId="77777777" w:rsidR="009A3C2D" w:rsidRPr="0082484A" w:rsidRDefault="009A3C2D" w:rsidP="00272145">
            <w:pPr>
              <w:rPr>
                <w:sz w:val="22"/>
                <w:szCs w:val="22"/>
              </w:rPr>
            </w:pPr>
            <w:r w:rsidRPr="0082484A">
              <w:rPr>
                <w:sz w:val="22"/>
                <w:szCs w:val="22"/>
              </w:rPr>
              <w:t>Post HF</w:t>
            </w:r>
          </w:p>
        </w:tc>
        <w:tc>
          <w:tcPr>
            <w:tcW w:w="1595" w:type="dxa"/>
          </w:tcPr>
          <w:p w14:paraId="7A55DB77" w14:textId="77777777" w:rsidR="009A3C2D" w:rsidRPr="0082484A" w:rsidRDefault="009A3C2D" w:rsidP="00272145">
            <w:pPr>
              <w:jc w:val="right"/>
              <w:rPr>
                <w:sz w:val="22"/>
                <w:szCs w:val="22"/>
              </w:rPr>
            </w:pPr>
            <w:r w:rsidRPr="0082484A">
              <w:rPr>
                <w:sz w:val="22"/>
                <w:szCs w:val="22"/>
              </w:rPr>
              <w:t>1</w:t>
            </w:r>
          </w:p>
        </w:tc>
        <w:tc>
          <w:tcPr>
            <w:tcW w:w="3199" w:type="dxa"/>
          </w:tcPr>
          <w:p w14:paraId="4AD162EF" w14:textId="77777777" w:rsidR="009A3C2D" w:rsidRPr="0082484A" w:rsidRDefault="009A3C2D" w:rsidP="00272145">
            <w:pPr>
              <w:rPr>
                <w:sz w:val="22"/>
                <w:szCs w:val="22"/>
              </w:rPr>
            </w:pPr>
          </w:p>
        </w:tc>
      </w:tr>
    </w:tbl>
    <w:p w14:paraId="27B5F516" w14:textId="77777777" w:rsidR="009A3C2D" w:rsidRPr="0082484A" w:rsidRDefault="009A3C2D" w:rsidP="009A3C2D">
      <w:pPr>
        <w:rPr>
          <w:sz w:val="22"/>
          <w:szCs w:val="22"/>
          <w:lang w:val="en-US"/>
        </w:rPr>
      </w:pPr>
    </w:p>
    <w:p w14:paraId="0A880F9B" w14:textId="77777777" w:rsidR="009A3C2D" w:rsidRPr="0082484A" w:rsidRDefault="009A3C2D" w:rsidP="009A3C2D">
      <w:pPr>
        <w:spacing w:after="200"/>
        <w:rPr>
          <w:sz w:val="22"/>
          <w:szCs w:val="22"/>
          <w:lang w:val="en-US"/>
        </w:rPr>
      </w:pPr>
      <w:r w:rsidRPr="0082484A">
        <w:rPr>
          <w:sz w:val="22"/>
          <w:szCs w:val="22"/>
          <w:lang w:val="en-US"/>
        </w:rPr>
        <w:br w:type="page"/>
      </w:r>
    </w:p>
    <w:p w14:paraId="20CB7325" w14:textId="507FE9AD" w:rsidR="009A3C2D" w:rsidRPr="0082484A" w:rsidRDefault="009A3C2D" w:rsidP="009A3C2D">
      <w:pPr>
        <w:pStyle w:val="Caption"/>
        <w:rPr>
          <w:b w:val="0"/>
          <w:sz w:val="22"/>
          <w:szCs w:val="22"/>
        </w:rPr>
      </w:pPr>
      <w:bookmarkStart w:id="335" w:name="_Ref491077305"/>
      <w:bookmarkStart w:id="336" w:name="_Toc491341666"/>
      <w:bookmarkStart w:id="337" w:name="_Toc8728174"/>
      <w:bookmarkStart w:id="338" w:name="_Toc19526821"/>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92</w:t>
      </w:r>
      <w:r w:rsidRPr="0082484A">
        <w:rPr>
          <w:b w:val="0"/>
          <w:noProof/>
          <w:sz w:val="22"/>
          <w:szCs w:val="22"/>
        </w:rPr>
        <w:fldChar w:fldCharType="end"/>
      </w:r>
      <w:bookmarkEnd w:id="335"/>
      <w:r w:rsidRPr="0082484A">
        <w:rPr>
          <w:b w:val="0"/>
          <w:sz w:val="22"/>
          <w:szCs w:val="22"/>
        </w:rPr>
        <w:t>: Risky prescribing CKD model – probabilities and risk parameters</w:t>
      </w:r>
      <w:bookmarkEnd w:id="336"/>
      <w:bookmarkEnd w:id="337"/>
      <w:bookmarkEnd w:id="338"/>
    </w:p>
    <w:tbl>
      <w:tblPr>
        <w:tblStyle w:val="TableGrid"/>
        <w:tblW w:w="0" w:type="auto"/>
        <w:tblLook w:val="04A0" w:firstRow="1" w:lastRow="0" w:firstColumn="1" w:lastColumn="0" w:noHBand="0" w:noVBand="1"/>
      </w:tblPr>
      <w:tblGrid>
        <w:gridCol w:w="1634"/>
        <w:gridCol w:w="1500"/>
        <w:gridCol w:w="1669"/>
        <w:gridCol w:w="1415"/>
        <w:gridCol w:w="1410"/>
        <w:gridCol w:w="1388"/>
      </w:tblGrid>
      <w:tr w:rsidR="009A3C2D" w:rsidRPr="0082484A" w14:paraId="7565274D" w14:textId="77777777" w:rsidTr="00272145">
        <w:tc>
          <w:tcPr>
            <w:tcW w:w="1634" w:type="dxa"/>
          </w:tcPr>
          <w:p w14:paraId="380D1102" w14:textId="77777777" w:rsidR="009A3C2D" w:rsidRPr="0082484A" w:rsidRDefault="009A3C2D" w:rsidP="00272145">
            <w:pPr>
              <w:rPr>
                <w:sz w:val="22"/>
                <w:szCs w:val="22"/>
              </w:rPr>
            </w:pPr>
            <w:r w:rsidRPr="0082484A">
              <w:rPr>
                <w:sz w:val="22"/>
                <w:szCs w:val="22"/>
              </w:rPr>
              <w:t>Parameter</w:t>
            </w:r>
          </w:p>
        </w:tc>
        <w:tc>
          <w:tcPr>
            <w:tcW w:w="1500" w:type="dxa"/>
          </w:tcPr>
          <w:p w14:paraId="685246E7" w14:textId="77777777" w:rsidR="009A3C2D" w:rsidRPr="0082484A" w:rsidRDefault="009A3C2D" w:rsidP="00272145">
            <w:pPr>
              <w:rPr>
                <w:sz w:val="22"/>
                <w:szCs w:val="22"/>
              </w:rPr>
            </w:pPr>
            <w:r w:rsidRPr="0082484A">
              <w:rPr>
                <w:sz w:val="22"/>
                <w:szCs w:val="22"/>
              </w:rPr>
              <w:t>Value</w:t>
            </w:r>
          </w:p>
        </w:tc>
        <w:tc>
          <w:tcPr>
            <w:tcW w:w="1669" w:type="dxa"/>
          </w:tcPr>
          <w:p w14:paraId="3776E934" w14:textId="77777777" w:rsidR="009A3C2D" w:rsidRPr="0082484A" w:rsidRDefault="009A3C2D" w:rsidP="00272145">
            <w:pPr>
              <w:rPr>
                <w:sz w:val="22"/>
                <w:szCs w:val="22"/>
              </w:rPr>
            </w:pPr>
            <w:r w:rsidRPr="0082484A">
              <w:rPr>
                <w:sz w:val="22"/>
                <w:szCs w:val="22"/>
              </w:rPr>
              <w:t>Distribution</w:t>
            </w:r>
          </w:p>
        </w:tc>
        <w:tc>
          <w:tcPr>
            <w:tcW w:w="1415" w:type="dxa"/>
          </w:tcPr>
          <w:p w14:paraId="67DD4F33" w14:textId="77777777" w:rsidR="009A3C2D" w:rsidRPr="0082484A" w:rsidRDefault="009A3C2D" w:rsidP="00272145">
            <w:pPr>
              <w:rPr>
                <w:sz w:val="22"/>
                <w:szCs w:val="22"/>
              </w:rPr>
            </w:pPr>
            <w:r w:rsidRPr="0082484A">
              <w:rPr>
                <w:sz w:val="22"/>
                <w:szCs w:val="22"/>
              </w:rPr>
              <w:t>Alpha</w:t>
            </w:r>
          </w:p>
        </w:tc>
        <w:tc>
          <w:tcPr>
            <w:tcW w:w="1410" w:type="dxa"/>
          </w:tcPr>
          <w:p w14:paraId="3034332A" w14:textId="77777777" w:rsidR="009A3C2D" w:rsidRPr="0082484A" w:rsidRDefault="009A3C2D" w:rsidP="00272145">
            <w:pPr>
              <w:rPr>
                <w:sz w:val="22"/>
                <w:szCs w:val="22"/>
              </w:rPr>
            </w:pPr>
            <w:r w:rsidRPr="0082484A">
              <w:rPr>
                <w:sz w:val="22"/>
                <w:szCs w:val="22"/>
              </w:rPr>
              <w:t>Beta</w:t>
            </w:r>
          </w:p>
        </w:tc>
        <w:tc>
          <w:tcPr>
            <w:tcW w:w="1388" w:type="dxa"/>
          </w:tcPr>
          <w:p w14:paraId="5D9BB1B7" w14:textId="77777777" w:rsidR="009A3C2D" w:rsidRPr="0082484A" w:rsidRDefault="009A3C2D" w:rsidP="00272145">
            <w:pPr>
              <w:rPr>
                <w:sz w:val="22"/>
                <w:szCs w:val="22"/>
              </w:rPr>
            </w:pPr>
            <w:r w:rsidRPr="0082484A">
              <w:rPr>
                <w:sz w:val="22"/>
                <w:szCs w:val="22"/>
              </w:rPr>
              <w:t xml:space="preserve">Source </w:t>
            </w:r>
          </w:p>
          <w:p w14:paraId="38FDA30E" w14:textId="77777777" w:rsidR="009A3C2D" w:rsidRPr="0082484A" w:rsidRDefault="009A3C2D" w:rsidP="00272145">
            <w:pPr>
              <w:rPr>
                <w:sz w:val="22"/>
                <w:szCs w:val="22"/>
              </w:rPr>
            </w:pPr>
          </w:p>
        </w:tc>
      </w:tr>
      <w:tr w:rsidR="009A3C2D" w:rsidRPr="0082484A" w14:paraId="60D31E00" w14:textId="77777777" w:rsidTr="00272145">
        <w:tc>
          <w:tcPr>
            <w:tcW w:w="9016" w:type="dxa"/>
            <w:gridSpan w:val="6"/>
          </w:tcPr>
          <w:p w14:paraId="44A19F4C" w14:textId="77777777" w:rsidR="009A3C2D" w:rsidRPr="0082484A" w:rsidRDefault="009A3C2D" w:rsidP="00272145">
            <w:pPr>
              <w:rPr>
                <w:i/>
                <w:sz w:val="22"/>
                <w:szCs w:val="22"/>
              </w:rPr>
            </w:pPr>
            <w:r w:rsidRPr="0082484A">
              <w:rPr>
                <w:i/>
                <w:sz w:val="22"/>
                <w:szCs w:val="22"/>
              </w:rPr>
              <w:t>Transition probabilities per cycle (%)</w:t>
            </w:r>
          </w:p>
          <w:p w14:paraId="0768F6DD" w14:textId="77777777" w:rsidR="009A3C2D" w:rsidRPr="0082484A" w:rsidRDefault="009A3C2D" w:rsidP="00272145">
            <w:pPr>
              <w:rPr>
                <w:sz w:val="22"/>
                <w:szCs w:val="22"/>
              </w:rPr>
            </w:pPr>
          </w:p>
        </w:tc>
      </w:tr>
      <w:tr w:rsidR="009A3C2D" w:rsidRPr="0082484A" w14:paraId="15FD2EA1" w14:textId="77777777" w:rsidTr="00272145">
        <w:tc>
          <w:tcPr>
            <w:tcW w:w="1634" w:type="dxa"/>
          </w:tcPr>
          <w:p w14:paraId="1E32DC2A" w14:textId="77777777" w:rsidR="009A3C2D" w:rsidRPr="0082484A" w:rsidRDefault="009A3C2D" w:rsidP="00272145">
            <w:pPr>
              <w:rPr>
                <w:sz w:val="22"/>
                <w:szCs w:val="22"/>
              </w:rPr>
            </w:pPr>
            <w:r w:rsidRPr="0082484A">
              <w:rPr>
                <w:sz w:val="22"/>
                <w:szCs w:val="22"/>
              </w:rPr>
              <w:t>CKD stage 3-4 to 5 (&lt;69)</w:t>
            </w:r>
          </w:p>
        </w:tc>
        <w:tc>
          <w:tcPr>
            <w:tcW w:w="1500" w:type="dxa"/>
          </w:tcPr>
          <w:p w14:paraId="2034FBE5" w14:textId="77777777" w:rsidR="009A3C2D" w:rsidRPr="0082484A" w:rsidRDefault="009A3C2D" w:rsidP="00272145">
            <w:pPr>
              <w:rPr>
                <w:sz w:val="22"/>
                <w:szCs w:val="22"/>
              </w:rPr>
            </w:pPr>
            <w:r w:rsidRPr="0082484A">
              <w:rPr>
                <w:sz w:val="22"/>
                <w:szCs w:val="22"/>
              </w:rPr>
              <w:t>0.018</w:t>
            </w:r>
          </w:p>
        </w:tc>
        <w:tc>
          <w:tcPr>
            <w:tcW w:w="1669" w:type="dxa"/>
          </w:tcPr>
          <w:p w14:paraId="2BB0425B" w14:textId="77777777" w:rsidR="009A3C2D" w:rsidRPr="0082484A" w:rsidRDefault="009A3C2D" w:rsidP="00272145">
            <w:pPr>
              <w:rPr>
                <w:sz w:val="22"/>
                <w:szCs w:val="22"/>
              </w:rPr>
            </w:pPr>
            <w:r w:rsidRPr="0082484A">
              <w:rPr>
                <w:sz w:val="22"/>
                <w:szCs w:val="22"/>
              </w:rPr>
              <w:t>Beta</w:t>
            </w:r>
          </w:p>
        </w:tc>
        <w:tc>
          <w:tcPr>
            <w:tcW w:w="1415" w:type="dxa"/>
          </w:tcPr>
          <w:p w14:paraId="23EE5F72" w14:textId="77777777" w:rsidR="009A3C2D" w:rsidRPr="0082484A" w:rsidRDefault="009A3C2D" w:rsidP="00272145">
            <w:pPr>
              <w:rPr>
                <w:sz w:val="22"/>
                <w:szCs w:val="22"/>
              </w:rPr>
            </w:pPr>
            <w:r w:rsidRPr="0082484A">
              <w:rPr>
                <w:sz w:val="22"/>
                <w:szCs w:val="22"/>
              </w:rPr>
              <w:t>5.5</w:t>
            </w:r>
          </w:p>
        </w:tc>
        <w:tc>
          <w:tcPr>
            <w:tcW w:w="1410" w:type="dxa"/>
          </w:tcPr>
          <w:p w14:paraId="0AD06FB6" w14:textId="77777777" w:rsidR="009A3C2D" w:rsidRPr="0082484A" w:rsidRDefault="009A3C2D" w:rsidP="00272145">
            <w:pPr>
              <w:rPr>
                <w:sz w:val="22"/>
                <w:szCs w:val="22"/>
              </w:rPr>
            </w:pPr>
            <w:r w:rsidRPr="0082484A">
              <w:rPr>
                <w:sz w:val="22"/>
                <w:szCs w:val="22"/>
              </w:rPr>
              <w:t>3041.5</w:t>
            </w:r>
          </w:p>
        </w:tc>
        <w:tc>
          <w:tcPr>
            <w:tcW w:w="1388" w:type="dxa"/>
          </w:tcPr>
          <w:p w14:paraId="795A3DAE" w14:textId="70A64FA9" w:rsidR="009A3C2D" w:rsidRPr="0082484A" w:rsidRDefault="009A3C2D" w:rsidP="00952E85">
            <w:pPr>
              <w:rPr>
                <w:sz w:val="22"/>
                <w:szCs w:val="22"/>
              </w:rPr>
            </w:pPr>
            <w:r w:rsidRPr="0082484A">
              <w:rPr>
                <w:sz w:val="22"/>
                <w:szCs w:val="22"/>
              </w:rPr>
              <w:t>All values taken from NICE CG169</w:t>
            </w:r>
            <w:r w:rsidRPr="0082484A">
              <w:rPr>
                <w:sz w:val="22"/>
                <w:szCs w:val="22"/>
              </w:rPr>
              <w:fldChar w:fldCharType="begin"/>
            </w:r>
            <w:r w:rsidR="00952E85" w:rsidRPr="0082484A">
              <w:rPr>
                <w:sz w:val="22"/>
                <w:szCs w:val="22"/>
              </w:rPr>
              <w:instrText xml:space="preserve"> ADDIN EN.CITE &lt;EndNote&gt;&lt;Cite&gt;&lt;Author&gt;National Institute for Health and Care Excellence&lt;/Author&gt;&lt;Year&gt;2013&lt;/Year&gt;&lt;RecNum&gt;3306&lt;/RecNum&gt;&lt;DisplayText&gt;&lt;style face="superscript"&gt;9&lt;/style&gt;&lt;/DisplayText&gt;&lt;record&gt;&lt;rec-number&gt;3306&lt;/rec-number&gt;&lt;foreign-keys&gt;&lt;key app="EN" db-id="5srzarxr5dr9r5es2r7xst9lr9t2rewrpffr" timestamp="1516018988"&gt;3306&lt;/key&gt;&lt;/foreign-keys&gt;&lt;ref-type name="Report"&gt;27&lt;/ref-type&gt;&lt;contributors&gt;&lt;authors&gt;&lt;author&gt;National Institute for Health and Care Excellence,&lt;/author&gt;&lt;/authors&gt;&lt;/contributors&gt;&lt;titles&gt;&lt;title&gt;Acute kidney injury: prevention, detection and management [CG169]&lt;/title&gt;&lt;/titles&gt;&lt;dates&gt;&lt;year&gt;2013&lt;/year&gt;&lt;/dates&gt;&lt;urls&gt;&lt;/urls&gt;&lt;/record&gt;&lt;/Cite&gt;&lt;/EndNote&gt;</w:instrText>
            </w:r>
            <w:r w:rsidRPr="0082484A">
              <w:rPr>
                <w:sz w:val="22"/>
                <w:szCs w:val="22"/>
              </w:rPr>
              <w:fldChar w:fldCharType="separate"/>
            </w:r>
            <w:r w:rsidR="00952E85" w:rsidRPr="0082484A">
              <w:rPr>
                <w:noProof/>
                <w:sz w:val="22"/>
                <w:szCs w:val="22"/>
                <w:vertAlign w:val="superscript"/>
              </w:rPr>
              <w:t>9</w:t>
            </w:r>
            <w:r w:rsidRPr="0082484A">
              <w:rPr>
                <w:sz w:val="22"/>
                <w:szCs w:val="22"/>
              </w:rPr>
              <w:fldChar w:fldCharType="end"/>
            </w:r>
          </w:p>
        </w:tc>
      </w:tr>
      <w:tr w:rsidR="009A3C2D" w:rsidRPr="0082484A" w14:paraId="75BE087F" w14:textId="77777777" w:rsidTr="00272145">
        <w:tc>
          <w:tcPr>
            <w:tcW w:w="1634" w:type="dxa"/>
          </w:tcPr>
          <w:p w14:paraId="2CF2980D" w14:textId="77777777" w:rsidR="009A3C2D" w:rsidRPr="0082484A" w:rsidRDefault="009A3C2D" w:rsidP="00272145">
            <w:pPr>
              <w:rPr>
                <w:sz w:val="22"/>
                <w:szCs w:val="22"/>
              </w:rPr>
            </w:pPr>
            <w:r w:rsidRPr="0082484A">
              <w:rPr>
                <w:sz w:val="22"/>
                <w:szCs w:val="22"/>
              </w:rPr>
              <w:t>CKD stage 3-4 to 5 (70-79)</w:t>
            </w:r>
          </w:p>
        </w:tc>
        <w:tc>
          <w:tcPr>
            <w:tcW w:w="1500" w:type="dxa"/>
          </w:tcPr>
          <w:p w14:paraId="71C00216" w14:textId="77777777" w:rsidR="009A3C2D" w:rsidRPr="0082484A" w:rsidRDefault="009A3C2D" w:rsidP="00272145">
            <w:pPr>
              <w:rPr>
                <w:sz w:val="22"/>
                <w:szCs w:val="22"/>
              </w:rPr>
            </w:pPr>
            <w:r w:rsidRPr="0082484A">
              <w:rPr>
                <w:sz w:val="22"/>
                <w:szCs w:val="22"/>
              </w:rPr>
              <w:t>0.10</w:t>
            </w:r>
          </w:p>
        </w:tc>
        <w:tc>
          <w:tcPr>
            <w:tcW w:w="1669" w:type="dxa"/>
          </w:tcPr>
          <w:p w14:paraId="6E1CFE40" w14:textId="77777777" w:rsidR="009A3C2D" w:rsidRPr="0082484A" w:rsidRDefault="009A3C2D" w:rsidP="00272145">
            <w:pPr>
              <w:rPr>
                <w:sz w:val="22"/>
                <w:szCs w:val="22"/>
              </w:rPr>
            </w:pPr>
            <w:r w:rsidRPr="0082484A">
              <w:rPr>
                <w:sz w:val="22"/>
                <w:szCs w:val="22"/>
              </w:rPr>
              <w:t>Beta</w:t>
            </w:r>
          </w:p>
        </w:tc>
        <w:tc>
          <w:tcPr>
            <w:tcW w:w="1415" w:type="dxa"/>
          </w:tcPr>
          <w:p w14:paraId="6952CB9E" w14:textId="77777777" w:rsidR="009A3C2D" w:rsidRPr="0082484A" w:rsidRDefault="009A3C2D" w:rsidP="00272145">
            <w:pPr>
              <w:rPr>
                <w:sz w:val="22"/>
                <w:szCs w:val="22"/>
              </w:rPr>
            </w:pPr>
            <w:r w:rsidRPr="0082484A">
              <w:rPr>
                <w:sz w:val="22"/>
                <w:szCs w:val="22"/>
              </w:rPr>
              <w:t>3.1</w:t>
            </w:r>
          </w:p>
        </w:tc>
        <w:tc>
          <w:tcPr>
            <w:tcW w:w="1410" w:type="dxa"/>
          </w:tcPr>
          <w:p w14:paraId="285A5BAB" w14:textId="77777777" w:rsidR="009A3C2D" w:rsidRPr="0082484A" w:rsidRDefault="009A3C2D" w:rsidP="00272145">
            <w:pPr>
              <w:rPr>
                <w:sz w:val="22"/>
                <w:szCs w:val="22"/>
              </w:rPr>
            </w:pPr>
            <w:r w:rsidRPr="0082484A">
              <w:rPr>
                <w:sz w:val="22"/>
                <w:szCs w:val="22"/>
              </w:rPr>
              <w:t>3043.9</w:t>
            </w:r>
          </w:p>
        </w:tc>
        <w:tc>
          <w:tcPr>
            <w:tcW w:w="1388" w:type="dxa"/>
          </w:tcPr>
          <w:p w14:paraId="2D7B7ED9" w14:textId="77777777" w:rsidR="009A3C2D" w:rsidRPr="0082484A" w:rsidRDefault="009A3C2D" w:rsidP="00272145">
            <w:pPr>
              <w:rPr>
                <w:sz w:val="22"/>
                <w:szCs w:val="22"/>
              </w:rPr>
            </w:pPr>
          </w:p>
        </w:tc>
      </w:tr>
      <w:tr w:rsidR="009A3C2D" w:rsidRPr="0082484A" w14:paraId="63A0CE3D" w14:textId="77777777" w:rsidTr="00272145">
        <w:tc>
          <w:tcPr>
            <w:tcW w:w="1634" w:type="dxa"/>
          </w:tcPr>
          <w:p w14:paraId="1658DCC9" w14:textId="77777777" w:rsidR="009A3C2D" w:rsidRPr="0082484A" w:rsidRDefault="009A3C2D" w:rsidP="00272145">
            <w:pPr>
              <w:rPr>
                <w:sz w:val="22"/>
                <w:szCs w:val="22"/>
              </w:rPr>
            </w:pPr>
            <w:r w:rsidRPr="0082484A">
              <w:rPr>
                <w:sz w:val="22"/>
                <w:szCs w:val="22"/>
              </w:rPr>
              <w:t>CKD stage 3-4 to 5 (&gt;79)</w:t>
            </w:r>
          </w:p>
        </w:tc>
        <w:tc>
          <w:tcPr>
            <w:tcW w:w="1500" w:type="dxa"/>
          </w:tcPr>
          <w:p w14:paraId="6A1ACD2E" w14:textId="77777777" w:rsidR="009A3C2D" w:rsidRPr="0082484A" w:rsidRDefault="009A3C2D" w:rsidP="00272145">
            <w:pPr>
              <w:rPr>
                <w:sz w:val="22"/>
                <w:szCs w:val="22"/>
              </w:rPr>
            </w:pPr>
            <w:r w:rsidRPr="0082484A">
              <w:rPr>
                <w:sz w:val="22"/>
                <w:szCs w:val="22"/>
              </w:rPr>
              <w:t>0.08</w:t>
            </w:r>
          </w:p>
        </w:tc>
        <w:tc>
          <w:tcPr>
            <w:tcW w:w="1669" w:type="dxa"/>
          </w:tcPr>
          <w:p w14:paraId="213E4677" w14:textId="77777777" w:rsidR="009A3C2D" w:rsidRPr="0082484A" w:rsidRDefault="009A3C2D" w:rsidP="00272145">
            <w:pPr>
              <w:rPr>
                <w:sz w:val="22"/>
                <w:szCs w:val="22"/>
              </w:rPr>
            </w:pPr>
            <w:r w:rsidRPr="0082484A">
              <w:rPr>
                <w:sz w:val="22"/>
                <w:szCs w:val="22"/>
              </w:rPr>
              <w:t>Beta</w:t>
            </w:r>
          </w:p>
        </w:tc>
        <w:tc>
          <w:tcPr>
            <w:tcW w:w="1415" w:type="dxa"/>
          </w:tcPr>
          <w:p w14:paraId="6D21F428" w14:textId="77777777" w:rsidR="009A3C2D" w:rsidRPr="0082484A" w:rsidRDefault="009A3C2D" w:rsidP="00272145">
            <w:pPr>
              <w:rPr>
                <w:sz w:val="22"/>
                <w:szCs w:val="22"/>
              </w:rPr>
            </w:pPr>
            <w:r w:rsidRPr="0082484A">
              <w:rPr>
                <w:sz w:val="22"/>
                <w:szCs w:val="22"/>
              </w:rPr>
              <w:t>2.3</w:t>
            </w:r>
          </w:p>
        </w:tc>
        <w:tc>
          <w:tcPr>
            <w:tcW w:w="1410" w:type="dxa"/>
          </w:tcPr>
          <w:p w14:paraId="4AA093D3" w14:textId="77777777" w:rsidR="009A3C2D" w:rsidRPr="0082484A" w:rsidRDefault="009A3C2D" w:rsidP="00272145">
            <w:pPr>
              <w:rPr>
                <w:sz w:val="22"/>
                <w:szCs w:val="22"/>
              </w:rPr>
            </w:pPr>
            <w:r w:rsidRPr="0082484A">
              <w:rPr>
                <w:sz w:val="22"/>
                <w:szCs w:val="22"/>
              </w:rPr>
              <w:t>3044.7</w:t>
            </w:r>
          </w:p>
        </w:tc>
        <w:tc>
          <w:tcPr>
            <w:tcW w:w="1388" w:type="dxa"/>
          </w:tcPr>
          <w:p w14:paraId="0D53D1B5" w14:textId="77777777" w:rsidR="009A3C2D" w:rsidRPr="0082484A" w:rsidRDefault="009A3C2D" w:rsidP="00272145">
            <w:pPr>
              <w:rPr>
                <w:sz w:val="22"/>
                <w:szCs w:val="22"/>
              </w:rPr>
            </w:pPr>
          </w:p>
        </w:tc>
      </w:tr>
      <w:tr w:rsidR="009A3C2D" w:rsidRPr="0082484A" w14:paraId="62F24BA5" w14:textId="77777777" w:rsidTr="00272145">
        <w:tc>
          <w:tcPr>
            <w:tcW w:w="1634" w:type="dxa"/>
          </w:tcPr>
          <w:p w14:paraId="2B14F0EC" w14:textId="77777777" w:rsidR="009A3C2D" w:rsidRPr="0082484A" w:rsidRDefault="009A3C2D" w:rsidP="00272145">
            <w:pPr>
              <w:rPr>
                <w:sz w:val="22"/>
                <w:szCs w:val="22"/>
              </w:rPr>
            </w:pPr>
            <w:r w:rsidRPr="0082484A">
              <w:rPr>
                <w:sz w:val="22"/>
                <w:szCs w:val="22"/>
              </w:rPr>
              <w:t>AKI stage 1 to CKD 5</w:t>
            </w:r>
          </w:p>
        </w:tc>
        <w:tc>
          <w:tcPr>
            <w:tcW w:w="1500" w:type="dxa"/>
          </w:tcPr>
          <w:p w14:paraId="5D6B63C0" w14:textId="77777777" w:rsidR="009A3C2D" w:rsidRPr="0082484A" w:rsidRDefault="009A3C2D" w:rsidP="00272145">
            <w:pPr>
              <w:rPr>
                <w:sz w:val="22"/>
                <w:szCs w:val="22"/>
              </w:rPr>
            </w:pPr>
            <w:r w:rsidRPr="0082484A">
              <w:rPr>
                <w:sz w:val="22"/>
                <w:szCs w:val="22"/>
              </w:rPr>
              <w:t>1.5</w:t>
            </w:r>
          </w:p>
        </w:tc>
        <w:tc>
          <w:tcPr>
            <w:tcW w:w="1669" w:type="dxa"/>
          </w:tcPr>
          <w:p w14:paraId="7BDEAAAB" w14:textId="77777777" w:rsidR="009A3C2D" w:rsidRPr="0082484A" w:rsidRDefault="009A3C2D" w:rsidP="00272145">
            <w:pPr>
              <w:rPr>
                <w:sz w:val="22"/>
                <w:szCs w:val="22"/>
              </w:rPr>
            </w:pPr>
            <w:r w:rsidRPr="0082484A">
              <w:rPr>
                <w:sz w:val="22"/>
                <w:szCs w:val="22"/>
              </w:rPr>
              <w:t>Beta</w:t>
            </w:r>
          </w:p>
        </w:tc>
        <w:tc>
          <w:tcPr>
            <w:tcW w:w="1415" w:type="dxa"/>
          </w:tcPr>
          <w:p w14:paraId="28464DDF" w14:textId="77777777" w:rsidR="009A3C2D" w:rsidRPr="0082484A" w:rsidRDefault="009A3C2D" w:rsidP="00272145">
            <w:pPr>
              <w:rPr>
                <w:sz w:val="22"/>
                <w:szCs w:val="22"/>
              </w:rPr>
            </w:pPr>
            <w:r w:rsidRPr="0082484A">
              <w:rPr>
                <w:sz w:val="22"/>
                <w:szCs w:val="22"/>
              </w:rPr>
              <w:t>24.8</w:t>
            </w:r>
          </w:p>
        </w:tc>
        <w:tc>
          <w:tcPr>
            <w:tcW w:w="1410" w:type="dxa"/>
          </w:tcPr>
          <w:p w14:paraId="2C261F48" w14:textId="77777777" w:rsidR="009A3C2D" w:rsidRPr="0082484A" w:rsidRDefault="009A3C2D" w:rsidP="00272145">
            <w:pPr>
              <w:rPr>
                <w:sz w:val="22"/>
                <w:szCs w:val="22"/>
              </w:rPr>
            </w:pPr>
            <w:r w:rsidRPr="0082484A">
              <w:rPr>
                <w:sz w:val="22"/>
                <w:szCs w:val="22"/>
              </w:rPr>
              <w:t>1585</w:t>
            </w:r>
          </w:p>
        </w:tc>
        <w:tc>
          <w:tcPr>
            <w:tcW w:w="1388" w:type="dxa"/>
          </w:tcPr>
          <w:p w14:paraId="4D8ADAA2" w14:textId="77777777" w:rsidR="009A3C2D" w:rsidRPr="0082484A" w:rsidRDefault="009A3C2D" w:rsidP="00272145">
            <w:pPr>
              <w:rPr>
                <w:sz w:val="22"/>
                <w:szCs w:val="22"/>
              </w:rPr>
            </w:pPr>
          </w:p>
        </w:tc>
      </w:tr>
      <w:tr w:rsidR="009A3C2D" w:rsidRPr="0082484A" w14:paraId="6114163A" w14:textId="77777777" w:rsidTr="00272145">
        <w:tc>
          <w:tcPr>
            <w:tcW w:w="1634" w:type="dxa"/>
          </w:tcPr>
          <w:p w14:paraId="044CEE22" w14:textId="77777777" w:rsidR="009A3C2D" w:rsidRPr="0082484A" w:rsidRDefault="009A3C2D" w:rsidP="00272145">
            <w:pPr>
              <w:rPr>
                <w:sz w:val="22"/>
                <w:szCs w:val="22"/>
              </w:rPr>
            </w:pPr>
            <w:r w:rsidRPr="0082484A">
              <w:rPr>
                <w:sz w:val="22"/>
                <w:szCs w:val="22"/>
              </w:rPr>
              <w:t>AKI stage 2-3 to CKD 5</w:t>
            </w:r>
          </w:p>
        </w:tc>
        <w:tc>
          <w:tcPr>
            <w:tcW w:w="1500" w:type="dxa"/>
          </w:tcPr>
          <w:p w14:paraId="16584521" w14:textId="77777777" w:rsidR="009A3C2D" w:rsidRPr="0082484A" w:rsidRDefault="009A3C2D" w:rsidP="00272145">
            <w:pPr>
              <w:rPr>
                <w:sz w:val="22"/>
                <w:szCs w:val="22"/>
              </w:rPr>
            </w:pPr>
            <w:r w:rsidRPr="0082484A">
              <w:rPr>
                <w:sz w:val="22"/>
                <w:szCs w:val="22"/>
              </w:rPr>
              <w:t>10.9</w:t>
            </w:r>
          </w:p>
        </w:tc>
        <w:tc>
          <w:tcPr>
            <w:tcW w:w="1669" w:type="dxa"/>
          </w:tcPr>
          <w:p w14:paraId="5360ADFF" w14:textId="77777777" w:rsidR="009A3C2D" w:rsidRPr="0082484A" w:rsidRDefault="009A3C2D" w:rsidP="00272145">
            <w:pPr>
              <w:rPr>
                <w:sz w:val="22"/>
                <w:szCs w:val="22"/>
              </w:rPr>
            </w:pPr>
            <w:r w:rsidRPr="0082484A">
              <w:rPr>
                <w:sz w:val="22"/>
                <w:szCs w:val="22"/>
              </w:rPr>
              <w:t>Beta</w:t>
            </w:r>
          </w:p>
        </w:tc>
        <w:tc>
          <w:tcPr>
            <w:tcW w:w="1415" w:type="dxa"/>
          </w:tcPr>
          <w:p w14:paraId="3EFFF384" w14:textId="77777777" w:rsidR="009A3C2D" w:rsidRPr="0082484A" w:rsidRDefault="009A3C2D" w:rsidP="00272145">
            <w:pPr>
              <w:rPr>
                <w:sz w:val="22"/>
                <w:szCs w:val="22"/>
              </w:rPr>
            </w:pPr>
            <w:r w:rsidRPr="0082484A">
              <w:rPr>
                <w:sz w:val="22"/>
                <w:szCs w:val="22"/>
              </w:rPr>
              <w:t>36.8</w:t>
            </w:r>
          </w:p>
        </w:tc>
        <w:tc>
          <w:tcPr>
            <w:tcW w:w="1410" w:type="dxa"/>
          </w:tcPr>
          <w:p w14:paraId="7C2DEDA9" w14:textId="77777777" w:rsidR="009A3C2D" w:rsidRPr="0082484A" w:rsidRDefault="009A3C2D" w:rsidP="00272145">
            <w:pPr>
              <w:rPr>
                <w:sz w:val="22"/>
                <w:szCs w:val="22"/>
              </w:rPr>
            </w:pPr>
            <w:r w:rsidRPr="0082484A">
              <w:rPr>
                <w:sz w:val="22"/>
                <w:szCs w:val="22"/>
              </w:rPr>
              <w:t>302</w:t>
            </w:r>
          </w:p>
        </w:tc>
        <w:tc>
          <w:tcPr>
            <w:tcW w:w="1388" w:type="dxa"/>
          </w:tcPr>
          <w:p w14:paraId="09035D04" w14:textId="77777777" w:rsidR="009A3C2D" w:rsidRPr="0082484A" w:rsidRDefault="009A3C2D" w:rsidP="00272145">
            <w:pPr>
              <w:rPr>
                <w:sz w:val="22"/>
                <w:szCs w:val="22"/>
              </w:rPr>
            </w:pPr>
          </w:p>
        </w:tc>
      </w:tr>
      <w:tr w:rsidR="009A3C2D" w:rsidRPr="0082484A" w14:paraId="44991FB2" w14:textId="77777777" w:rsidTr="00272145">
        <w:tc>
          <w:tcPr>
            <w:tcW w:w="1634" w:type="dxa"/>
          </w:tcPr>
          <w:p w14:paraId="5AA59C9D" w14:textId="77777777" w:rsidR="009A3C2D" w:rsidRPr="0082484A" w:rsidRDefault="009A3C2D" w:rsidP="00272145">
            <w:pPr>
              <w:rPr>
                <w:sz w:val="22"/>
                <w:szCs w:val="22"/>
              </w:rPr>
            </w:pPr>
            <w:r w:rsidRPr="0082484A">
              <w:rPr>
                <w:sz w:val="22"/>
                <w:szCs w:val="22"/>
              </w:rPr>
              <w:t>Proportion AKI stage 1</w:t>
            </w:r>
          </w:p>
        </w:tc>
        <w:tc>
          <w:tcPr>
            <w:tcW w:w="1500" w:type="dxa"/>
          </w:tcPr>
          <w:p w14:paraId="1E76224E" w14:textId="77777777" w:rsidR="009A3C2D" w:rsidRPr="0082484A" w:rsidRDefault="009A3C2D" w:rsidP="00272145">
            <w:pPr>
              <w:rPr>
                <w:sz w:val="22"/>
                <w:szCs w:val="22"/>
              </w:rPr>
            </w:pPr>
            <w:r w:rsidRPr="0082484A">
              <w:rPr>
                <w:sz w:val="22"/>
                <w:szCs w:val="22"/>
              </w:rPr>
              <w:t>83</w:t>
            </w:r>
          </w:p>
        </w:tc>
        <w:tc>
          <w:tcPr>
            <w:tcW w:w="1669" w:type="dxa"/>
          </w:tcPr>
          <w:p w14:paraId="350EDA10" w14:textId="77777777" w:rsidR="009A3C2D" w:rsidRPr="0082484A" w:rsidRDefault="009A3C2D" w:rsidP="00272145">
            <w:pPr>
              <w:rPr>
                <w:sz w:val="22"/>
                <w:szCs w:val="22"/>
              </w:rPr>
            </w:pPr>
          </w:p>
        </w:tc>
        <w:tc>
          <w:tcPr>
            <w:tcW w:w="1415" w:type="dxa"/>
          </w:tcPr>
          <w:p w14:paraId="15D0557B" w14:textId="77777777" w:rsidR="009A3C2D" w:rsidRPr="0082484A" w:rsidRDefault="009A3C2D" w:rsidP="00272145">
            <w:pPr>
              <w:rPr>
                <w:sz w:val="22"/>
                <w:szCs w:val="22"/>
              </w:rPr>
            </w:pPr>
          </w:p>
        </w:tc>
        <w:tc>
          <w:tcPr>
            <w:tcW w:w="1410" w:type="dxa"/>
          </w:tcPr>
          <w:p w14:paraId="746C15F7" w14:textId="77777777" w:rsidR="009A3C2D" w:rsidRPr="0082484A" w:rsidRDefault="009A3C2D" w:rsidP="00272145">
            <w:pPr>
              <w:rPr>
                <w:sz w:val="22"/>
                <w:szCs w:val="22"/>
              </w:rPr>
            </w:pPr>
          </w:p>
        </w:tc>
        <w:tc>
          <w:tcPr>
            <w:tcW w:w="1388" w:type="dxa"/>
          </w:tcPr>
          <w:p w14:paraId="71938D1A" w14:textId="77777777" w:rsidR="009A3C2D" w:rsidRPr="0082484A" w:rsidRDefault="009A3C2D" w:rsidP="00272145">
            <w:pPr>
              <w:rPr>
                <w:sz w:val="22"/>
                <w:szCs w:val="22"/>
              </w:rPr>
            </w:pPr>
          </w:p>
        </w:tc>
      </w:tr>
      <w:tr w:rsidR="009A3C2D" w:rsidRPr="0082484A" w14:paraId="1671F3E3" w14:textId="77777777" w:rsidTr="00272145">
        <w:tc>
          <w:tcPr>
            <w:tcW w:w="1634" w:type="dxa"/>
          </w:tcPr>
          <w:p w14:paraId="4161D63E" w14:textId="77777777" w:rsidR="009A3C2D" w:rsidRPr="0082484A" w:rsidRDefault="009A3C2D" w:rsidP="00272145">
            <w:pPr>
              <w:rPr>
                <w:sz w:val="22"/>
                <w:szCs w:val="22"/>
              </w:rPr>
            </w:pPr>
            <w:r w:rsidRPr="0082484A">
              <w:rPr>
                <w:sz w:val="22"/>
                <w:szCs w:val="22"/>
              </w:rPr>
              <w:t>Proportion AKI stage 2-3</w:t>
            </w:r>
          </w:p>
        </w:tc>
        <w:tc>
          <w:tcPr>
            <w:tcW w:w="1500" w:type="dxa"/>
          </w:tcPr>
          <w:p w14:paraId="6164D58C" w14:textId="77777777" w:rsidR="009A3C2D" w:rsidRPr="0082484A" w:rsidRDefault="009A3C2D" w:rsidP="00272145">
            <w:pPr>
              <w:rPr>
                <w:sz w:val="22"/>
                <w:szCs w:val="22"/>
              </w:rPr>
            </w:pPr>
            <w:r w:rsidRPr="0082484A">
              <w:rPr>
                <w:sz w:val="22"/>
                <w:szCs w:val="22"/>
              </w:rPr>
              <w:t>17</w:t>
            </w:r>
          </w:p>
        </w:tc>
        <w:tc>
          <w:tcPr>
            <w:tcW w:w="1669" w:type="dxa"/>
          </w:tcPr>
          <w:p w14:paraId="74615192" w14:textId="77777777" w:rsidR="009A3C2D" w:rsidRPr="0082484A" w:rsidRDefault="009A3C2D" w:rsidP="00272145">
            <w:pPr>
              <w:rPr>
                <w:sz w:val="22"/>
                <w:szCs w:val="22"/>
              </w:rPr>
            </w:pPr>
          </w:p>
        </w:tc>
        <w:tc>
          <w:tcPr>
            <w:tcW w:w="1415" w:type="dxa"/>
          </w:tcPr>
          <w:p w14:paraId="54833597" w14:textId="77777777" w:rsidR="009A3C2D" w:rsidRPr="0082484A" w:rsidRDefault="009A3C2D" w:rsidP="00272145">
            <w:pPr>
              <w:rPr>
                <w:sz w:val="22"/>
                <w:szCs w:val="22"/>
              </w:rPr>
            </w:pPr>
          </w:p>
        </w:tc>
        <w:tc>
          <w:tcPr>
            <w:tcW w:w="1410" w:type="dxa"/>
          </w:tcPr>
          <w:p w14:paraId="48ABBCE5" w14:textId="77777777" w:rsidR="009A3C2D" w:rsidRPr="0082484A" w:rsidRDefault="009A3C2D" w:rsidP="00272145">
            <w:pPr>
              <w:rPr>
                <w:sz w:val="22"/>
                <w:szCs w:val="22"/>
              </w:rPr>
            </w:pPr>
          </w:p>
        </w:tc>
        <w:tc>
          <w:tcPr>
            <w:tcW w:w="1388" w:type="dxa"/>
          </w:tcPr>
          <w:p w14:paraId="7F7A6B43" w14:textId="77777777" w:rsidR="009A3C2D" w:rsidRPr="0082484A" w:rsidRDefault="009A3C2D" w:rsidP="00272145">
            <w:pPr>
              <w:rPr>
                <w:sz w:val="22"/>
                <w:szCs w:val="22"/>
              </w:rPr>
            </w:pPr>
          </w:p>
        </w:tc>
      </w:tr>
      <w:tr w:rsidR="009A3C2D" w:rsidRPr="0082484A" w14:paraId="43F4EC72" w14:textId="77777777" w:rsidTr="00272145">
        <w:tc>
          <w:tcPr>
            <w:tcW w:w="1634" w:type="dxa"/>
          </w:tcPr>
          <w:p w14:paraId="2CA5F966" w14:textId="77777777" w:rsidR="009A3C2D" w:rsidRPr="0082484A" w:rsidRDefault="009A3C2D" w:rsidP="00272145">
            <w:pPr>
              <w:rPr>
                <w:sz w:val="22"/>
                <w:szCs w:val="22"/>
              </w:rPr>
            </w:pPr>
            <w:r w:rsidRPr="0082484A">
              <w:rPr>
                <w:sz w:val="22"/>
                <w:szCs w:val="22"/>
              </w:rPr>
              <w:t>CKD stage 3 to AKI</w:t>
            </w:r>
          </w:p>
        </w:tc>
        <w:tc>
          <w:tcPr>
            <w:tcW w:w="1500" w:type="dxa"/>
          </w:tcPr>
          <w:p w14:paraId="765D7ECA" w14:textId="77777777" w:rsidR="009A3C2D" w:rsidRPr="0082484A" w:rsidRDefault="009A3C2D" w:rsidP="00272145">
            <w:pPr>
              <w:rPr>
                <w:sz w:val="22"/>
                <w:szCs w:val="22"/>
              </w:rPr>
            </w:pPr>
            <w:r w:rsidRPr="0082484A">
              <w:rPr>
                <w:sz w:val="22"/>
                <w:szCs w:val="22"/>
              </w:rPr>
              <w:t>0.037</w:t>
            </w:r>
          </w:p>
        </w:tc>
        <w:tc>
          <w:tcPr>
            <w:tcW w:w="1669" w:type="dxa"/>
          </w:tcPr>
          <w:p w14:paraId="7BD6092F" w14:textId="77777777" w:rsidR="009A3C2D" w:rsidRPr="0082484A" w:rsidRDefault="009A3C2D" w:rsidP="00272145">
            <w:pPr>
              <w:rPr>
                <w:sz w:val="22"/>
                <w:szCs w:val="22"/>
              </w:rPr>
            </w:pPr>
          </w:p>
        </w:tc>
        <w:tc>
          <w:tcPr>
            <w:tcW w:w="1415" w:type="dxa"/>
          </w:tcPr>
          <w:p w14:paraId="5D2B4F60" w14:textId="77777777" w:rsidR="009A3C2D" w:rsidRPr="0082484A" w:rsidRDefault="009A3C2D" w:rsidP="00272145">
            <w:pPr>
              <w:rPr>
                <w:sz w:val="22"/>
                <w:szCs w:val="22"/>
              </w:rPr>
            </w:pPr>
          </w:p>
        </w:tc>
        <w:tc>
          <w:tcPr>
            <w:tcW w:w="1410" w:type="dxa"/>
          </w:tcPr>
          <w:p w14:paraId="61910717" w14:textId="77777777" w:rsidR="009A3C2D" w:rsidRPr="0082484A" w:rsidRDefault="009A3C2D" w:rsidP="00272145">
            <w:pPr>
              <w:rPr>
                <w:sz w:val="22"/>
                <w:szCs w:val="22"/>
              </w:rPr>
            </w:pPr>
          </w:p>
        </w:tc>
        <w:tc>
          <w:tcPr>
            <w:tcW w:w="1388" w:type="dxa"/>
          </w:tcPr>
          <w:p w14:paraId="13C9E8CE" w14:textId="77777777" w:rsidR="009A3C2D" w:rsidRPr="0082484A" w:rsidRDefault="009A3C2D" w:rsidP="00272145">
            <w:pPr>
              <w:rPr>
                <w:sz w:val="22"/>
                <w:szCs w:val="22"/>
              </w:rPr>
            </w:pPr>
          </w:p>
        </w:tc>
      </w:tr>
      <w:tr w:rsidR="009A3C2D" w:rsidRPr="0082484A" w14:paraId="69363D5B" w14:textId="77777777" w:rsidTr="00272145">
        <w:tc>
          <w:tcPr>
            <w:tcW w:w="1634" w:type="dxa"/>
          </w:tcPr>
          <w:p w14:paraId="261FA170" w14:textId="77777777" w:rsidR="009A3C2D" w:rsidRPr="0082484A" w:rsidRDefault="009A3C2D" w:rsidP="00272145">
            <w:pPr>
              <w:rPr>
                <w:sz w:val="22"/>
                <w:szCs w:val="22"/>
              </w:rPr>
            </w:pPr>
            <w:r w:rsidRPr="0082484A">
              <w:rPr>
                <w:sz w:val="22"/>
                <w:szCs w:val="22"/>
              </w:rPr>
              <w:t>CKD stage 4 to AKI</w:t>
            </w:r>
          </w:p>
        </w:tc>
        <w:tc>
          <w:tcPr>
            <w:tcW w:w="1500" w:type="dxa"/>
          </w:tcPr>
          <w:p w14:paraId="26811F3B" w14:textId="77777777" w:rsidR="009A3C2D" w:rsidRPr="0082484A" w:rsidRDefault="009A3C2D" w:rsidP="00272145">
            <w:pPr>
              <w:rPr>
                <w:sz w:val="22"/>
                <w:szCs w:val="22"/>
              </w:rPr>
            </w:pPr>
            <w:r w:rsidRPr="0082484A">
              <w:rPr>
                <w:sz w:val="22"/>
                <w:szCs w:val="22"/>
              </w:rPr>
              <w:t>0.215</w:t>
            </w:r>
          </w:p>
        </w:tc>
        <w:tc>
          <w:tcPr>
            <w:tcW w:w="1669" w:type="dxa"/>
          </w:tcPr>
          <w:p w14:paraId="4297D03B" w14:textId="77777777" w:rsidR="009A3C2D" w:rsidRPr="0082484A" w:rsidRDefault="009A3C2D" w:rsidP="00272145">
            <w:pPr>
              <w:rPr>
                <w:sz w:val="22"/>
                <w:szCs w:val="22"/>
              </w:rPr>
            </w:pPr>
          </w:p>
        </w:tc>
        <w:tc>
          <w:tcPr>
            <w:tcW w:w="1415" w:type="dxa"/>
          </w:tcPr>
          <w:p w14:paraId="551C514E" w14:textId="77777777" w:rsidR="009A3C2D" w:rsidRPr="0082484A" w:rsidRDefault="009A3C2D" w:rsidP="00272145">
            <w:pPr>
              <w:rPr>
                <w:sz w:val="22"/>
                <w:szCs w:val="22"/>
              </w:rPr>
            </w:pPr>
          </w:p>
        </w:tc>
        <w:tc>
          <w:tcPr>
            <w:tcW w:w="1410" w:type="dxa"/>
          </w:tcPr>
          <w:p w14:paraId="3A68106D" w14:textId="77777777" w:rsidR="009A3C2D" w:rsidRPr="0082484A" w:rsidRDefault="009A3C2D" w:rsidP="00272145">
            <w:pPr>
              <w:rPr>
                <w:sz w:val="22"/>
                <w:szCs w:val="22"/>
              </w:rPr>
            </w:pPr>
          </w:p>
        </w:tc>
        <w:tc>
          <w:tcPr>
            <w:tcW w:w="1388" w:type="dxa"/>
          </w:tcPr>
          <w:p w14:paraId="454AFF70" w14:textId="77777777" w:rsidR="009A3C2D" w:rsidRPr="0082484A" w:rsidRDefault="009A3C2D" w:rsidP="00272145">
            <w:pPr>
              <w:rPr>
                <w:sz w:val="22"/>
                <w:szCs w:val="22"/>
              </w:rPr>
            </w:pPr>
          </w:p>
        </w:tc>
      </w:tr>
      <w:tr w:rsidR="009A3C2D" w:rsidRPr="0082484A" w14:paraId="0554E924" w14:textId="77777777" w:rsidTr="00272145">
        <w:tc>
          <w:tcPr>
            <w:tcW w:w="9016" w:type="dxa"/>
            <w:gridSpan w:val="6"/>
          </w:tcPr>
          <w:p w14:paraId="60DCCBCF" w14:textId="77777777" w:rsidR="009A3C2D" w:rsidRPr="0082484A" w:rsidRDefault="009A3C2D" w:rsidP="00272145">
            <w:pPr>
              <w:rPr>
                <w:sz w:val="22"/>
                <w:szCs w:val="22"/>
              </w:rPr>
            </w:pPr>
          </w:p>
          <w:p w14:paraId="1183B8CA" w14:textId="77777777" w:rsidR="009A3C2D" w:rsidRPr="0082484A" w:rsidRDefault="009A3C2D" w:rsidP="00272145">
            <w:pPr>
              <w:rPr>
                <w:sz w:val="22"/>
                <w:szCs w:val="22"/>
              </w:rPr>
            </w:pPr>
            <w:r w:rsidRPr="0082484A">
              <w:rPr>
                <w:i/>
                <w:sz w:val="22"/>
                <w:szCs w:val="22"/>
              </w:rPr>
              <w:t>Relative Risk associated with NSAID use</w:t>
            </w:r>
          </w:p>
        </w:tc>
      </w:tr>
      <w:tr w:rsidR="009A3C2D" w:rsidRPr="0082484A" w14:paraId="20300E8A" w14:textId="77777777" w:rsidTr="00272145">
        <w:tc>
          <w:tcPr>
            <w:tcW w:w="1634" w:type="dxa"/>
          </w:tcPr>
          <w:p w14:paraId="2580AFB2" w14:textId="77777777" w:rsidR="009A3C2D" w:rsidRPr="0082484A" w:rsidRDefault="009A3C2D" w:rsidP="00272145">
            <w:pPr>
              <w:rPr>
                <w:sz w:val="22"/>
                <w:szCs w:val="22"/>
              </w:rPr>
            </w:pPr>
            <w:r w:rsidRPr="0082484A">
              <w:rPr>
                <w:sz w:val="22"/>
                <w:szCs w:val="22"/>
              </w:rPr>
              <w:t>Increased risk of CKD stage 3-4 to 5</w:t>
            </w:r>
          </w:p>
        </w:tc>
        <w:tc>
          <w:tcPr>
            <w:tcW w:w="1500" w:type="dxa"/>
          </w:tcPr>
          <w:p w14:paraId="54E0FA2F" w14:textId="77777777" w:rsidR="009A3C2D" w:rsidRPr="0082484A" w:rsidRDefault="009A3C2D" w:rsidP="00272145">
            <w:pPr>
              <w:rPr>
                <w:sz w:val="22"/>
                <w:szCs w:val="22"/>
              </w:rPr>
            </w:pPr>
            <w:r w:rsidRPr="0082484A">
              <w:rPr>
                <w:sz w:val="22"/>
                <w:szCs w:val="22"/>
              </w:rPr>
              <w:t xml:space="preserve">1.29 </w:t>
            </w:r>
          </w:p>
        </w:tc>
        <w:tc>
          <w:tcPr>
            <w:tcW w:w="1669" w:type="dxa"/>
          </w:tcPr>
          <w:p w14:paraId="55EAB198" w14:textId="77777777" w:rsidR="009A3C2D" w:rsidRPr="0082484A" w:rsidRDefault="009A3C2D" w:rsidP="00272145">
            <w:pPr>
              <w:rPr>
                <w:sz w:val="22"/>
                <w:szCs w:val="22"/>
              </w:rPr>
            </w:pPr>
          </w:p>
        </w:tc>
        <w:tc>
          <w:tcPr>
            <w:tcW w:w="1415" w:type="dxa"/>
          </w:tcPr>
          <w:p w14:paraId="27ABE9DD" w14:textId="77777777" w:rsidR="009A3C2D" w:rsidRPr="0082484A" w:rsidRDefault="009A3C2D" w:rsidP="00272145">
            <w:pPr>
              <w:rPr>
                <w:sz w:val="22"/>
                <w:szCs w:val="22"/>
              </w:rPr>
            </w:pPr>
            <w:r w:rsidRPr="0082484A">
              <w:rPr>
                <w:sz w:val="22"/>
                <w:szCs w:val="22"/>
              </w:rPr>
              <w:t>Lower CI = 1.02</w:t>
            </w:r>
          </w:p>
        </w:tc>
        <w:tc>
          <w:tcPr>
            <w:tcW w:w="1410" w:type="dxa"/>
          </w:tcPr>
          <w:p w14:paraId="09378E5E" w14:textId="77777777" w:rsidR="009A3C2D" w:rsidRPr="0082484A" w:rsidRDefault="009A3C2D" w:rsidP="00272145">
            <w:pPr>
              <w:rPr>
                <w:sz w:val="22"/>
                <w:szCs w:val="22"/>
              </w:rPr>
            </w:pPr>
            <w:r w:rsidRPr="0082484A">
              <w:rPr>
                <w:sz w:val="22"/>
                <w:szCs w:val="22"/>
              </w:rPr>
              <w:t>Upper CI = 1.63</w:t>
            </w:r>
          </w:p>
        </w:tc>
        <w:tc>
          <w:tcPr>
            <w:tcW w:w="1388" w:type="dxa"/>
          </w:tcPr>
          <w:p w14:paraId="335D5FC6" w14:textId="495E9DF4" w:rsidR="009A3C2D" w:rsidRPr="0082484A" w:rsidRDefault="009A3C2D" w:rsidP="00952E85">
            <w:pPr>
              <w:rPr>
                <w:sz w:val="22"/>
                <w:szCs w:val="22"/>
              </w:rPr>
            </w:pPr>
            <w:r w:rsidRPr="0082484A">
              <w:rPr>
                <w:sz w:val="22"/>
                <w:szCs w:val="22"/>
              </w:rPr>
              <w:t xml:space="preserve">Gooch </w:t>
            </w:r>
            <w:r w:rsidRPr="0082484A">
              <w:rPr>
                <w:i/>
                <w:sz w:val="22"/>
                <w:szCs w:val="22"/>
              </w:rPr>
              <w:t>et al</w:t>
            </w:r>
            <w:r w:rsidRPr="0082484A">
              <w:rPr>
                <w:sz w:val="22"/>
                <w:szCs w:val="22"/>
              </w:rPr>
              <w:t>. (2007)</w:t>
            </w:r>
            <w:r w:rsidRPr="0082484A">
              <w:rPr>
                <w:sz w:val="22"/>
                <w:szCs w:val="22"/>
              </w:rPr>
              <w:fldChar w:fldCharType="begin">
                <w:fldData xml:space="preserve">PEVuZE5vdGU+PENpdGU+PEF1dGhvcj5Hb29jaDwvQXV0aG9yPjxZZWFyPjIwMDc8L1llYXI+PFJl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=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PEVuZE5vdGU+PENpdGU+PEF1dGhvcj5Hb29jaDwvQXV0aG9yPjxZZWFyPjIwMDc8L1llYXI+PFJl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=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10</w:t>
            </w:r>
            <w:r w:rsidRPr="0082484A">
              <w:rPr>
                <w:sz w:val="22"/>
                <w:szCs w:val="22"/>
              </w:rPr>
              <w:fldChar w:fldCharType="end"/>
            </w:r>
          </w:p>
        </w:tc>
      </w:tr>
      <w:tr w:rsidR="009A3C2D" w:rsidRPr="0082484A" w14:paraId="3D9B362A" w14:textId="77777777" w:rsidTr="00272145">
        <w:tc>
          <w:tcPr>
            <w:tcW w:w="1634" w:type="dxa"/>
          </w:tcPr>
          <w:p w14:paraId="6EAA9547" w14:textId="77777777" w:rsidR="009A3C2D" w:rsidRPr="0082484A" w:rsidRDefault="009A3C2D" w:rsidP="00272145">
            <w:pPr>
              <w:rPr>
                <w:sz w:val="22"/>
                <w:szCs w:val="22"/>
              </w:rPr>
            </w:pPr>
            <w:r w:rsidRPr="0082484A">
              <w:rPr>
                <w:sz w:val="22"/>
                <w:szCs w:val="22"/>
              </w:rPr>
              <w:t>Increased risk of AKI</w:t>
            </w:r>
          </w:p>
        </w:tc>
        <w:tc>
          <w:tcPr>
            <w:tcW w:w="1500" w:type="dxa"/>
          </w:tcPr>
          <w:p w14:paraId="212DBA22" w14:textId="77777777" w:rsidR="009A3C2D" w:rsidRPr="0082484A" w:rsidRDefault="009A3C2D" w:rsidP="00272145">
            <w:pPr>
              <w:rPr>
                <w:sz w:val="22"/>
                <w:szCs w:val="22"/>
              </w:rPr>
            </w:pPr>
            <w:r w:rsidRPr="0082484A">
              <w:rPr>
                <w:sz w:val="22"/>
                <w:szCs w:val="22"/>
              </w:rPr>
              <w:t>1.63</w:t>
            </w:r>
          </w:p>
        </w:tc>
        <w:tc>
          <w:tcPr>
            <w:tcW w:w="1669" w:type="dxa"/>
          </w:tcPr>
          <w:p w14:paraId="724A6F35" w14:textId="77777777" w:rsidR="009A3C2D" w:rsidRPr="0082484A" w:rsidRDefault="009A3C2D" w:rsidP="00272145">
            <w:pPr>
              <w:rPr>
                <w:sz w:val="22"/>
                <w:szCs w:val="22"/>
              </w:rPr>
            </w:pPr>
          </w:p>
        </w:tc>
        <w:tc>
          <w:tcPr>
            <w:tcW w:w="1415" w:type="dxa"/>
          </w:tcPr>
          <w:p w14:paraId="2C9941AF" w14:textId="77777777" w:rsidR="009A3C2D" w:rsidRPr="0082484A" w:rsidRDefault="009A3C2D" w:rsidP="00272145">
            <w:pPr>
              <w:rPr>
                <w:sz w:val="22"/>
                <w:szCs w:val="22"/>
              </w:rPr>
            </w:pPr>
            <w:r w:rsidRPr="0082484A">
              <w:rPr>
                <w:sz w:val="22"/>
                <w:szCs w:val="22"/>
              </w:rPr>
              <w:t>Lower CI = 1.22</w:t>
            </w:r>
          </w:p>
        </w:tc>
        <w:tc>
          <w:tcPr>
            <w:tcW w:w="1410" w:type="dxa"/>
          </w:tcPr>
          <w:p w14:paraId="0E79B31D" w14:textId="77777777" w:rsidR="009A3C2D" w:rsidRPr="0082484A" w:rsidRDefault="009A3C2D" w:rsidP="00272145">
            <w:pPr>
              <w:rPr>
                <w:sz w:val="22"/>
                <w:szCs w:val="22"/>
              </w:rPr>
            </w:pPr>
            <w:r w:rsidRPr="0082484A">
              <w:rPr>
                <w:sz w:val="22"/>
                <w:szCs w:val="22"/>
              </w:rPr>
              <w:t>Upper CI = 2.19</w:t>
            </w:r>
          </w:p>
        </w:tc>
        <w:tc>
          <w:tcPr>
            <w:tcW w:w="1388" w:type="dxa"/>
          </w:tcPr>
          <w:p w14:paraId="6DD91F85" w14:textId="65298AE7" w:rsidR="009A3C2D" w:rsidRPr="0082484A" w:rsidRDefault="009A3C2D" w:rsidP="00952E85">
            <w:pPr>
              <w:rPr>
                <w:sz w:val="22"/>
                <w:szCs w:val="22"/>
              </w:rPr>
            </w:pPr>
            <w:r w:rsidRPr="0082484A">
              <w:rPr>
                <w:sz w:val="22"/>
                <w:szCs w:val="22"/>
              </w:rPr>
              <w:t xml:space="preserve">Zhang </w:t>
            </w:r>
            <w:r w:rsidRPr="0082484A">
              <w:rPr>
                <w:i/>
                <w:sz w:val="22"/>
                <w:szCs w:val="22"/>
              </w:rPr>
              <w:t>et al</w:t>
            </w:r>
            <w:r w:rsidRPr="0082484A">
              <w:rPr>
                <w:sz w:val="22"/>
                <w:szCs w:val="22"/>
              </w:rPr>
              <w:t>. (2017)</w:t>
            </w:r>
            <w:r w:rsidRPr="0082484A">
              <w:rPr>
                <w:sz w:val="22"/>
                <w:szCs w:val="22"/>
              </w:rPr>
              <w:fldChar w:fldCharType="begin"/>
            </w:r>
            <w:r w:rsidR="00952E85" w:rsidRPr="0082484A">
              <w:rPr>
                <w:sz w:val="22"/>
                <w:szCs w:val="22"/>
              </w:rPr>
              <w:instrText xml:space="preserve"> ADDIN EN.CITE &lt;EndNote&gt;&lt;Cite&gt;&lt;Author&gt;Zhang&lt;/Author&gt;&lt;Year&gt;2017&lt;/Year&gt;&lt;RecNum&gt;3347&lt;/RecNum&gt;&lt;DisplayText&gt;&lt;style face="superscript"&gt;11&lt;/style&gt;&lt;/DisplayText&gt;&lt;record&gt;&lt;rec-number&gt;3347&lt;/rec-number&gt;&lt;foreign-keys&gt;&lt;key app="EN" db-id="5srzarxr5dr9r5es2r7xst9lr9t2rewrpffr" timestamp="1516889572"&gt;3347&lt;/key&gt;&lt;/foreign-keys&gt;&lt;ref-type name="Journal Article"&gt;17&lt;/ref-type&gt;&lt;contributors&gt;&lt;authors&gt;&lt;author&gt;Zhang, X. Y.&lt;/author&gt;&lt;author&gt;Donnan, P. T.&lt;/author&gt;&lt;author&gt;Bell, S.&lt;/author&gt;&lt;author&gt;Guthrie, B.&lt;/author&gt;&lt;/authors&gt;&lt;/contributors&gt;&lt;auth-address&gt;Univ Dundee, Div Populat Hlth Sci, Mackenzie Bldg,Kirsty Semple Way, Dundee DD2 4BF, Scotland&amp;#xD;Ninewells Hosp, Renal Unit, Dundee, Scotland&lt;/auth-address&gt;&lt;titles&gt;&lt;title&gt;Non-steroidal anti-inflammatory drug induced acute kidney injury in the community dwelling general population and people with chronic kidney disease: systematic review and meta-analysis&lt;/title&gt;&lt;secondary-title&gt;Bmc Nephrology&lt;/secondary-title&gt;&lt;alt-title&gt;Bmc Nephrol&lt;/alt-title&gt;&lt;/titles&gt;&lt;periodical&gt;&lt;full-title&gt;BMC nephrology&lt;/full-title&gt;&lt;/periodical&gt;&lt;volume&gt;18&lt;/volume&gt;&lt;keywords&gt;&lt;keyword&gt;acute kidney injury&lt;/keyword&gt;&lt;keyword&gt;chronic kidney disease&lt;/keyword&gt;&lt;keyword&gt;non-steroidal anti-inflammatory drugs&lt;/keyword&gt;&lt;keyword&gt;pharmacoepidemiology&lt;/keyword&gt;&lt;keyword&gt;acute-renal-failure&lt;/keyword&gt;&lt;keyword&gt;gastrointestinal toxicity&lt;/keyword&gt;&lt;keyword&gt;controlled-trial&lt;/keyword&gt;&lt;keyword&gt;elderly persons&lt;/keyword&gt;&lt;keyword&gt;risk&lt;/keyword&gt;&lt;keyword&gt;inhibitors&lt;/keyword&gt;&lt;keyword&gt;cyclooxygenase-2&lt;/keyword&gt;&lt;keyword&gt;hospitalization&lt;/keyword&gt;&lt;keyword&gt;prescription&lt;/keyword&gt;&lt;keyword&gt;impairment&lt;/keyword&gt;&lt;/keywords&gt;&lt;dates&gt;&lt;year&gt;2017&lt;/year&gt;&lt;pub-dates&gt;&lt;date&gt;Aug 1&lt;/date&gt;&lt;/pub-dates&gt;&lt;/dates&gt;&lt;isbn&gt;1471-2369&lt;/isbn&gt;&lt;accession-num&gt;WOS:000406869400001&lt;/accession-num&gt;&lt;urls&gt;&lt;related-urls&gt;&lt;url&gt;&amp;lt;Go to ISI&amp;gt;://WOS:000406869400001&lt;/url&gt;&lt;/related-urls&gt;&lt;/urls&gt;&lt;electronic-resource-num&gt;ARTN 256&amp;#xD;10.1186/s12882-017-0673-8&lt;/electronic-resource-num&gt;&lt;language&gt;English&lt;/language&gt;&lt;/record&gt;&lt;/Cite&gt;&lt;/EndNote&gt;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11</w:t>
            </w:r>
            <w:r w:rsidRPr="0082484A">
              <w:rPr>
                <w:sz w:val="22"/>
                <w:szCs w:val="22"/>
              </w:rPr>
              <w:fldChar w:fldCharType="end"/>
            </w:r>
          </w:p>
        </w:tc>
      </w:tr>
      <w:tr w:rsidR="009A3C2D" w:rsidRPr="0082484A" w14:paraId="1045F1AA" w14:textId="77777777" w:rsidTr="00272145">
        <w:tc>
          <w:tcPr>
            <w:tcW w:w="9016" w:type="dxa"/>
            <w:gridSpan w:val="6"/>
          </w:tcPr>
          <w:p w14:paraId="0679C50C" w14:textId="77777777" w:rsidR="009A3C2D" w:rsidRPr="0082484A" w:rsidRDefault="009A3C2D" w:rsidP="00272145">
            <w:pPr>
              <w:rPr>
                <w:sz w:val="22"/>
                <w:szCs w:val="22"/>
              </w:rPr>
            </w:pPr>
          </w:p>
          <w:p w14:paraId="08892465" w14:textId="77777777" w:rsidR="009A3C2D" w:rsidRPr="0082484A" w:rsidRDefault="009A3C2D" w:rsidP="00272145">
            <w:pPr>
              <w:rPr>
                <w:i/>
                <w:sz w:val="22"/>
                <w:szCs w:val="22"/>
              </w:rPr>
            </w:pPr>
            <w:r w:rsidRPr="0082484A">
              <w:rPr>
                <w:i/>
                <w:sz w:val="22"/>
                <w:szCs w:val="22"/>
              </w:rPr>
              <w:t>Mortality rates</w:t>
            </w:r>
          </w:p>
        </w:tc>
      </w:tr>
      <w:tr w:rsidR="009A3C2D" w:rsidRPr="0082484A" w14:paraId="0D8F343F" w14:textId="77777777" w:rsidTr="00272145">
        <w:tc>
          <w:tcPr>
            <w:tcW w:w="1634" w:type="dxa"/>
          </w:tcPr>
          <w:p w14:paraId="6654B85C" w14:textId="77777777" w:rsidR="009A3C2D" w:rsidRPr="0082484A" w:rsidRDefault="009A3C2D" w:rsidP="00272145">
            <w:pPr>
              <w:rPr>
                <w:sz w:val="22"/>
                <w:szCs w:val="22"/>
              </w:rPr>
            </w:pPr>
            <w:r w:rsidRPr="0082484A">
              <w:rPr>
                <w:sz w:val="22"/>
                <w:szCs w:val="22"/>
              </w:rPr>
              <w:t>AKI stage 1 to death</w:t>
            </w:r>
          </w:p>
        </w:tc>
        <w:tc>
          <w:tcPr>
            <w:tcW w:w="1500" w:type="dxa"/>
          </w:tcPr>
          <w:p w14:paraId="5B3184B3" w14:textId="77777777" w:rsidR="009A3C2D" w:rsidRPr="0082484A" w:rsidRDefault="009A3C2D" w:rsidP="00272145">
            <w:pPr>
              <w:rPr>
                <w:sz w:val="22"/>
                <w:szCs w:val="22"/>
              </w:rPr>
            </w:pPr>
            <w:r w:rsidRPr="0082484A">
              <w:rPr>
                <w:sz w:val="22"/>
                <w:szCs w:val="22"/>
              </w:rPr>
              <w:t>13.6</w:t>
            </w:r>
          </w:p>
        </w:tc>
        <w:tc>
          <w:tcPr>
            <w:tcW w:w="1669" w:type="dxa"/>
          </w:tcPr>
          <w:p w14:paraId="15BCBAB8" w14:textId="77777777" w:rsidR="009A3C2D" w:rsidRPr="0082484A" w:rsidRDefault="009A3C2D" w:rsidP="00272145">
            <w:pPr>
              <w:rPr>
                <w:sz w:val="22"/>
                <w:szCs w:val="22"/>
              </w:rPr>
            </w:pPr>
            <w:r w:rsidRPr="0082484A">
              <w:rPr>
                <w:sz w:val="22"/>
                <w:szCs w:val="22"/>
              </w:rPr>
              <w:t>Beta</w:t>
            </w:r>
          </w:p>
        </w:tc>
        <w:tc>
          <w:tcPr>
            <w:tcW w:w="1415" w:type="dxa"/>
          </w:tcPr>
          <w:p w14:paraId="0453E9B5" w14:textId="77777777" w:rsidR="009A3C2D" w:rsidRPr="0082484A" w:rsidRDefault="009A3C2D" w:rsidP="00272145">
            <w:pPr>
              <w:rPr>
                <w:sz w:val="22"/>
                <w:szCs w:val="22"/>
              </w:rPr>
            </w:pPr>
            <w:r w:rsidRPr="0082484A">
              <w:rPr>
                <w:sz w:val="22"/>
                <w:szCs w:val="22"/>
              </w:rPr>
              <w:t>220</w:t>
            </w:r>
          </w:p>
        </w:tc>
        <w:tc>
          <w:tcPr>
            <w:tcW w:w="1410" w:type="dxa"/>
          </w:tcPr>
          <w:p w14:paraId="22397576" w14:textId="77777777" w:rsidR="009A3C2D" w:rsidRPr="0082484A" w:rsidRDefault="009A3C2D" w:rsidP="00272145">
            <w:pPr>
              <w:rPr>
                <w:sz w:val="22"/>
                <w:szCs w:val="22"/>
              </w:rPr>
            </w:pPr>
            <w:r w:rsidRPr="0082484A">
              <w:rPr>
                <w:sz w:val="22"/>
                <w:szCs w:val="22"/>
              </w:rPr>
              <w:t>1405</w:t>
            </w:r>
          </w:p>
        </w:tc>
        <w:tc>
          <w:tcPr>
            <w:tcW w:w="1388" w:type="dxa"/>
          </w:tcPr>
          <w:p w14:paraId="115BE5E5" w14:textId="5F9287EE" w:rsidR="009A3C2D" w:rsidRPr="0082484A" w:rsidRDefault="009A3C2D" w:rsidP="00952E85">
            <w:pPr>
              <w:rPr>
                <w:sz w:val="22"/>
                <w:szCs w:val="22"/>
              </w:rPr>
            </w:pPr>
            <w:r w:rsidRPr="0082484A">
              <w:rPr>
                <w:sz w:val="22"/>
                <w:szCs w:val="22"/>
              </w:rPr>
              <w:t>All values taken from NICE CG169</w:t>
            </w:r>
            <w:r w:rsidRPr="0082484A">
              <w:rPr>
                <w:sz w:val="22"/>
                <w:szCs w:val="22"/>
              </w:rPr>
              <w:fldChar w:fldCharType="begin"/>
            </w:r>
            <w:r w:rsidR="00952E85" w:rsidRPr="0082484A">
              <w:rPr>
                <w:sz w:val="22"/>
                <w:szCs w:val="22"/>
              </w:rPr>
              <w:instrText xml:space="preserve"> ADDIN EN.CITE &lt;EndNote&gt;&lt;Cite&gt;&lt;Author&gt;National Institute for Health and Care Excellence&lt;/Author&gt;&lt;Year&gt;2013&lt;/Year&gt;&lt;RecNum&gt;3306&lt;/RecNum&gt;&lt;DisplayText&gt;&lt;style face="superscript"&gt;9&lt;/style&gt;&lt;/DisplayText&gt;&lt;record&gt;&lt;rec-number&gt;3306&lt;/rec-number&gt;&lt;foreign-keys&gt;&lt;key app="EN" db-id="5srzarxr5dr9r5es2r7xst9lr9t2rewrpffr" timestamp="1516018988"&gt;3306&lt;/key&gt;&lt;/foreign-keys&gt;&lt;ref-type name="Report"&gt;27&lt;/ref-type&gt;&lt;contributors&gt;&lt;authors&gt;&lt;author&gt;National Institute for Health and Care Excellence,&lt;/author&gt;&lt;/authors&gt;&lt;/contributors&gt;&lt;titles&gt;&lt;title&gt;Acute kidney injury: prevention, detection and management [CG169]&lt;/title&gt;&lt;/titles&gt;&lt;dates&gt;&lt;year&gt;2013&lt;/year&gt;&lt;/dates&gt;&lt;urls&gt;&lt;/urls&gt;&lt;/record&gt;&lt;/Cite&gt;&lt;/EndNote&gt;</w:instrText>
            </w:r>
            <w:r w:rsidRPr="0082484A">
              <w:rPr>
                <w:sz w:val="22"/>
                <w:szCs w:val="22"/>
              </w:rPr>
              <w:fldChar w:fldCharType="separate"/>
            </w:r>
            <w:r w:rsidR="00952E85" w:rsidRPr="0082484A">
              <w:rPr>
                <w:noProof/>
                <w:sz w:val="22"/>
                <w:szCs w:val="22"/>
                <w:vertAlign w:val="superscript"/>
              </w:rPr>
              <w:t>9</w:t>
            </w:r>
            <w:r w:rsidRPr="0082484A">
              <w:rPr>
                <w:sz w:val="22"/>
                <w:szCs w:val="22"/>
              </w:rPr>
              <w:fldChar w:fldCharType="end"/>
            </w:r>
          </w:p>
        </w:tc>
      </w:tr>
      <w:tr w:rsidR="009A3C2D" w:rsidRPr="0082484A" w14:paraId="4E9583E5" w14:textId="77777777" w:rsidTr="00272145">
        <w:tc>
          <w:tcPr>
            <w:tcW w:w="1634" w:type="dxa"/>
          </w:tcPr>
          <w:p w14:paraId="49D41540" w14:textId="77777777" w:rsidR="009A3C2D" w:rsidRPr="0082484A" w:rsidRDefault="009A3C2D" w:rsidP="00272145">
            <w:pPr>
              <w:rPr>
                <w:sz w:val="22"/>
                <w:szCs w:val="22"/>
              </w:rPr>
            </w:pPr>
            <w:r w:rsidRPr="0082484A">
              <w:rPr>
                <w:sz w:val="22"/>
                <w:szCs w:val="22"/>
              </w:rPr>
              <w:t>AKI stage 2-3 to death</w:t>
            </w:r>
          </w:p>
        </w:tc>
        <w:tc>
          <w:tcPr>
            <w:tcW w:w="1500" w:type="dxa"/>
          </w:tcPr>
          <w:p w14:paraId="68401336" w14:textId="77777777" w:rsidR="009A3C2D" w:rsidRPr="0082484A" w:rsidRDefault="009A3C2D" w:rsidP="00272145">
            <w:pPr>
              <w:rPr>
                <w:sz w:val="22"/>
                <w:szCs w:val="22"/>
              </w:rPr>
            </w:pPr>
            <w:r w:rsidRPr="0082484A">
              <w:rPr>
                <w:sz w:val="22"/>
                <w:szCs w:val="22"/>
              </w:rPr>
              <w:t>37.8</w:t>
            </w:r>
          </w:p>
        </w:tc>
        <w:tc>
          <w:tcPr>
            <w:tcW w:w="1669" w:type="dxa"/>
          </w:tcPr>
          <w:p w14:paraId="7D2DEC16" w14:textId="77777777" w:rsidR="009A3C2D" w:rsidRPr="0082484A" w:rsidRDefault="009A3C2D" w:rsidP="00272145">
            <w:pPr>
              <w:rPr>
                <w:sz w:val="22"/>
                <w:szCs w:val="22"/>
              </w:rPr>
            </w:pPr>
            <w:r w:rsidRPr="0082484A">
              <w:rPr>
                <w:sz w:val="22"/>
                <w:szCs w:val="22"/>
              </w:rPr>
              <w:t>Beta</w:t>
            </w:r>
          </w:p>
        </w:tc>
        <w:tc>
          <w:tcPr>
            <w:tcW w:w="1415" w:type="dxa"/>
          </w:tcPr>
          <w:p w14:paraId="65C6F04A" w14:textId="77777777" w:rsidR="009A3C2D" w:rsidRPr="0082484A" w:rsidRDefault="009A3C2D" w:rsidP="00272145">
            <w:pPr>
              <w:rPr>
                <w:sz w:val="22"/>
                <w:szCs w:val="22"/>
              </w:rPr>
            </w:pPr>
            <w:r w:rsidRPr="0082484A">
              <w:rPr>
                <w:sz w:val="22"/>
                <w:szCs w:val="22"/>
              </w:rPr>
              <w:t>144</w:t>
            </w:r>
          </w:p>
        </w:tc>
        <w:tc>
          <w:tcPr>
            <w:tcW w:w="1410" w:type="dxa"/>
          </w:tcPr>
          <w:p w14:paraId="1BFD4118" w14:textId="77777777" w:rsidR="009A3C2D" w:rsidRPr="0082484A" w:rsidRDefault="009A3C2D" w:rsidP="00272145">
            <w:pPr>
              <w:rPr>
                <w:sz w:val="22"/>
                <w:szCs w:val="22"/>
              </w:rPr>
            </w:pPr>
            <w:r w:rsidRPr="0082484A">
              <w:rPr>
                <w:sz w:val="22"/>
                <w:szCs w:val="22"/>
              </w:rPr>
              <w:t>237</w:t>
            </w:r>
          </w:p>
        </w:tc>
        <w:tc>
          <w:tcPr>
            <w:tcW w:w="1388" w:type="dxa"/>
          </w:tcPr>
          <w:p w14:paraId="5DB6F302" w14:textId="77777777" w:rsidR="009A3C2D" w:rsidRPr="0082484A" w:rsidRDefault="009A3C2D" w:rsidP="00272145">
            <w:pPr>
              <w:rPr>
                <w:sz w:val="22"/>
                <w:szCs w:val="22"/>
              </w:rPr>
            </w:pPr>
          </w:p>
        </w:tc>
      </w:tr>
      <w:tr w:rsidR="009A3C2D" w:rsidRPr="0082484A" w14:paraId="4AC13463" w14:textId="77777777" w:rsidTr="00272145">
        <w:tc>
          <w:tcPr>
            <w:tcW w:w="1634" w:type="dxa"/>
          </w:tcPr>
          <w:p w14:paraId="58F1BECF" w14:textId="77777777" w:rsidR="009A3C2D" w:rsidRPr="0082484A" w:rsidRDefault="009A3C2D" w:rsidP="00272145">
            <w:pPr>
              <w:rPr>
                <w:sz w:val="22"/>
                <w:szCs w:val="22"/>
              </w:rPr>
            </w:pPr>
            <w:r w:rsidRPr="0082484A">
              <w:rPr>
                <w:sz w:val="22"/>
                <w:szCs w:val="22"/>
              </w:rPr>
              <w:t>CKD stage 3-4 (&lt;69 years) to death</w:t>
            </w:r>
          </w:p>
        </w:tc>
        <w:tc>
          <w:tcPr>
            <w:tcW w:w="1500" w:type="dxa"/>
          </w:tcPr>
          <w:p w14:paraId="4D31E423" w14:textId="77777777" w:rsidR="009A3C2D" w:rsidRPr="0082484A" w:rsidRDefault="009A3C2D" w:rsidP="00272145">
            <w:pPr>
              <w:rPr>
                <w:sz w:val="22"/>
                <w:szCs w:val="22"/>
              </w:rPr>
            </w:pPr>
          </w:p>
        </w:tc>
        <w:tc>
          <w:tcPr>
            <w:tcW w:w="1669" w:type="dxa"/>
          </w:tcPr>
          <w:p w14:paraId="0E0A03DC" w14:textId="77777777" w:rsidR="009A3C2D" w:rsidRPr="0082484A" w:rsidRDefault="009A3C2D" w:rsidP="00272145">
            <w:pPr>
              <w:rPr>
                <w:sz w:val="22"/>
                <w:szCs w:val="22"/>
              </w:rPr>
            </w:pPr>
          </w:p>
        </w:tc>
        <w:tc>
          <w:tcPr>
            <w:tcW w:w="1415" w:type="dxa"/>
          </w:tcPr>
          <w:p w14:paraId="3142CD0A" w14:textId="77777777" w:rsidR="009A3C2D" w:rsidRPr="0082484A" w:rsidRDefault="009A3C2D" w:rsidP="00272145">
            <w:pPr>
              <w:rPr>
                <w:sz w:val="22"/>
                <w:szCs w:val="22"/>
              </w:rPr>
            </w:pPr>
          </w:p>
        </w:tc>
        <w:tc>
          <w:tcPr>
            <w:tcW w:w="1410" w:type="dxa"/>
          </w:tcPr>
          <w:p w14:paraId="6AC0C25C" w14:textId="77777777" w:rsidR="009A3C2D" w:rsidRPr="0082484A" w:rsidRDefault="009A3C2D" w:rsidP="00272145">
            <w:pPr>
              <w:rPr>
                <w:sz w:val="22"/>
                <w:szCs w:val="22"/>
              </w:rPr>
            </w:pPr>
          </w:p>
        </w:tc>
        <w:tc>
          <w:tcPr>
            <w:tcW w:w="1388" w:type="dxa"/>
          </w:tcPr>
          <w:p w14:paraId="7FED396E" w14:textId="77777777" w:rsidR="009A3C2D" w:rsidRPr="0082484A" w:rsidRDefault="009A3C2D" w:rsidP="00272145">
            <w:pPr>
              <w:rPr>
                <w:sz w:val="22"/>
                <w:szCs w:val="22"/>
              </w:rPr>
            </w:pPr>
          </w:p>
        </w:tc>
      </w:tr>
      <w:tr w:rsidR="009A3C2D" w:rsidRPr="0082484A" w14:paraId="08026698" w14:textId="77777777" w:rsidTr="00272145">
        <w:tc>
          <w:tcPr>
            <w:tcW w:w="1634" w:type="dxa"/>
          </w:tcPr>
          <w:p w14:paraId="71038484" w14:textId="77777777" w:rsidR="009A3C2D" w:rsidRPr="0082484A" w:rsidRDefault="009A3C2D" w:rsidP="00272145">
            <w:pPr>
              <w:jc w:val="right"/>
              <w:rPr>
                <w:sz w:val="22"/>
                <w:szCs w:val="22"/>
              </w:rPr>
            </w:pPr>
            <w:r w:rsidRPr="0082484A">
              <w:rPr>
                <w:sz w:val="22"/>
                <w:szCs w:val="22"/>
              </w:rPr>
              <w:t xml:space="preserve">Male </w:t>
            </w:r>
          </w:p>
        </w:tc>
        <w:tc>
          <w:tcPr>
            <w:tcW w:w="1500" w:type="dxa"/>
          </w:tcPr>
          <w:p w14:paraId="2EFFB1E4" w14:textId="77777777" w:rsidR="009A3C2D" w:rsidRPr="0082484A" w:rsidRDefault="009A3C2D" w:rsidP="00272145">
            <w:pPr>
              <w:rPr>
                <w:sz w:val="22"/>
                <w:szCs w:val="22"/>
              </w:rPr>
            </w:pPr>
            <w:r w:rsidRPr="0082484A">
              <w:rPr>
                <w:sz w:val="22"/>
                <w:szCs w:val="22"/>
              </w:rPr>
              <w:t>3.6</w:t>
            </w:r>
          </w:p>
        </w:tc>
        <w:tc>
          <w:tcPr>
            <w:tcW w:w="1669" w:type="dxa"/>
          </w:tcPr>
          <w:p w14:paraId="22584E13" w14:textId="77777777" w:rsidR="009A3C2D" w:rsidRPr="0082484A" w:rsidRDefault="009A3C2D" w:rsidP="00272145">
            <w:pPr>
              <w:rPr>
                <w:sz w:val="22"/>
                <w:szCs w:val="22"/>
              </w:rPr>
            </w:pPr>
          </w:p>
        </w:tc>
        <w:tc>
          <w:tcPr>
            <w:tcW w:w="1415" w:type="dxa"/>
          </w:tcPr>
          <w:p w14:paraId="30B7E500" w14:textId="77777777" w:rsidR="009A3C2D" w:rsidRPr="0082484A" w:rsidRDefault="009A3C2D" w:rsidP="00272145">
            <w:pPr>
              <w:rPr>
                <w:sz w:val="22"/>
                <w:szCs w:val="22"/>
              </w:rPr>
            </w:pPr>
            <w:r w:rsidRPr="0082484A">
              <w:rPr>
                <w:sz w:val="22"/>
                <w:szCs w:val="22"/>
              </w:rPr>
              <w:t>SMR x age dependent MR UK</w:t>
            </w:r>
          </w:p>
        </w:tc>
        <w:tc>
          <w:tcPr>
            <w:tcW w:w="1410" w:type="dxa"/>
          </w:tcPr>
          <w:p w14:paraId="19D91063" w14:textId="77777777" w:rsidR="009A3C2D" w:rsidRPr="0082484A" w:rsidRDefault="009A3C2D" w:rsidP="00272145">
            <w:pPr>
              <w:rPr>
                <w:sz w:val="22"/>
                <w:szCs w:val="22"/>
              </w:rPr>
            </w:pPr>
          </w:p>
        </w:tc>
        <w:tc>
          <w:tcPr>
            <w:tcW w:w="1388" w:type="dxa"/>
          </w:tcPr>
          <w:p w14:paraId="37566235" w14:textId="77777777" w:rsidR="009A3C2D" w:rsidRPr="0082484A" w:rsidRDefault="009A3C2D" w:rsidP="00272145">
            <w:pPr>
              <w:rPr>
                <w:sz w:val="22"/>
                <w:szCs w:val="22"/>
              </w:rPr>
            </w:pPr>
          </w:p>
        </w:tc>
      </w:tr>
      <w:tr w:rsidR="009A3C2D" w:rsidRPr="0082484A" w14:paraId="008E62D8" w14:textId="77777777" w:rsidTr="00272145">
        <w:tc>
          <w:tcPr>
            <w:tcW w:w="1634" w:type="dxa"/>
          </w:tcPr>
          <w:p w14:paraId="5F2698CD" w14:textId="77777777" w:rsidR="009A3C2D" w:rsidRPr="0082484A" w:rsidRDefault="009A3C2D" w:rsidP="00272145">
            <w:pPr>
              <w:jc w:val="right"/>
              <w:rPr>
                <w:sz w:val="22"/>
                <w:szCs w:val="22"/>
              </w:rPr>
            </w:pPr>
            <w:r w:rsidRPr="0082484A">
              <w:rPr>
                <w:sz w:val="22"/>
                <w:szCs w:val="22"/>
              </w:rPr>
              <w:t>Female</w:t>
            </w:r>
          </w:p>
        </w:tc>
        <w:tc>
          <w:tcPr>
            <w:tcW w:w="1500" w:type="dxa"/>
          </w:tcPr>
          <w:p w14:paraId="66C0EA87" w14:textId="77777777" w:rsidR="009A3C2D" w:rsidRPr="0082484A" w:rsidRDefault="009A3C2D" w:rsidP="00272145">
            <w:pPr>
              <w:rPr>
                <w:sz w:val="22"/>
                <w:szCs w:val="22"/>
              </w:rPr>
            </w:pPr>
            <w:r w:rsidRPr="0082484A">
              <w:rPr>
                <w:sz w:val="22"/>
                <w:szCs w:val="22"/>
              </w:rPr>
              <w:t>2.7</w:t>
            </w:r>
          </w:p>
        </w:tc>
        <w:tc>
          <w:tcPr>
            <w:tcW w:w="1669" w:type="dxa"/>
          </w:tcPr>
          <w:p w14:paraId="11F23921" w14:textId="77777777" w:rsidR="009A3C2D" w:rsidRPr="0082484A" w:rsidRDefault="009A3C2D" w:rsidP="00272145">
            <w:pPr>
              <w:rPr>
                <w:sz w:val="22"/>
                <w:szCs w:val="22"/>
              </w:rPr>
            </w:pPr>
          </w:p>
        </w:tc>
        <w:tc>
          <w:tcPr>
            <w:tcW w:w="1415" w:type="dxa"/>
          </w:tcPr>
          <w:p w14:paraId="148652AD" w14:textId="77777777" w:rsidR="009A3C2D" w:rsidRPr="0082484A" w:rsidRDefault="009A3C2D" w:rsidP="00272145">
            <w:pPr>
              <w:rPr>
                <w:sz w:val="22"/>
                <w:szCs w:val="22"/>
              </w:rPr>
            </w:pPr>
            <w:r w:rsidRPr="0082484A">
              <w:rPr>
                <w:sz w:val="22"/>
                <w:szCs w:val="22"/>
              </w:rPr>
              <w:t>As above</w:t>
            </w:r>
          </w:p>
        </w:tc>
        <w:tc>
          <w:tcPr>
            <w:tcW w:w="1410" w:type="dxa"/>
          </w:tcPr>
          <w:p w14:paraId="001E665B" w14:textId="77777777" w:rsidR="009A3C2D" w:rsidRPr="0082484A" w:rsidRDefault="009A3C2D" w:rsidP="00272145">
            <w:pPr>
              <w:rPr>
                <w:sz w:val="22"/>
                <w:szCs w:val="22"/>
              </w:rPr>
            </w:pPr>
          </w:p>
        </w:tc>
        <w:tc>
          <w:tcPr>
            <w:tcW w:w="1388" w:type="dxa"/>
          </w:tcPr>
          <w:p w14:paraId="29496AAE" w14:textId="77777777" w:rsidR="009A3C2D" w:rsidRPr="0082484A" w:rsidRDefault="009A3C2D" w:rsidP="00272145">
            <w:pPr>
              <w:rPr>
                <w:sz w:val="22"/>
                <w:szCs w:val="22"/>
              </w:rPr>
            </w:pPr>
          </w:p>
        </w:tc>
      </w:tr>
      <w:tr w:rsidR="009A3C2D" w:rsidRPr="0082484A" w14:paraId="76BADE7C" w14:textId="77777777" w:rsidTr="00272145">
        <w:tc>
          <w:tcPr>
            <w:tcW w:w="1634" w:type="dxa"/>
          </w:tcPr>
          <w:p w14:paraId="71729ADC" w14:textId="77777777" w:rsidR="009A3C2D" w:rsidRPr="0082484A" w:rsidRDefault="009A3C2D" w:rsidP="00272145">
            <w:pPr>
              <w:rPr>
                <w:sz w:val="22"/>
                <w:szCs w:val="22"/>
              </w:rPr>
            </w:pPr>
            <w:r w:rsidRPr="0082484A">
              <w:rPr>
                <w:sz w:val="22"/>
                <w:szCs w:val="22"/>
              </w:rPr>
              <w:t>CKD stage 3-4 (70-79 years) to death</w:t>
            </w:r>
          </w:p>
        </w:tc>
        <w:tc>
          <w:tcPr>
            <w:tcW w:w="1500" w:type="dxa"/>
          </w:tcPr>
          <w:p w14:paraId="54ABD213" w14:textId="77777777" w:rsidR="009A3C2D" w:rsidRPr="0082484A" w:rsidRDefault="009A3C2D" w:rsidP="00272145">
            <w:pPr>
              <w:rPr>
                <w:sz w:val="22"/>
                <w:szCs w:val="22"/>
              </w:rPr>
            </w:pPr>
          </w:p>
        </w:tc>
        <w:tc>
          <w:tcPr>
            <w:tcW w:w="1669" w:type="dxa"/>
          </w:tcPr>
          <w:p w14:paraId="5EA6F459" w14:textId="77777777" w:rsidR="009A3C2D" w:rsidRPr="0082484A" w:rsidRDefault="009A3C2D" w:rsidP="00272145">
            <w:pPr>
              <w:rPr>
                <w:sz w:val="22"/>
                <w:szCs w:val="22"/>
              </w:rPr>
            </w:pPr>
          </w:p>
        </w:tc>
        <w:tc>
          <w:tcPr>
            <w:tcW w:w="1415" w:type="dxa"/>
          </w:tcPr>
          <w:p w14:paraId="45F8E52E" w14:textId="77777777" w:rsidR="009A3C2D" w:rsidRPr="0082484A" w:rsidRDefault="009A3C2D" w:rsidP="00272145">
            <w:pPr>
              <w:rPr>
                <w:sz w:val="22"/>
                <w:szCs w:val="22"/>
              </w:rPr>
            </w:pPr>
            <w:r w:rsidRPr="0082484A">
              <w:rPr>
                <w:sz w:val="22"/>
                <w:szCs w:val="22"/>
              </w:rPr>
              <w:t>As above</w:t>
            </w:r>
          </w:p>
        </w:tc>
        <w:tc>
          <w:tcPr>
            <w:tcW w:w="1410" w:type="dxa"/>
          </w:tcPr>
          <w:p w14:paraId="787CF04C" w14:textId="77777777" w:rsidR="009A3C2D" w:rsidRPr="0082484A" w:rsidRDefault="009A3C2D" w:rsidP="00272145">
            <w:pPr>
              <w:rPr>
                <w:sz w:val="22"/>
                <w:szCs w:val="22"/>
              </w:rPr>
            </w:pPr>
          </w:p>
        </w:tc>
        <w:tc>
          <w:tcPr>
            <w:tcW w:w="1388" w:type="dxa"/>
          </w:tcPr>
          <w:p w14:paraId="6C1B8499" w14:textId="77777777" w:rsidR="009A3C2D" w:rsidRPr="0082484A" w:rsidRDefault="009A3C2D" w:rsidP="00272145">
            <w:pPr>
              <w:rPr>
                <w:sz w:val="22"/>
                <w:szCs w:val="22"/>
              </w:rPr>
            </w:pPr>
          </w:p>
        </w:tc>
      </w:tr>
      <w:tr w:rsidR="009A3C2D" w:rsidRPr="0082484A" w14:paraId="3F2842E7" w14:textId="77777777" w:rsidTr="00272145">
        <w:tc>
          <w:tcPr>
            <w:tcW w:w="1634" w:type="dxa"/>
          </w:tcPr>
          <w:p w14:paraId="79F63374" w14:textId="77777777" w:rsidR="009A3C2D" w:rsidRPr="0082484A" w:rsidRDefault="009A3C2D" w:rsidP="00272145">
            <w:pPr>
              <w:jc w:val="right"/>
              <w:rPr>
                <w:sz w:val="22"/>
                <w:szCs w:val="22"/>
              </w:rPr>
            </w:pPr>
            <w:r w:rsidRPr="0082484A">
              <w:rPr>
                <w:sz w:val="22"/>
                <w:szCs w:val="22"/>
              </w:rPr>
              <w:t xml:space="preserve">Male </w:t>
            </w:r>
          </w:p>
        </w:tc>
        <w:tc>
          <w:tcPr>
            <w:tcW w:w="1500" w:type="dxa"/>
          </w:tcPr>
          <w:p w14:paraId="7520E572" w14:textId="77777777" w:rsidR="009A3C2D" w:rsidRPr="0082484A" w:rsidRDefault="009A3C2D" w:rsidP="00272145">
            <w:pPr>
              <w:rPr>
                <w:sz w:val="22"/>
                <w:szCs w:val="22"/>
              </w:rPr>
            </w:pPr>
            <w:r w:rsidRPr="0082484A">
              <w:rPr>
                <w:sz w:val="22"/>
                <w:szCs w:val="22"/>
              </w:rPr>
              <w:t>2.4</w:t>
            </w:r>
          </w:p>
        </w:tc>
        <w:tc>
          <w:tcPr>
            <w:tcW w:w="1669" w:type="dxa"/>
          </w:tcPr>
          <w:p w14:paraId="0A0F2D72" w14:textId="77777777" w:rsidR="009A3C2D" w:rsidRPr="0082484A" w:rsidRDefault="009A3C2D" w:rsidP="00272145">
            <w:pPr>
              <w:rPr>
                <w:sz w:val="22"/>
                <w:szCs w:val="22"/>
              </w:rPr>
            </w:pPr>
          </w:p>
        </w:tc>
        <w:tc>
          <w:tcPr>
            <w:tcW w:w="1415" w:type="dxa"/>
          </w:tcPr>
          <w:p w14:paraId="034F189A" w14:textId="77777777" w:rsidR="009A3C2D" w:rsidRPr="0082484A" w:rsidRDefault="009A3C2D" w:rsidP="00272145">
            <w:pPr>
              <w:rPr>
                <w:sz w:val="22"/>
                <w:szCs w:val="22"/>
              </w:rPr>
            </w:pPr>
            <w:r w:rsidRPr="0082484A">
              <w:rPr>
                <w:sz w:val="22"/>
                <w:szCs w:val="22"/>
              </w:rPr>
              <w:t>As above</w:t>
            </w:r>
          </w:p>
        </w:tc>
        <w:tc>
          <w:tcPr>
            <w:tcW w:w="1410" w:type="dxa"/>
          </w:tcPr>
          <w:p w14:paraId="0C6F898A" w14:textId="77777777" w:rsidR="009A3C2D" w:rsidRPr="0082484A" w:rsidRDefault="009A3C2D" w:rsidP="00272145">
            <w:pPr>
              <w:rPr>
                <w:sz w:val="22"/>
                <w:szCs w:val="22"/>
              </w:rPr>
            </w:pPr>
          </w:p>
        </w:tc>
        <w:tc>
          <w:tcPr>
            <w:tcW w:w="1388" w:type="dxa"/>
          </w:tcPr>
          <w:p w14:paraId="2DFC3273" w14:textId="77777777" w:rsidR="009A3C2D" w:rsidRPr="0082484A" w:rsidRDefault="009A3C2D" w:rsidP="00272145">
            <w:pPr>
              <w:rPr>
                <w:sz w:val="22"/>
                <w:szCs w:val="22"/>
              </w:rPr>
            </w:pPr>
          </w:p>
        </w:tc>
      </w:tr>
      <w:tr w:rsidR="009A3C2D" w:rsidRPr="0082484A" w14:paraId="71C4A3D6" w14:textId="77777777" w:rsidTr="00272145">
        <w:tc>
          <w:tcPr>
            <w:tcW w:w="1634" w:type="dxa"/>
          </w:tcPr>
          <w:p w14:paraId="069B8069" w14:textId="77777777" w:rsidR="009A3C2D" w:rsidRPr="0082484A" w:rsidRDefault="009A3C2D" w:rsidP="00272145">
            <w:pPr>
              <w:jc w:val="right"/>
              <w:rPr>
                <w:sz w:val="22"/>
                <w:szCs w:val="22"/>
              </w:rPr>
            </w:pPr>
            <w:r w:rsidRPr="0082484A">
              <w:rPr>
                <w:sz w:val="22"/>
                <w:szCs w:val="22"/>
              </w:rPr>
              <w:t>Female</w:t>
            </w:r>
          </w:p>
        </w:tc>
        <w:tc>
          <w:tcPr>
            <w:tcW w:w="1500" w:type="dxa"/>
          </w:tcPr>
          <w:p w14:paraId="1699E7E8" w14:textId="77777777" w:rsidR="009A3C2D" w:rsidRPr="0082484A" w:rsidRDefault="009A3C2D" w:rsidP="00272145">
            <w:pPr>
              <w:rPr>
                <w:sz w:val="22"/>
                <w:szCs w:val="22"/>
              </w:rPr>
            </w:pPr>
            <w:r w:rsidRPr="0082484A">
              <w:rPr>
                <w:sz w:val="22"/>
                <w:szCs w:val="22"/>
              </w:rPr>
              <w:t>1.8</w:t>
            </w:r>
          </w:p>
        </w:tc>
        <w:tc>
          <w:tcPr>
            <w:tcW w:w="1669" w:type="dxa"/>
          </w:tcPr>
          <w:p w14:paraId="296265C1" w14:textId="77777777" w:rsidR="009A3C2D" w:rsidRPr="0082484A" w:rsidRDefault="009A3C2D" w:rsidP="00272145">
            <w:pPr>
              <w:rPr>
                <w:sz w:val="22"/>
                <w:szCs w:val="22"/>
              </w:rPr>
            </w:pPr>
          </w:p>
        </w:tc>
        <w:tc>
          <w:tcPr>
            <w:tcW w:w="1415" w:type="dxa"/>
          </w:tcPr>
          <w:p w14:paraId="3EE678FA" w14:textId="77777777" w:rsidR="009A3C2D" w:rsidRPr="0082484A" w:rsidRDefault="009A3C2D" w:rsidP="00272145">
            <w:pPr>
              <w:rPr>
                <w:sz w:val="22"/>
                <w:szCs w:val="22"/>
              </w:rPr>
            </w:pPr>
            <w:r w:rsidRPr="0082484A">
              <w:rPr>
                <w:sz w:val="22"/>
                <w:szCs w:val="22"/>
              </w:rPr>
              <w:t>As above</w:t>
            </w:r>
          </w:p>
        </w:tc>
        <w:tc>
          <w:tcPr>
            <w:tcW w:w="1410" w:type="dxa"/>
          </w:tcPr>
          <w:p w14:paraId="2ABBDCD3" w14:textId="77777777" w:rsidR="009A3C2D" w:rsidRPr="0082484A" w:rsidRDefault="009A3C2D" w:rsidP="00272145">
            <w:pPr>
              <w:rPr>
                <w:sz w:val="22"/>
                <w:szCs w:val="22"/>
              </w:rPr>
            </w:pPr>
          </w:p>
        </w:tc>
        <w:tc>
          <w:tcPr>
            <w:tcW w:w="1388" w:type="dxa"/>
          </w:tcPr>
          <w:p w14:paraId="04134181" w14:textId="77777777" w:rsidR="009A3C2D" w:rsidRPr="0082484A" w:rsidRDefault="009A3C2D" w:rsidP="00272145">
            <w:pPr>
              <w:rPr>
                <w:sz w:val="22"/>
                <w:szCs w:val="22"/>
              </w:rPr>
            </w:pPr>
          </w:p>
        </w:tc>
      </w:tr>
      <w:tr w:rsidR="009A3C2D" w:rsidRPr="0082484A" w14:paraId="2C2A99F8" w14:textId="77777777" w:rsidTr="00272145">
        <w:tc>
          <w:tcPr>
            <w:tcW w:w="1634" w:type="dxa"/>
          </w:tcPr>
          <w:p w14:paraId="1FCE4EDE" w14:textId="77777777" w:rsidR="009A3C2D" w:rsidRPr="0082484A" w:rsidRDefault="009A3C2D" w:rsidP="00272145">
            <w:pPr>
              <w:rPr>
                <w:sz w:val="22"/>
                <w:szCs w:val="22"/>
              </w:rPr>
            </w:pPr>
            <w:r w:rsidRPr="0082484A">
              <w:rPr>
                <w:sz w:val="22"/>
                <w:szCs w:val="22"/>
              </w:rPr>
              <w:t>CKD stage 3-4 (&gt;79 years) to death</w:t>
            </w:r>
          </w:p>
        </w:tc>
        <w:tc>
          <w:tcPr>
            <w:tcW w:w="1500" w:type="dxa"/>
          </w:tcPr>
          <w:p w14:paraId="48B45385" w14:textId="77777777" w:rsidR="009A3C2D" w:rsidRPr="0082484A" w:rsidRDefault="009A3C2D" w:rsidP="00272145">
            <w:pPr>
              <w:rPr>
                <w:sz w:val="22"/>
                <w:szCs w:val="22"/>
              </w:rPr>
            </w:pPr>
          </w:p>
        </w:tc>
        <w:tc>
          <w:tcPr>
            <w:tcW w:w="1669" w:type="dxa"/>
          </w:tcPr>
          <w:p w14:paraId="48F4E9FC" w14:textId="77777777" w:rsidR="009A3C2D" w:rsidRPr="0082484A" w:rsidRDefault="009A3C2D" w:rsidP="00272145">
            <w:pPr>
              <w:rPr>
                <w:sz w:val="22"/>
                <w:szCs w:val="22"/>
              </w:rPr>
            </w:pPr>
          </w:p>
        </w:tc>
        <w:tc>
          <w:tcPr>
            <w:tcW w:w="1415" w:type="dxa"/>
          </w:tcPr>
          <w:p w14:paraId="76C14C20" w14:textId="77777777" w:rsidR="009A3C2D" w:rsidRPr="0082484A" w:rsidRDefault="009A3C2D" w:rsidP="00272145">
            <w:pPr>
              <w:rPr>
                <w:sz w:val="22"/>
                <w:szCs w:val="22"/>
              </w:rPr>
            </w:pPr>
          </w:p>
        </w:tc>
        <w:tc>
          <w:tcPr>
            <w:tcW w:w="1410" w:type="dxa"/>
          </w:tcPr>
          <w:p w14:paraId="709250D2" w14:textId="77777777" w:rsidR="009A3C2D" w:rsidRPr="0082484A" w:rsidRDefault="009A3C2D" w:rsidP="00272145">
            <w:pPr>
              <w:rPr>
                <w:sz w:val="22"/>
                <w:szCs w:val="22"/>
              </w:rPr>
            </w:pPr>
          </w:p>
        </w:tc>
        <w:tc>
          <w:tcPr>
            <w:tcW w:w="1388" w:type="dxa"/>
          </w:tcPr>
          <w:p w14:paraId="38338964" w14:textId="77777777" w:rsidR="009A3C2D" w:rsidRPr="0082484A" w:rsidRDefault="009A3C2D" w:rsidP="00272145">
            <w:pPr>
              <w:rPr>
                <w:sz w:val="22"/>
                <w:szCs w:val="22"/>
              </w:rPr>
            </w:pPr>
          </w:p>
        </w:tc>
      </w:tr>
      <w:tr w:rsidR="009A3C2D" w:rsidRPr="0082484A" w14:paraId="6D7A1567" w14:textId="77777777" w:rsidTr="00272145">
        <w:tc>
          <w:tcPr>
            <w:tcW w:w="1634" w:type="dxa"/>
          </w:tcPr>
          <w:p w14:paraId="7961945C" w14:textId="77777777" w:rsidR="009A3C2D" w:rsidRPr="0082484A" w:rsidRDefault="009A3C2D" w:rsidP="00272145">
            <w:pPr>
              <w:jc w:val="right"/>
              <w:rPr>
                <w:sz w:val="22"/>
                <w:szCs w:val="22"/>
              </w:rPr>
            </w:pPr>
            <w:r w:rsidRPr="0082484A">
              <w:rPr>
                <w:sz w:val="22"/>
                <w:szCs w:val="22"/>
              </w:rPr>
              <w:t xml:space="preserve">Male </w:t>
            </w:r>
          </w:p>
        </w:tc>
        <w:tc>
          <w:tcPr>
            <w:tcW w:w="1500" w:type="dxa"/>
          </w:tcPr>
          <w:p w14:paraId="2F858263" w14:textId="77777777" w:rsidR="009A3C2D" w:rsidRPr="0082484A" w:rsidRDefault="009A3C2D" w:rsidP="00272145">
            <w:pPr>
              <w:rPr>
                <w:sz w:val="22"/>
                <w:szCs w:val="22"/>
              </w:rPr>
            </w:pPr>
            <w:r w:rsidRPr="0082484A">
              <w:rPr>
                <w:sz w:val="22"/>
                <w:szCs w:val="22"/>
              </w:rPr>
              <w:t>2.3</w:t>
            </w:r>
          </w:p>
        </w:tc>
        <w:tc>
          <w:tcPr>
            <w:tcW w:w="1669" w:type="dxa"/>
          </w:tcPr>
          <w:p w14:paraId="2FE7D846" w14:textId="77777777" w:rsidR="009A3C2D" w:rsidRPr="0082484A" w:rsidRDefault="009A3C2D" w:rsidP="00272145">
            <w:pPr>
              <w:rPr>
                <w:sz w:val="22"/>
                <w:szCs w:val="22"/>
              </w:rPr>
            </w:pPr>
          </w:p>
        </w:tc>
        <w:tc>
          <w:tcPr>
            <w:tcW w:w="1415" w:type="dxa"/>
          </w:tcPr>
          <w:p w14:paraId="6C60B3C5" w14:textId="77777777" w:rsidR="009A3C2D" w:rsidRPr="0082484A" w:rsidRDefault="009A3C2D" w:rsidP="00272145">
            <w:pPr>
              <w:rPr>
                <w:sz w:val="22"/>
                <w:szCs w:val="22"/>
              </w:rPr>
            </w:pPr>
            <w:r w:rsidRPr="0082484A">
              <w:rPr>
                <w:sz w:val="22"/>
                <w:szCs w:val="22"/>
              </w:rPr>
              <w:t>As above</w:t>
            </w:r>
          </w:p>
        </w:tc>
        <w:tc>
          <w:tcPr>
            <w:tcW w:w="1410" w:type="dxa"/>
          </w:tcPr>
          <w:p w14:paraId="54DD6B33" w14:textId="77777777" w:rsidR="009A3C2D" w:rsidRPr="0082484A" w:rsidRDefault="009A3C2D" w:rsidP="00272145">
            <w:pPr>
              <w:rPr>
                <w:sz w:val="22"/>
                <w:szCs w:val="22"/>
              </w:rPr>
            </w:pPr>
          </w:p>
        </w:tc>
        <w:tc>
          <w:tcPr>
            <w:tcW w:w="1388" w:type="dxa"/>
          </w:tcPr>
          <w:p w14:paraId="4D666D40" w14:textId="77777777" w:rsidR="009A3C2D" w:rsidRPr="0082484A" w:rsidRDefault="009A3C2D" w:rsidP="00272145">
            <w:pPr>
              <w:rPr>
                <w:sz w:val="22"/>
                <w:szCs w:val="22"/>
              </w:rPr>
            </w:pPr>
          </w:p>
        </w:tc>
      </w:tr>
      <w:tr w:rsidR="009A3C2D" w:rsidRPr="0082484A" w14:paraId="4DD633F5" w14:textId="77777777" w:rsidTr="00272145">
        <w:tc>
          <w:tcPr>
            <w:tcW w:w="1634" w:type="dxa"/>
          </w:tcPr>
          <w:p w14:paraId="7F93F27F" w14:textId="77777777" w:rsidR="009A3C2D" w:rsidRPr="0082484A" w:rsidRDefault="009A3C2D" w:rsidP="00272145">
            <w:pPr>
              <w:jc w:val="right"/>
              <w:rPr>
                <w:sz w:val="22"/>
                <w:szCs w:val="22"/>
              </w:rPr>
            </w:pPr>
            <w:r w:rsidRPr="0082484A">
              <w:rPr>
                <w:sz w:val="22"/>
                <w:szCs w:val="22"/>
              </w:rPr>
              <w:t>Female</w:t>
            </w:r>
          </w:p>
        </w:tc>
        <w:tc>
          <w:tcPr>
            <w:tcW w:w="1500" w:type="dxa"/>
          </w:tcPr>
          <w:p w14:paraId="69CAE97F" w14:textId="77777777" w:rsidR="009A3C2D" w:rsidRPr="0082484A" w:rsidRDefault="009A3C2D" w:rsidP="00272145">
            <w:pPr>
              <w:rPr>
                <w:sz w:val="22"/>
                <w:szCs w:val="22"/>
              </w:rPr>
            </w:pPr>
            <w:r w:rsidRPr="0082484A">
              <w:rPr>
                <w:sz w:val="22"/>
                <w:szCs w:val="22"/>
              </w:rPr>
              <w:t>2.1</w:t>
            </w:r>
          </w:p>
        </w:tc>
        <w:tc>
          <w:tcPr>
            <w:tcW w:w="1669" w:type="dxa"/>
          </w:tcPr>
          <w:p w14:paraId="286C949D" w14:textId="77777777" w:rsidR="009A3C2D" w:rsidRPr="0082484A" w:rsidRDefault="009A3C2D" w:rsidP="00272145">
            <w:pPr>
              <w:rPr>
                <w:sz w:val="22"/>
                <w:szCs w:val="22"/>
              </w:rPr>
            </w:pPr>
          </w:p>
        </w:tc>
        <w:tc>
          <w:tcPr>
            <w:tcW w:w="1415" w:type="dxa"/>
          </w:tcPr>
          <w:p w14:paraId="688E1EF4" w14:textId="77777777" w:rsidR="009A3C2D" w:rsidRPr="0082484A" w:rsidRDefault="009A3C2D" w:rsidP="00272145">
            <w:pPr>
              <w:rPr>
                <w:sz w:val="22"/>
                <w:szCs w:val="22"/>
              </w:rPr>
            </w:pPr>
            <w:r w:rsidRPr="0082484A">
              <w:rPr>
                <w:sz w:val="22"/>
                <w:szCs w:val="22"/>
              </w:rPr>
              <w:t>As above</w:t>
            </w:r>
          </w:p>
        </w:tc>
        <w:tc>
          <w:tcPr>
            <w:tcW w:w="1410" w:type="dxa"/>
          </w:tcPr>
          <w:p w14:paraId="2F466144" w14:textId="77777777" w:rsidR="009A3C2D" w:rsidRPr="0082484A" w:rsidRDefault="009A3C2D" w:rsidP="00272145">
            <w:pPr>
              <w:rPr>
                <w:sz w:val="22"/>
                <w:szCs w:val="22"/>
              </w:rPr>
            </w:pPr>
          </w:p>
        </w:tc>
        <w:tc>
          <w:tcPr>
            <w:tcW w:w="1388" w:type="dxa"/>
          </w:tcPr>
          <w:p w14:paraId="3A0E3363" w14:textId="77777777" w:rsidR="009A3C2D" w:rsidRPr="0082484A" w:rsidRDefault="009A3C2D" w:rsidP="00272145">
            <w:pPr>
              <w:rPr>
                <w:sz w:val="22"/>
                <w:szCs w:val="22"/>
              </w:rPr>
            </w:pPr>
          </w:p>
        </w:tc>
      </w:tr>
      <w:tr w:rsidR="009A3C2D" w:rsidRPr="0082484A" w14:paraId="1818933B" w14:textId="77777777" w:rsidTr="00272145">
        <w:tc>
          <w:tcPr>
            <w:tcW w:w="1634" w:type="dxa"/>
          </w:tcPr>
          <w:p w14:paraId="2D94136C" w14:textId="77777777" w:rsidR="009A3C2D" w:rsidRPr="0082484A" w:rsidRDefault="009A3C2D" w:rsidP="00272145">
            <w:pPr>
              <w:rPr>
                <w:sz w:val="22"/>
                <w:szCs w:val="22"/>
              </w:rPr>
            </w:pPr>
            <w:r w:rsidRPr="0082484A">
              <w:rPr>
                <w:sz w:val="22"/>
                <w:szCs w:val="22"/>
              </w:rPr>
              <w:t>CKD stage 5 to death (&lt;65)</w:t>
            </w:r>
          </w:p>
        </w:tc>
        <w:tc>
          <w:tcPr>
            <w:tcW w:w="1500" w:type="dxa"/>
          </w:tcPr>
          <w:p w14:paraId="24B9F2C6" w14:textId="77777777" w:rsidR="009A3C2D" w:rsidRPr="0082484A" w:rsidRDefault="009A3C2D" w:rsidP="00272145">
            <w:pPr>
              <w:rPr>
                <w:sz w:val="22"/>
                <w:szCs w:val="22"/>
              </w:rPr>
            </w:pPr>
          </w:p>
        </w:tc>
        <w:tc>
          <w:tcPr>
            <w:tcW w:w="1669" w:type="dxa"/>
          </w:tcPr>
          <w:p w14:paraId="0CA355EC" w14:textId="77777777" w:rsidR="009A3C2D" w:rsidRPr="0082484A" w:rsidRDefault="009A3C2D" w:rsidP="00272145">
            <w:pPr>
              <w:rPr>
                <w:sz w:val="22"/>
                <w:szCs w:val="22"/>
              </w:rPr>
            </w:pPr>
          </w:p>
        </w:tc>
        <w:tc>
          <w:tcPr>
            <w:tcW w:w="1415" w:type="dxa"/>
          </w:tcPr>
          <w:p w14:paraId="7123F6DA" w14:textId="77777777" w:rsidR="009A3C2D" w:rsidRPr="0082484A" w:rsidRDefault="009A3C2D" w:rsidP="00272145">
            <w:pPr>
              <w:rPr>
                <w:sz w:val="22"/>
                <w:szCs w:val="22"/>
              </w:rPr>
            </w:pPr>
          </w:p>
        </w:tc>
        <w:tc>
          <w:tcPr>
            <w:tcW w:w="1410" w:type="dxa"/>
          </w:tcPr>
          <w:p w14:paraId="0BC20B46" w14:textId="77777777" w:rsidR="009A3C2D" w:rsidRPr="0082484A" w:rsidRDefault="009A3C2D" w:rsidP="00272145">
            <w:pPr>
              <w:rPr>
                <w:sz w:val="22"/>
                <w:szCs w:val="22"/>
              </w:rPr>
            </w:pPr>
          </w:p>
        </w:tc>
        <w:tc>
          <w:tcPr>
            <w:tcW w:w="1388" w:type="dxa"/>
          </w:tcPr>
          <w:p w14:paraId="2E373C7F" w14:textId="11FDA358" w:rsidR="009A3C2D" w:rsidRPr="0082484A" w:rsidRDefault="009A3C2D" w:rsidP="00952E85">
            <w:pPr>
              <w:rPr>
                <w:sz w:val="22"/>
                <w:szCs w:val="22"/>
              </w:rPr>
            </w:pPr>
            <w:r w:rsidRPr="0082484A">
              <w:rPr>
                <w:sz w:val="22"/>
                <w:szCs w:val="22"/>
              </w:rPr>
              <w:t xml:space="preserve">Based on own calculations using Villar </w:t>
            </w:r>
            <w:r w:rsidRPr="0082484A">
              <w:rPr>
                <w:i/>
                <w:sz w:val="22"/>
                <w:szCs w:val="22"/>
              </w:rPr>
              <w:t>et al</w:t>
            </w:r>
            <w:r w:rsidRPr="0082484A">
              <w:rPr>
                <w:sz w:val="22"/>
                <w:szCs w:val="22"/>
              </w:rPr>
              <w:t xml:space="preserve">. (2007) </w:t>
            </w:r>
            <w:r w:rsidRPr="0082484A">
              <w:rPr>
                <w:sz w:val="22"/>
                <w:szCs w:val="22"/>
              </w:rPr>
              <w:fldChar w:fldCharType="begin"/>
            </w:r>
            <w:r w:rsidR="00952E85" w:rsidRPr="0082484A">
              <w:rPr>
                <w:sz w:val="22"/>
                <w:szCs w:val="22"/>
              </w:rPr>
              <w:instrText xml:space="preserve"> ADDIN EN.CITE &lt;EndNote&gt;&lt;Cite&gt;&lt;Author&gt;Villar&lt;/Author&gt;&lt;Year&gt;2007&lt;/Year&gt;&lt;RecNum&gt;3326&lt;/RecNum&gt;&lt;DisplayText&gt;&lt;style face="superscript"&gt;12&lt;/style&gt;&lt;/DisplayText&gt;&lt;record&gt;&lt;rec-number&gt;3326&lt;/rec-number&gt;&lt;foreign-keys&gt;&lt;key app="EN" db-id="5srzarxr5dr9r5es2r7xst9lr9t2rewrpffr" timestamp="1516029459"&gt;3326&lt;/key&gt;&lt;/foreign-keys&gt;&lt;ref-type name="Journal Article"&gt;17&lt;/ref-type&gt;&lt;contributors&gt;&lt;authors&gt;&lt;author&gt;Villar, E.&lt;/author&gt;&lt;author&gt;Remontet, L.&lt;/author&gt;&lt;author&gt;Labeeuw, M.&lt;/author&gt;&lt;author&gt;Ecochard, R.&lt;/author&gt;&lt;/authors&gt;&lt;/contributors&gt;&lt;auth-address&gt;Ctr Hosp Lyon Sud, Serv Nephrol Dialyse &amp;amp; Transplantat, F-69495 Pierre Benite, France&amp;#xD;Hospices Civils Lyon, CNRS, UMR 5558, Serv Biostat, Lyon, France&lt;/auth-address&gt;&lt;titles&gt;&lt;title&gt;Effect of age, gender, and in diabetes on excess death in end-stage renal failure&lt;/title&gt;&lt;secondary-title&gt;Journal of the American Society of Nephrology&lt;/secondary-title&gt;&lt;alt-title&gt;J Am Soc Nephrol&lt;/alt-title&gt;&lt;/titles&gt;&lt;periodical&gt;&lt;full-title&gt;Journal of the American Society of Nephrology&lt;/full-title&gt;&lt;abbr-1&gt;J Am Soc Nephrol&lt;/abbr-1&gt;&lt;/periodical&gt;&lt;alt-periodical&gt;&lt;full-title&gt;Journal of the American Society of Nephrology&lt;/full-title&gt;&lt;abbr-1&gt;J Am Soc Nephrol&lt;/abbr-1&gt;&lt;/alt-periodical&gt;&lt;pages&gt;2125-2134&lt;/pages&gt;&lt;volume&gt;18&lt;/volume&gt;&lt;number&gt;7&lt;/number&gt;&lt;keywords&gt;&lt;keyword&gt;coronary-heart-disease&lt;/keyword&gt;&lt;keyword&gt;quality-of-life&lt;/keyword&gt;&lt;keyword&gt;replacement therapy&lt;/keyword&gt;&lt;keyword&gt;hemodialysis population&lt;/keyword&gt;&lt;keyword&gt;dialysis patients&lt;/keyword&gt;&lt;keyword&gt;kidney-disease&lt;/keyword&gt;&lt;keyword&gt;follow-up&lt;/keyword&gt;&lt;keyword&gt;survival&lt;/keyword&gt;&lt;keyword&gt;impact&lt;/keyword&gt;&lt;keyword&gt;risk&lt;/keyword&gt;&lt;/keywords&gt;&lt;dates&gt;&lt;year&gt;2007&lt;/year&gt;&lt;pub-dates&gt;&lt;date&gt;Jul&lt;/date&gt;&lt;/pub-dates&gt;&lt;/dates&gt;&lt;isbn&gt;1046-6673&lt;/isbn&gt;&lt;accession-num&gt;WOS:000248758500021&lt;/accession-num&gt;&lt;urls&gt;&lt;related-urls&gt;&lt;url&gt;&amp;lt;Go to ISI&amp;gt;://WOS:000248758500021&lt;/url&gt;&lt;/related-urls&gt;&lt;/urls&gt;&lt;electronic-resource-num&gt;10.1681/Asn.2006091048&lt;/electronic-resource-num&gt;&lt;language&gt;English&lt;/language&gt;&lt;/record&gt;&lt;/Cite&gt;&lt;/EndNote&gt;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12</w:t>
            </w:r>
            <w:r w:rsidRPr="0082484A">
              <w:rPr>
                <w:sz w:val="22"/>
                <w:szCs w:val="22"/>
              </w:rPr>
              <w:fldChar w:fldCharType="end"/>
            </w:r>
          </w:p>
        </w:tc>
      </w:tr>
      <w:tr w:rsidR="009A3C2D" w:rsidRPr="0082484A" w14:paraId="404EA19E" w14:textId="77777777" w:rsidTr="00272145">
        <w:tc>
          <w:tcPr>
            <w:tcW w:w="1634" w:type="dxa"/>
          </w:tcPr>
          <w:p w14:paraId="01D4EFAA" w14:textId="77777777" w:rsidR="009A3C2D" w:rsidRPr="0082484A" w:rsidRDefault="009A3C2D" w:rsidP="00272145">
            <w:pPr>
              <w:jc w:val="right"/>
              <w:rPr>
                <w:sz w:val="22"/>
                <w:szCs w:val="22"/>
              </w:rPr>
            </w:pPr>
            <w:r w:rsidRPr="0082484A">
              <w:rPr>
                <w:sz w:val="22"/>
                <w:szCs w:val="22"/>
              </w:rPr>
              <w:t xml:space="preserve">Male </w:t>
            </w:r>
          </w:p>
        </w:tc>
        <w:tc>
          <w:tcPr>
            <w:tcW w:w="1500" w:type="dxa"/>
          </w:tcPr>
          <w:p w14:paraId="60FB0D32" w14:textId="77777777" w:rsidR="009A3C2D" w:rsidRPr="0082484A" w:rsidRDefault="009A3C2D" w:rsidP="00272145">
            <w:pPr>
              <w:rPr>
                <w:sz w:val="22"/>
                <w:szCs w:val="22"/>
              </w:rPr>
            </w:pPr>
            <w:r w:rsidRPr="0082484A">
              <w:rPr>
                <w:sz w:val="22"/>
                <w:szCs w:val="22"/>
              </w:rPr>
              <w:t>8.65</w:t>
            </w:r>
          </w:p>
        </w:tc>
        <w:tc>
          <w:tcPr>
            <w:tcW w:w="1669" w:type="dxa"/>
          </w:tcPr>
          <w:p w14:paraId="1A36191A" w14:textId="77777777" w:rsidR="009A3C2D" w:rsidRPr="0082484A" w:rsidRDefault="009A3C2D" w:rsidP="00272145">
            <w:pPr>
              <w:rPr>
                <w:sz w:val="22"/>
                <w:szCs w:val="22"/>
              </w:rPr>
            </w:pPr>
            <w:r w:rsidRPr="0082484A">
              <w:rPr>
                <w:sz w:val="22"/>
                <w:szCs w:val="22"/>
              </w:rPr>
              <w:t>0.1896</w:t>
            </w:r>
          </w:p>
        </w:tc>
        <w:tc>
          <w:tcPr>
            <w:tcW w:w="1415" w:type="dxa"/>
          </w:tcPr>
          <w:p w14:paraId="286DAE13" w14:textId="77777777" w:rsidR="009A3C2D" w:rsidRPr="0082484A" w:rsidRDefault="009A3C2D" w:rsidP="00272145">
            <w:pPr>
              <w:rPr>
                <w:sz w:val="22"/>
                <w:szCs w:val="22"/>
              </w:rPr>
            </w:pPr>
          </w:p>
        </w:tc>
        <w:tc>
          <w:tcPr>
            <w:tcW w:w="1410" w:type="dxa"/>
          </w:tcPr>
          <w:p w14:paraId="12BBC827" w14:textId="77777777" w:rsidR="009A3C2D" w:rsidRPr="0082484A" w:rsidRDefault="009A3C2D" w:rsidP="00272145">
            <w:pPr>
              <w:rPr>
                <w:sz w:val="22"/>
                <w:szCs w:val="22"/>
              </w:rPr>
            </w:pPr>
          </w:p>
        </w:tc>
        <w:tc>
          <w:tcPr>
            <w:tcW w:w="1388" w:type="dxa"/>
          </w:tcPr>
          <w:p w14:paraId="48FA2AF4" w14:textId="77777777" w:rsidR="009A3C2D" w:rsidRPr="0082484A" w:rsidRDefault="009A3C2D" w:rsidP="00272145">
            <w:pPr>
              <w:rPr>
                <w:sz w:val="22"/>
                <w:szCs w:val="22"/>
              </w:rPr>
            </w:pPr>
          </w:p>
        </w:tc>
      </w:tr>
      <w:tr w:rsidR="009A3C2D" w:rsidRPr="0082484A" w14:paraId="543D56A5" w14:textId="77777777" w:rsidTr="00272145">
        <w:tc>
          <w:tcPr>
            <w:tcW w:w="1634" w:type="dxa"/>
          </w:tcPr>
          <w:p w14:paraId="239AEF1C" w14:textId="77777777" w:rsidR="009A3C2D" w:rsidRPr="0082484A" w:rsidRDefault="009A3C2D" w:rsidP="00272145">
            <w:pPr>
              <w:jc w:val="right"/>
              <w:rPr>
                <w:sz w:val="22"/>
                <w:szCs w:val="22"/>
              </w:rPr>
            </w:pPr>
            <w:r w:rsidRPr="0082484A">
              <w:rPr>
                <w:sz w:val="22"/>
                <w:szCs w:val="22"/>
              </w:rPr>
              <w:t>Female</w:t>
            </w:r>
          </w:p>
        </w:tc>
        <w:tc>
          <w:tcPr>
            <w:tcW w:w="1500" w:type="dxa"/>
          </w:tcPr>
          <w:p w14:paraId="09D3CE4E" w14:textId="77777777" w:rsidR="009A3C2D" w:rsidRPr="0082484A" w:rsidRDefault="009A3C2D" w:rsidP="00272145">
            <w:pPr>
              <w:rPr>
                <w:sz w:val="22"/>
                <w:szCs w:val="22"/>
              </w:rPr>
            </w:pPr>
            <w:r w:rsidRPr="0082484A">
              <w:rPr>
                <w:sz w:val="22"/>
                <w:szCs w:val="22"/>
              </w:rPr>
              <w:t>13.41</w:t>
            </w:r>
          </w:p>
        </w:tc>
        <w:tc>
          <w:tcPr>
            <w:tcW w:w="1669" w:type="dxa"/>
          </w:tcPr>
          <w:p w14:paraId="1D9E449B" w14:textId="77777777" w:rsidR="009A3C2D" w:rsidRPr="0082484A" w:rsidRDefault="009A3C2D" w:rsidP="00272145">
            <w:pPr>
              <w:rPr>
                <w:sz w:val="22"/>
                <w:szCs w:val="22"/>
              </w:rPr>
            </w:pPr>
            <w:r w:rsidRPr="0082484A">
              <w:rPr>
                <w:sz w:val="22"/>
                <w:szCs w:val="22"/>
              </w:rPr>
              <w:t>0.2883</w:t>
            </w:r>
          </w:p>
        </w:tc>
        <w:tc>
          <w:tcPr>
            <w:tcW w:w="1415" w:type="dxa"/>
          </w:tcPr>
          <w:p w14:paraId="5BBA9F9C" w14:textId="77777777" w:rsidR="009A3C2D" w:rsidRPr="0082484A" w:rsidRDefault="009A3C2D" w:rsidP="00272145">
            <w:pPr>
              <w:rPr>
                <w:sz w:val="22"/>
                <w:szCs w:val="22"/>
              </w:rPr>
            </w:pPr>
          </w:p>
        </w:tc>
        <w:tc>
          <w:tcPr>
            <w:tcW w:w="1410" w:type="dxa"/>
          </w:tcPr>
          <w:p w14:paraId="218A1172" w14:textId="77777777" w:rsidR="009A3C2D" w:rsidRPr="0082484A" w:rsidRDefault="009A3C2D" w:rsidP="00272145">
            <w:pPr>
              <w:rPr>
                <w:sz w:val="22"/>
                <w:szCs w:val="22"/>
              </w:rPr>
            </w:pPr>
          </w:p>
        </w:tc>
        <w:tc>
          <w:tcPr>
            <w:tcW w:w="1388" w:type="dxa"/>
          </w:tcPr>
          <w:p w14:paraId="48CBF9DC" w14:textId="77777777" w:rsidR="009A3C2D" w:rsidRPr="0082484A" w:rsidRDefault="009A3C2D" w:rsidP="00272145">
            <w:pPr>
              <w:rPr>
                <w:sz w:val="22"/>
                <w:szCs w:val="22"/>
              </w:rPr>
            </w:pPr>
          </w:p>
        </w:tc>
      </w:tr>
      <w:tr w:rsidR="009A3C2D" w:rsidRPr="0082484A" w14:paraId="71485C19" w14:textId="77777777" w:rsidTr="00272145">
        <w:tc>
          <w:tcPr>
            <w:tcW w:w="1634" w:type="dxa"/>
          </w:tcPr>
          <w:p w14:paraId="5031DD18" w14:textId="77777777" w:rsidR="009A3C2D" w:rsidRPr="0082484A" w:rsidRDefault="009A3C2D" w:rsidP="00272145">
            <w:pPr>
              <w:rPr>
                <w:sz w:val="22"/>
                <w:szCs w:val="22"/>
              </w:rPr>
            </w:pPr>
            <w:r w:rsidRPr="0082484A">
              <w:rPr>
                <w:sz w:val="22"/>
                <w:szCs w:val="22"/>
              </w:rPr>
              <w:t>CKD stage 5 to death (&gt;65)</w:t>
            </w:r>
          </w:p>
        </w:tc>
        <w:tc>
          <w:tcPr>
            <w:tcW w:w="1500" w:type="dxa"/>
          </w:tcPr>
          <w:p w14:paraId="23FBC3CD" w14:textId="77777777" w:rsidR="009A3C2D" w:rsidRPr="0082484A" w:rsidRDefault="009A3C2D" w:rsidP="00272145">
            <w:pPr>
              <w:rPr>
                <w:sz w:val="22"/>
                <w:szCs w:val="22"/>
              </w:rPr>
            </w:pPr>
          </w:p>
        </w:tc>
        <w:tc>
          <w:tcPr>
            <w:tcW w:w="1669" w:type="dxa"/>
          </w:tcPr>
          <w:p w14:paraId="0C936066" w14:textId="77777777" w:rsidR="009A3C2D" w:rsidRPr="0082484A" w:rsidRDefault="009A3C2D" w:rsidP="00272145">
            <w:pPr>
              <w:rPr>
                <w:sz w:val="22"/>
                <w:szCs w:val="22"/>
              </w:rPr>
            </w:pPr>
          </w:p>
        </w:tc>
        <w:tc>
          <w:tcPr>
            <w:tcW w:w="1415" w:type="dxa"/>
          </w:tcPr>
          <w:p w14:paraId="0CE5E321" w14:textId="77777777" w:rsidR="009A3C2D" w:rsidRPr="0082484A" w:rsidRDefault="009A3C2D" w:rsidP="00272145">
            <w:pPr>
              <w:rPr>
                <w:sz w:val="22"/>
                <w:szCs w:val="22"/>
              </w:rPr>
            </w:pPr>
          </w:p>
        </w:tc>
        <w:tc>
          <w:tcPr>
            <w:tcW w:w="1410" w:type="dxa"/>
          </w:tcPr>
          <w:p w14:paraId="6A4713B2" w14:textId="77777777" w:rsidR="009A3C2D" w:rsidRPr="0082484A" w:rsidRDefault="009A3C2D" w:rsidP="00272145">
            <w:pPr>
              <w:rPr>
                <w:sz w:val="22"/>
                <w:szCs w:val="22"/>
              </w:rPr>
            </w:pPr>
          </w:p>
        </w:tc>
        <w:tc>
          <w:tcPr>
            <w:tcW w:w="1388" w:type="dxa"/>
          </w:tcPr>
          <w:p w14:paraId="43CB8209" w14:textId="323D610C" w:rsidR="009A3C2D" w:rsidRPr="0082484A" w:rsidRDefault="009A3C2D" w:rsidP="00952E85">
            <w:pPr>
              <w:rPr>
                <w:sz w:val="22"/>
                <w:szCs w:val="22"/>
              </w:rPr>
            </w:pPr>
            <w:r w:rsidRPr="0082484A">
              <w:rPr>
                <w:sz w:val="22"/>
                <w:szCs w:val="22"/>
              </w:rPr>
              <w:t xml:space="preserve">Based on own calculations using Villar </w:t>
            </w:r>
            <w:r w:rsidRPr="0082484A">
              <w:rPr>
                <w:i/>
                <w:sz w:val="22"/>
                <w:szCs w:val="22"/>
              </w:rPr>
              <w:t>et al</w:t>
            </w:r>
            <w:r w:rsidRPr="0082484A">
              <w:rPr>
                <w:sz w:val="22"/>
                <w:szCs w:val="22"/>
              </w:rPr>
              <w:t>. (2007)</w:t>
            </w:r>
            <w:r w:rsidRPr="0082484A">
              <w:rPr>
                <w:sz w:val="22"/>
                <w:szCs w:val="22"/>
              </w:rPr>
              <w:fldChar w:fldCharType="begin"/>
            </w:r>
            <w:r w:rsidR="00952E85" w:rsidRPr="0082484A">
              <w:rPr>
                <w:sz w:val="22"/>
                <w:szCs w:val="22"/>
              </w:rPr>
              <w:instrText xml:space="preserve"> ADDIN EN.CITE &lt;EndNote&gt;&lt;Cite&gt;&lt;Author&gt;Villar&lt;/Author&gt;&lt;Year&gt;2007&lt;/Year&gt;&lt;RecNum&gt;3326&lt;/RecNum&gt;&lt;DisplayText&gt;&lt;style face="superscript"&gt;12&lt;/style&gt;&lt;/DisplayText&gt;&lt;record&gt;&lt;rec-number&gt;3326&lt;/rec-number&gt;&lt;foreign-keys&gt;&lt;key app="EN" db-id="5srzarxr5dr9r5es2r7xst9lr9t2rewrpffr" timestamp="1516029459"&gt;3326&lt;/key&gt;&lt;/foreign-keys&gt;&lt;ref-type name="Journal Article"&gt;17&lt;/ref-type&gt;&lt;contributors&gt;&lt;authors&gt;&lt;author&gt;Villar, E.&lt;/author&gt;&lt;author&gt;Remontet, L.&lt;/author&gt;&lt;author&gt;Labeeuw, M.&lt;/author&gt;&lt;author&gt;Ecochard, R.&lt;/author&gt;&lt;/authors&gt;&lt;/contributors&gt;&lt;auth-address&gt;Ctr Hosp Lyon Sud, Serv Nephrol Dialyse &amp;amp; Transplantat, F-69495 Pierre Benite, France&amp;#xD;Hospices Civils Lyon, CNRS, UMR 5558, Serv Biostat, Lyon, France&lt;/auth-address&gt;&lt;titles&gt;&lt;title&gt;Effect of age, gender, and in diabetes on excess death in end-stage renal failure&lt;/title&gt;&lt;secondary-title&gt;Journal of the American Society of Nephrology&lt;/secondary-title&gt;&lt;alt-title&gt;J Am Soc Nephrol&lt;/alt-title&gt;&lt;/titles&gt;&lt;periodical&gt;&lt;full-title&gt;Journal of the American Society of Nephrology&lt;/full-title&gt;&lt;abbr-1&gt;J Am Soc Nephrol&lt;/abbr-1&gt;&lt;/periodical&gt;&lt;alt-periodical&gt;&lt;full-title&gt;Journal of the American Society of Nephrology&lt;/full-title&gt;&lt;abbr-1&gt;J Am Soc Nephrol&lt;/abbr-1&gt;&lt;/alt-periodical&gt;&lt;pages&gt;2125-2134&lt;/pages&gt;&lt;volume&gt;18&lt;/volume&gt;&lt;number&gt;7&lt;/number&gt;&lt;keywords&gt;&lt;keyword&gt;coronary-heart-disease&lt;/keyword&gt;&lt;keyword&gt;quality-of-life&lt;/keyword&gt;&lt;keyword&gt;replacement therapy&lt;/keyword&gt;&lt;keyword&gt;hemodialysis population&lt;/keyword&gt;&lt;keyword&gt;dialysis patients&lt;/keyword&gt;&lt;keyword&gt;kidney-disease&lt;/keyword&gt;&lt;keyword&gt;follow-up&lt;/keyword&gt;&lt;keyword&gt;survival&lt;/keyword&gt;&lt;keyword&gt;impact&lt;/keyword&gt;&lt;keyword&gt;risk&lt;/keyword&gt;&lt;/keywords&gt;&lt;dates&gt;&lt;year&gt;2007&lt;/year&gt;&lt;pub-dates&gt;&lt;date&gt;Jul&lt;/date&gt;&lt;/pub-dates&gt;&lt;/dates&gt;&lt;isbn&gt;1046-6673&lt;/isbn&gt;&lt;accession-num&gt;WOS:000248758500021&lt;/accession-num&gt;&lt;urls&gt;&lt;related-urls&gt;&lt;url&gt;&amp;lt;Go to ISI&amp;gt;://WOS:000248758500021&lt;/url&gt;&lt;/related-urls&gt;&lt;/urls&gt;&lt;electronic-resource-num&gt;10.1681/Asn.2006091048&lt;/electronic-resource-num&gt;&lt;language&gt;English&lt;/language&gt;&lt;/record&gt;&lt;/Cite&gt;&lt;/EndNote&gt;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12</w:t>
            </w:r>
            <w:r w:rsidRPr="0082484A">
              <w:rPr>
                <w:sz w:val="22"/>
                <w:szCs w:val="22"/>
              </w:rPr>
              <w:fldChar w:fldCharType="end"/>
            </w:r>
          </w:p>
        </w:tc>
      </w:tr>
      <w:tr w:rsidR="009A3C2D" w:rsidRPr="0082484A" w14:paraId="15C561AC" w14:textId="77777777" w:rsidTr="00272145">
        <w:tc>
          <w:tcPr>
            <w:tcW w:w="1634" w:type="dxa"/>
          </w:tcPr>
          <w:p w14:paraId="00021A34" w14:textId="77777777" w:rsidR="009A3C2D" w:rsidRPr="0082484A" w:rsidRDefault="009A3C2D" w:rsidP="00272145">
            <w:pPr>
              <w:jc w:val="right"/>
              <w:rPr>
                <w:sz w:val="22"/>
                <w:szCs w:val="22"/>
              </w:rPr>
            </w:pPr>
            <w:r w:rsidRPr="0082484A">
              <w:rPr>
                <w:sz w:val="22"/>
                <w:szCs w:val="22"/>
              </w:rPr>
              <w:t xml:space="preserve">Male </w:t>
            </w:r>
          </w:p>
        </w:tc>
        <w:tc>
          <w:tcPr>
            <w:tcW w:w="1500" w:type="dxa"/>
          </w:tcPr>
          <w:p w14:paraId="6BB3FEC0" w14:textId="77777777" w:rsidR="009A3C2D" w:rsidRPr="0082484A" w:rsidRDefault="009A3C2D" w:rsidP="00272145">
            <w:pPr>
              <w:rPr>
                <w:sz w:val="22"/>
                <w:szCs w:val="22"/>
              </w:rPr>
            </w:pPr>
            <w:r w:rsidRPr="0082484A">
              <w:rPr>
                <w:sz w:val="22"/>
                <w:szCs w:val="22"/>
              </w:rPr>
              <w:t>4.867</w:t>
            </w:r>
          </w:p>
        </w:tc>
        <w:tc>
          <w:tcPr>
            <w:tcW w:w="1669" w:type="dxa"/>
          </w:tcPr>
          <w:p w14:paraId="7340FEFD" w14:textId="77777777" w:rsidR="009A3C2D" w:rsidRPr="0082484A" w:rsidRDefault="009A3C2D" w:rsidP="00272145">
            <w:pPr>
              <w:rPr>
                <w:sz w:val="22"/>
                <w:szCs w:val="22"/>
              </w:rPr>
            </w:pPr>
            <w:r w:rsidRPr="0082484A">
              <w:rPr>
                <w:sz w:val="22"/>
                <w:szCs w:val="22"/>
              </w:rPr>
              <w:t>0.1036</w:t>
            </w:r>
          </w:p>
        </w:tc>
        <w:tc>
          <w:tcPr>
            <w:tcW w:w="1415" w:type="dxa"/>
          </w:tcPr>
          <w:p w14:paraId="1F8325A0" w14:textId="77777777" w:rsidR="009A3C2D" w:rsidRPr="0082484A" w:rsidRDefault="009A3C2D" w:rsidP="00272145">
            <w:pPr>
              <w:rPr>
                <w:sz w:val="22"/>
                <w:szCs w:val="22"/>
              </w:rPr>
            </w:pPr>
          </w:p>
        </w:tc>
        <w:tc>
          <w:tcPr>
            <w:tcW w:w="1410" w:type="dxa"/>
          </w:tcPr>
          <w:p w14:paraId="05472C64" w14:textId="77777777" w:rsidR="009A3C2D" w:rsidRPr="0082484A" w:rsidRDefault="009A3C2D" w:rsidP="00272145">
            <w:pPr>
              <w:rPr>
                <w:sz w:val="22"/>
                <w:szCs w:val="22"/>
              </w:rPr>
            </w:pPr>
          </w:p>
        </w:tc>
        <w:tc>
          <w:tcPr>
            <w:tcW w:w="1388" w:type="dxa"/>
          </w:tcPr>
          <w:p w14:paraId="167EB3D3" w14:textId="77777777" w:rsidR="009A3C2D" w:rsidRPr="0082484A" w:rsidRDefault="009A3C2D" w:rsidP="00272145">
            <w:pPr>
              <w:rPr>
                <w:sz w:val="22"/>
                <w:szCs w:val="22"/>
              </w:rPr>
            </w:pPr>
          </w:p>
        </w:tc>
      </w:tr>
      <w:tr w:rsidR="009A3C2D" w:rsidRPr="0082484A" w14:paraId="3E63173D" w14:textId="77777777" w:rsidTr="00272145">
        <w:tc>
          <w:tcPr>
            <w:tcW w:w="1634" w:type="dxa"/>
          </w:tcPr>
          <w:p w14:paraId="5040C9EB" w14:textId="77777777" w:rsidR="009A3C2D" w:rsidRPr="0082484A" w:rsidRDefault="009A3C2D" w:rsidP="00272145">
            <w:pPr>
              <w:jc w:val="right"/>
              <w:rPr>
                <w:sz w:val="22"/>
                <w:szCs w:val="22"/>
              </w:rPr>
            </w:pPr>
            <w:r w:rsidRPr="0082484A">
              <w:rPr>
                <w:sz w:val="22"/>
                <w:szCs w:val="22"/>
              </w:rPr>
              <w:t>Female</w:t>
            </w:r>
          </w:p>
        </w:tc>
        <w:tc>
          <w:tcPr>
            <w:tcW w:w="1500" w:type="dxa"/>
          </w:tcPr>
          <w:p w14:paraId="608F0C51" w14:textId="77777777" w:rsidR="009A3C2D" w:rsidRPr="0082484A" w:rsidRDefault="009A3C2D" w:rsidP="00272145">
            <w:pPr>
              <w:rPr>
                <w:sz w:val="22"/>
                <w:szCs w:val="22"/>
              </w:rPr>
            </w:pPr>
            <w:r w:rsidRPr="0082484A">
              <w:rPr>
                <w:sz w:val="22"/>
                <w:szCs w:val="22"/>
              </w:rPr>
              <w:t>7.7345</w:t>
            </w:r>
          </w:p>
        </w:tc>
        <w:tc>
          <w:tcPr>
            <w:tcW w:w="1669" w:type="dxa"/>
          </w:tcPr>
          <w:p w14:paraId="6AD8785C" w14:textId="77777777" w:rsidR="009A3C2D" w:rsidRPr="0082484A" w:rsidRDefault="009A3C2D" w:rsidP="00272145">
            <w:pPr>
              <w:rPr>
                <w:sz w:val="22"/>
                <w:szCs w:val="22"/>
              </w:rPr>
            </w:pPr>
            <w:r w:rsidRPr="0082484A">
              <w:rPr>
                <w:sz w:val="22"/>
                <w:szCs w:val="22"/>
              </w:rPr>
              <w:t>0.1259</w:t>
            </w:r>
          </w:p>
        </w:tc>
        <w:tc>
          <w:tcPr>
            <w:tcW w:w="1415" w:type="dxa"/>
          </w:tcPr>
          <w:p w14:paraId="0D8E41B5" w14:textId="77777777" w:rsidR="009A3C2D" w:rsidRPr="0082484A" w:rsidRDefault="009A3C2D" w:rsidP="00272145">
            <w:pPr>
              <w:rPr>
                <w:sz w:val="22"/>
                <w:szCs w:val="22"/>
              </w:rPr>
            </w:pPr>
          </w:p>
        </w:tc>
        <w:tc>
          <w:tcPr>
            <w:tcW w:w="1410" w:type="dxa"/>
          </w:tcPr>
          <w:p w14:paraId="257B7FF7" w14:textId="77777777" w:rsidR="009A3C2D" w:rsidRPr="0082484A" w:rsidRDefault="009A3C2D" w:rsidP="00272145">
            <w:pPr>
              <w:rPr>
                <w:sz w:val="22"/>
                <w:szCs w:val="22"/>
              </w:rPr>
            </w:pPr>
          </w:p>
        </w:tc>
        <w:tc>
          <w:tcPr>
            <w:tcW w:w="1388" w:type="dxa"/>
          </w:tcPr>
          <w:p w14:paraId="0DE8FDF3" w14:textId="77777777" w:rsidR="009A3C2D" w:rsidRPr="0082484A" w:rsidRDefault="009A3C2D" w:rsidP="00272145">
            <w:pPr>
              <w:rPr>
                <w:sz w:val="22"/>
                <w:szCs w:val="22"/>
              </w:rPr>
            </w:pPr>
          </w:p>
        </w:tc>
      </w:tr>
    </w:tbl>
    <w:p w14:paraId="7A7F4F55" w14:textId="77777777" w:rsidR="009A3C2D" w:rsidRPr="0082484A" w:rsidRDefault="009A3C2D" w:rsidP="009A3C2D">
      <w:pPr>
        <w:rPr>
          <w:sz w:val="22"/>
          <w:szCs w:val="22"/>
        </w:rPr>
      </w:pPr>
    </w:p>
    <w:p w14:paraId="0113575C" w14:textId="56348337" w:rsidR="009A3C2D" w:rsidRPr="0082484A" w:rsidRDefault="009A3C2D" w:rsidP="009A3C2D">
      <w:pPr>
        <w:pStyle w:val="Caption"/>
        <w:rPr>
          <w:b w:val="0"/>
          <w:sz w:val="22"/>
          <w:szCs w:val="22"/>
        </w:rPr>
      </w:pPr>
      <w:bookmarkStart w:id="339" w:name="_Ref501110467"/>
      <w:bookmarkStart w:id="340" w:name="_Ref491080732"/>
      <w:bookmarkStart w:id="341" w:name="_Toc491341667"/>
      <w:bookmarkStart w:id="342" w:name="_Toc8728175"/>
      <w:bookmarkStart w:id="343" w:name="_Toc19526822"/>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93</w:t>
      </w:r>
      <w:r w:rsidRPr="0082484A">
        <w:rPr>
          <w:b w:val="0"/>
          <w:noProof/>
          <w:sz w:val="22"/>
          <w:szCs w:val="22"/>
        </w:rPr>
        <w:fldChar w:fldCharType="end"/>
      </w:r>
      <w:bookmarkEnd w:id="339"/>
      <w:r w:rsidRPr="0082484A">
        <w:rPr>
          <w:b w:val="0"/>
          <w:noProof/>
          <w:sz w:val="22"/>
          <w:szCs w:val="22"/>
        </w:rPr>
        <w:t xml:space="preserve">: </w:t>
      </w:r>
      <w:r w:rsidRPr="0082484A">
        <w:rPr>
          <w:b w:val="0"/>
          <w:sz w:val="22"/>
          <w:szCs w:val="22"/>
        </w:rPr>
        <w:t xml:space="preserve"> </w:t>
      </w:r>
      <w:bookmarkEnd w:id="340"/>
      <w:r w:rsidRPr="0082484A">
        <w:rPr>
          <w:b w:val="0"/>
          <w:sz w:val="22"/>
          <w:szCs w:val="22"/>
        </w:rPr>
        <w:t>Risky prescribing - CKD sub-model three month costs</w:t>
      </w:r>
      <w:bookmarkEnd w:id="341"/>
      <w:bookmarkEnd w:id="342"/>
      <w:bookmarkEnd w:id="343"/>
    </w:p>
    <w:tbl>
      <w:tblPr>
        <w:tblStyle w:val="TableGrid"/>
        <w:tblW w:w="0" w:type="auto"/>
        <w:tblLook w:val="04A0" w:firstRow="1" w:lastRow="0" w:firstColumn="1" w:lastColumn="0" w:noHBand="0" w:noVBand="1"/>
      </w:tblPr>
      <w:tblGrid>
        <w:gridCol w:w="1872"/>
        <w:gridCol w:w="1789"/>
      </w:tblGrid>
      <w:tr w:rsidR="009A3C2D" w:rsidRPr="0082484A" w14:paraId="5219BF7D" w14:textId="77777777" w:rsidTr="00272145">
        <w:tc>
          <w:tcPr>
            <w:tcW w:w="1872" w:type="dxa"/>
          </w:tcPr>
          <w:p w14:paraId="5E0B120D" w14:textId="77777777" w:rsidR="009A3C2D" w:rsidRPr="0082484A" w:rsidRDefault="009A3C2D" w:rsidP="00272145">
            <w:pPr>
              <w:rPr>
                <w:sz w:val="22"/>
                <w:szCs w:val="22"/>
              </w:rPr>
            </w:pPr>
            <w:r w:rsidRPr="0082484A">
              <w:rPr>
                <w:sz w:val="22"/>
                <w:szCs w:val="22"/>
              </w:rPr>
              <w:t>Parameter</w:t>
            </w:r>
          </w:p>
          <w:p w14:paraId="69C06E50" w14:textId="77777777" w:rsidR="009A3C2D" w:rsidRPr="0082484A" w:rsidRDefault="009A3C2D" w:rsidP="00272145">
            <w:pPr>
              <w:rPr>
                <w:sz w:val="22"/>
                <w:szCs w:val="22"/>
              </w:rPr>
            </w:pPr>
          </w:p>
        </w:tc>
        <w:tc>
          <w:tcPr>
            <w:tcW w:w="1789" w:type="dxa"/>
          </w:tcPr>
          <w:p w14:paraId="1654E674" w14:textId="77777777" w:rsidR="009A3C2D" w:rsidRPr="0082484A" w:rsidRDefault="009A3C2D" w:rsidP="00272145">
            <w:pPr>
              <w:rPr>
                <w:sz w:val="22"/>
                <w:szCs w:val="22"/>
              </w:rPr>
            </w:pPr>
            <w:r w:rsidRPr="0082484A">
              <w:rPr>
                <w:sz w:val="22"/>
                <w:szCs w:val="22"/>
              </w:rPr>
              <w:t>Cost</w:t>
            </w:r>
          </w:p>
        </w:tc>
      </w:tr>
      <w:tr w:rsidR="009A3C2D" w:rsidRPr="0082484A" w14:paraId="069F691E" w14:textId="77777777" w:rsidTr="00272145">
        <w:tc>
          <w:tcPr>
            <w:tcW w:w="1872" w:type="dxa"/>
          </w:tcPr>
          <w:p w14:paraId="40D405F6" w14:textId="77777777" w:rsidR="009A3C2D" w:rsidRPr="0082484A" w:rsidRDefault="009A3C2D" w:rsidP="00272145">
            <w:pPr>
              <w:rPr>
                <w:sz w:val="22"/>
                <w:szCs w:val="22"/>
              </w:rPr>
            </w:pPr>
            <w:r w:rsidRPr="0082484A">
              <w:rPr>
                <w:sz w:val="22"/>
                <w:szCs w:val="22"/>
              </w:rPr>
              <w:t>CKD stage 3-4</w:t>
            </w:r>
          </w:p>
        </w:tc>
        <w:tc>
          <w:tcPr>
            <w:tcW w:w="1789" w:type="dxa"/>
          </w:tcPr>
          <w:p w14:paraId="20F58942" w14:textId="77777777" w:rsidR="009A3C2D" w:rsidRPr="0082484A" w:rsidRDefault="009A3C2D" w:rsidP="00272145">
            <w:pPr>
              <w:jc w:val="right"/>
              <w:rPr>
                <w:sz w:val="22"/>
                <w:szCs w:val="22"/>
              </w:rPr>
            </w:pPr>
            <w:r w:rsidRPr="0082484A">
              <w:rPr>
                <w:sz w:val="22"/>
                <w:szCs w:val="22"/>
              </w:rPr>
              <w:t>£199.00</w:t>
            </w:r>
          </w:p>
        </w:tc>
      </w:tr>
      <w:tr w:rsidR="009A3C2D" w:rsidRPr="0082484A" w14:paraId="48819C22" w14:textId="77777777" w:rsidTr="00272145">
        <w:tc>
          <w:tcPr>
            <w:tcW w:w="1872" w:type="dxa"/>
          </w:tcPr>
          <w:p w14:paraId="2C9069F5" w14:textId="77777777" w:rsidR="009A3C2D" w:rsidRPr="0082484A" w:rsidRDefault="009A3C2D" w:rsidP="00272145">
            <w:pPr>
              <w:rPr>
                <w:sz w:val="22"/>
                <w:szCs w:val="22"/>
              </w:rPr>
            </w:pPr>
            <w:r w:rsidRPr="0082484A">
              <w:rPr>
                <w:sz w:val="22"/>
                <w:szCs w:val="22"/>
              </w:rPr>
              <w:t>CKD stage 5 cycle 1</w:t>
            </w:r>
          </w:p>
        </w:tc>
        <w:tc>
          <w:tcPr>
            <w:tcW w:w="1789" w:type="dxa"/>
          </w:tcPr>
          <w:p w14:paraId="3B3DAF7A" w14:textId="77777777" w:rsidR="009A3C2D" w:rsidRPr="0082484A" w:rsidRDefault="009A3C2D" w:rsidP="00272145">
            <w:pPr>
              <w:jc w:val="right"/>
              <w:rPr>
                <w:sz w:val="22"/>
                <w:szCs w:val="22"/>
              </w:rPr>
            </w:pPr>
            <w:r w:rsidRPr="0082484A">
              <w:rPr>
                <w:sz w:val="22"/>
                <w:szCs w:val="22"/>
              </w:rPr>
              <w:t>£12,329.00</w:t>
            </w:r>
          </w:p>
        </w:tc>
      </w:tr>
      <w:tr w:rsidR="009A3C2D" w:rsidRPr="0082484A" w14:paraId="057829AE" w14:textId="77777777" w:rsidTr="00272145">
        <w:tc>
          <w:tcPr>
            <w:tcW w:w="1872" w:type="dxa"/>
          </w:tcPr>
          <w:p w14:paraId="2F4FA2C3" w14:textId="77777777" w:rsidR="009A3C2D" w:rsidRPr="0082484A" w:rsidRDefault="009A3C2D" w:rsidP="00272145">
            <w:pPr>
              <w:rPr>
                <w:sz w:val="22"/>
                <w:szCs w:val="22"/>
              </w:rPr>
            </w:pPr>
            <w:r w:rsidRPr="0082484A">
              <w:rPr>
                <w:sz w:val="22"/>
                <w:szCs w:val="22"/>
              </w:rPr>
              <w:t>CKD stage 5 cycle 2</w:t>
            </w:r>
          </w:p>
        </w:tc>
        <w:tc>
          <w:tcPr>
            <w:tcW w:w="1789" w:type="dxa"/>
          </w:tcPr>
          <w:p w14:paraId="1D23E796" w14:textId="77777777" w:rsidR="009A3C2D" w:rsidRPr="0082484A" w:rsidRDefault="009A3C2D" w:rsidP="00272145">
            <w:pPr>
              <w:jc w:val="right"/>
              <w:rPr>
                <w:sz w:val="22"/>
                <w:szCs w:val="22"/>
              </w:rPr>
            </w:pPr>
            <w:r w:rsidRPr="0082484A">
              <w:rPr>
                <w:sz w:val="22"/>
                <w:szCs w:val="22"/>
              </w:rPr>
              <w:t>£11,109.00</w:t>
            </w:r>
          </w:p>
        </w:tc>
      </w:tr>
      <w:tr w:rsidR="009A3C2D" w:rsidRPr="0082484A" w14:paraId="58E955A9" w14:textId="77777777" w:rsidTr="00272145">
        <w:tc>
          <w:tcPr>
            <w:tcW w:w="1872" w:type="dxa"/>
          </w:tcPr>
          <w:p w14:paraId="6DE3B6EC" w14:textId="77777777" w:rsidR="009A3C2D" w:rsidRPr="0082484A" w:rsidRDefault="009A3C2D" w:rsidP="00272145">
            <w:pPr>
              <w:rPr>
                <w:sz w:val="22"/>
                <w:szCs w:val="22"/>
              </w:rPr>
            </w:pPr>
            <w:r w:rsidRPr="0082484A">
              <w:rPr>
                <w:sz w:val="22"/>
                <w:szCs w:val="22"/>
              </w:rPr>
              <w:t>AKI</w:t>
            </w:r>
          </w:p>
        </w:tc>
        <w:tc>
          <w:tcPr>
            <w:tcW w:w="1789" w:type="dxa"/>
          </w:tcPr>
          <w:p w14:paraId="53ED7D36" w14:textId="77777777" w:rsidR="009A3C2D" w:rsidRPr="0082484A" w:rsidRDefault="009A3C2D" w:rsidP="00272145">
            <w:pPr>
              <w:jc w:val="right"/>
              <w:rPr>
                <w:sz w:val="22"/>
                <w:szCs w:val="22"/>
              </w:rPr>
            </w:pPr>
            <w:r w:rsidRPr="0082484A">
              <w:rPr>
                <w:sz w:val="22"/>
                <w:szCs w:val="22"/>
              </w:rPr>
              <w:t xml:space="preserve">£2,271.00 </w:t>
            </w:r>
          </w:p>
        </w:tc>
      </w:tr>
    </w:tbl>
    <w:p w14:paraId="0A881475" w14:textId="77777777" w:rsidR="009A3C2D" w:rsidRPr="0082484A" w:rsidRDefault="009A3C2D" w:rsidP="009A3C2D">
      <w:pPr>
        <w:rPr>
          <w:sz w:val="22"/>
          <w:szCs w:val="22"/>
        </w:rPr>
      </w:pPr>
      <w:r w:rsidRPr="0082484A">
        <w:rPr>
          <w:sz w:val="22"/>
          <w:szCs w:val="22"/>
        </w:rPr>
        <w:br w:type="page"/>
      </w:r>
    </w:p>
    <w:p w14:paraId="18C25AE9" w14:textId="379AA800" w:rsidR="009A3C2D" w:rsidRPr="0082484A" w:rsidRDefault="009A3C2D" w:rsidP="009A3C2D">
      <w:pPr>
        <w:pStyle w:val="Caption"/>
        <w:rPr>
          <w:b w:val="0"/>
          <w:sz w:val="22"/>
          <w:szCs w:val="22"/>
        </w:rPr>
      </w:pPr>
      <w:bookmarkStart w:id="344" w:name="_Ref491081493"/>
      <w:bookmarkStart w:id="345" w:name="_Toc491341668"/>
      <w:bookmarkStart w:id="346" w:name="_Toc8728176"/>
      <w:bookmarkStart w:id="347" w:name="_Toc19526823"/>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94</w:t>
      </w:r>
      <w:r w:rsidRPr="0082484A">
        <w:rPr>
          <w:b w:val="0"/>
          <w:noProof/>
          <w:sz w:val="22"/>
          <w:szCs w:val="22"/>
        </w:rPr>
        <w:fldChar w:fldCharType="end"/>
      </w:r>
      <w:bookmarkEnd w:id="344"/>
      <w:r w:rsidRPr="0082484A">
        <w:rPr>
          <w:b w:val="0"/>
          <w:sz w:val="22"/>
          <w:szCs w:val="22"/>
        </w:rPr>
        <w:t>: CKD sub-model utility values</w:t>
      </w:r>
      <w:bookmarkEnd w:id="345"/>
      <w:bookmarkEnd w:id="346"/>
      <w:bookmarkEnd w:id="347"/>
    </w:p>
    <w:tbl>
      <w:tblPr>
        <w:tblStyle w:val="TableGrid"/>
        <w:tblW w:w="0" w:type="auto"/>
        <w:tblLook w:val="04A0" w:firstRow="1" w:lastRow="0" w:firstColumn="1" w:lastColumn="0" w:noHBand="0" w:noVBand="1"/>
      </w:tblPr>
      <w:tblGrid>
        <w:gridCol w:w="1820"/>
        <w:gridCol w:w="1818"/>
        <w:gridCol w:w="1817"/>
        <w:gridCol w:w="3561"/>
      </w:tblGrid>
      <w:tr w:rsidR="009A3C2D" w:rsidRPr="0082484A" w14:paraId="7D3179C8" w14:textId="77777777" w:rsidTr="00272145">
        <w:tc>
          <w:tcPr>
            <w:tcW w:w="1848" w:type="dxa"/>
          </w:tcPr>
          <w:p w14:paraId="73266399" w14:textId="77777777" w:rsidR="009A3C2D" w:rsidRPr="0082484A" w:rsidRDefault="009A3C2D" w:rsidP="00272145">
            <w:pPr>
              <w:jc w:val="center"/>
              <w:rPr>
                <w:sz w:val="22"/>
                <w:szCs w:val="22"/>
              </w:rPr>
            </w:pPr>
            <w:r w:rsidRPr="0082484A">
              <w:rPr>
                <w:sz w:val="22"/>
                <w:szCs w:val="22"/>
              </w:rPr>
              <w:t>Health state</w:t>
            </w:r>
          </w:p>
          <w:p w14:paraId="22C7E550" w14:textId="77777777" w:rsidR="009A3C2D" w:rsidRPr="0082484A" w:rsidRDefault="009A3C2D" w:rsidP="00272145">
            <w:pPr>
              <w:jc w:val="center"/>
              <w:rPr>
                <w:sz w:val="22"/>
                <w:szCs w:val="22"/>
              </w:rPr>
            </w:pPr>
          </w:p>
        </w:tc>
        <w:tc>
          <w:tcPr>
            <w:tcW w:w="1848" w:type="dxa"/>
          </w:tcPr>
          <w:p w14:paraId="69B4E3EF" w14:textId="77777777" w:rsidR="009A3C2D" w:rsidRPr="0082484A" w:rsidRDefault="009A3C2D" w:rsidP="00272145">
            <w:pPr>
              <w:jc w:val="center"/>
              <w:rPr>
                <w:sz w:val="22"/>
                <w:szCs w:val="22"/>
              </w:rPr>
            </w:pPr>
            <w:r w:rsidRPr="0082484A">
              <w:rPr>
                <w:sz w:val="22"/>
                <w:szCs w:val="22"/>
              </w:rPr>
              <w:t>Utility Value</w:t>
            </w:r>
          </w:p>
        </w:tc>
        <w:tc>
          <w:tcPr>
            <w:tcW w:w="1848" w:type="dxa"/>
          </w:tcPr>
          <w:p w14:paraId="5B9938AA" w14:textId="77777777" w:rsidR="009A3C2D" w:rsidRPr="0082484A" w:rsidRDefault="009A3C2D" w:rsidP="00272145">
            <w:pPr>
              <w:jc w:val="center"/>
              <w:rPr>
                <w:sz w:val="22"/>
                <w:szCs w:val="22"/>
              </w:rPr>
            </w:pPr>
            <w:r w:rsidRPr="0082484A">
              <w:rPr>
                <w:sz w:val="22"/>
                <w:szCs w:val="22"/>
              </w:rPr>
              <w:t>SE</w:t>
            </w:r>
          </w:p>
        </w:tc>
        <w:tc>
          <w:tcPr>
            <w:tcW w:w="3636" w:type="dxa"/>
          </w:tcPr>
          <w:p w14:paraId="201FC0BB" w14:textId="77777777" w:rsidR="009A3C2D" w:rsidRPr="0082484A" w:rsidRDefault="009A3C2D" w:rsidP="00272145">
            <w:pPr>
              <w:jc w:val="center"/>
              <w:rPr>
                <w:sz w:val="22"/>
                <w:szCs w:val="22"/>
              </w:rPr>
            </w:pPr>
            <w:r w:rsidRPr="0082484A">
              <w:rPr>
                <w:sz w:val="22"/>
                <w:szCs w:val="22"/>
              </w:rPr>
              <w:t>Source</w:t>
            </w:r>
          </w:p>
        </w:tc>
      </w:tr>
      <w:tr w:rsidR="009A3C2D" w:rsidRPr="0082484A" w14:paraId="23455FC9" w14:textId="77777777" w:rsidTr="00272145">
        <w:tc>
          <w:tcPr>
            <w:tcW w:w="1848" w:type="dxa"/>
          </w:tcPr>
          <w:p w14:paraId="6E19E22B" w14:textId="77777777" w:rsidR="009A3C2D" w:rsidRPr="0082484A" w:rsidRDefault="009A3C2D" w:rsidP="00272145">
            <w:pPr>
              <w:rPr>
                <w:sz w:val="22"/>
                <w:szCs w:val="22"/>
              </w:rPr>
            </w:pPr>
            <w:r w:rsidRPr="0082484A">
              <w:rPr>
                <w:sz w:val="22"/>
                <w:szCs w:val="22"/>
              </w:rPr>
              <w:t>Stage 3-4 CKD</w:t>
            </w:r>
          </w:p>
        </w:tc>
        <w:tc>
          <w:tcPr>
            <w:tcW w:w="1848" w:type="dxa"/>
          </w:tcPr>
          <w:p w14:paraId="720676D7" w14:textId="77777777" w:rsidR="009A3C2D" w:rsidRPr="0082484A" w:rsidRDefault="009A3C2D" w:rsidP="00272145">
            <w:pPr>
              <w:rPr>
                <w:sz w:val="22"/>
                <w:szCs w:val="22"/>
              </w:rPr>
            </w:pPr>
            <w:r w:rsidRPr="0082484A">
              <w:rPr>
                <w:sz w:val="22"/>
                <w:szCs w:val="22"/>
              </w:rPr>
              <w:t>0.672</w:t>
            </w:r>
          </w:p>
        </w:tc>
        <w:tc>
          <w:tcPr>
            <w:tcW w:w="1848" w:type="dxa"/>
          </w:tcPr>
          <w:p w14:paraId="7D0A139B" w14:textId="77777777" w:rsidR="009A3C2D" w:rsidRPr="0082484A" w:rsidRDefault="009A3C2D" w:rsidP="00272145">
            <w:pPr>
              <w:rPr>
                <w:sz w:val="22"/>
                <w:szCs w:val="22"/>
              </w:rPr>
            </w:pPr>
            <w:r w:rsidRPr="0082484A">
              <w:rPr>
                <w:sz w:val="22"/>
                <w:szCs w:val="22"/>
              </w:rPr>
              <w:t>0.027</w:t>
            </w:r>
          </w:p>
        </w:tc>
        <w:tc>
          <w:tcPr>
            <w:tcW w:w="3636" w:type="dxa"/>
          </w:tcPr>
          <w:p w14:paraId="069F2B1B" w14:textId="545A9263" w:rsidR="009A3C2D" w:rsidRPr="0082484A" w:rsidRDefault="009A3C2D" w:rsidP="00952E85">
            <w:pPr>
              <w:rPr>
                <w:sz w:val="22"/>
                <w:szCs w:val="22"/>
              </w:rPr>
            </w:pPr>
            <w:r w:rsidRPr="0082484A">
              <w:rPr>
                <w:sz w:val="22"/>
                <w:szCs w:val="22"/>
              </w:rPr>
              <w:t>All values taken from NICE CG169</w:t>
            </w:r>
            <w:r w:rsidRPr="0082484A">
              <w:rPr>
                <w:sz w:val="22"/>
                <w:szCs w:val="22"/>
              </w:rPr>
              <w:fldChar w:fldCharType="begin"/>
            </w:r>
            <w:r w:rsidR="00952E85" w:rsidRPr="0082484A">
              <w:rPr>
                <w:sz w:val="22"/>
                <w:szCs w:val="22"/>
              </w:rPr>
              <w:instrText xml:space="preserve"> ADDIN EN.CITE &lt;EndNote&gt;&lt;Cite&gt;&lt;Author&gt;National Institute for Health and Care Excellence&lt;/Author&gt;&lt;Year&gt;2013&lt;/Year&gt;&lt;RecNum&gt;3306&lt;/RecNum&gt;&lt;DisplayText&gt;&lt;style face="superscript"&gt;9&lt;/style&gt;&lt;/DisplayText&gt;&lt;record&gt;&lt;rec-number&gt;3306&lt;/rec-number&gt;&lt;foreign-keys&gt;&lt;key app="EN" db-id="5srzarxr5dr9r5es2r7xst9lr9t2rewrpffr" timestamp="1516018988"&gt;3306&lt;/key&gt;&lt;/foreign-keys&gt;&lt;ref-type name="Report"&gt;27&lt;/ref-type&gt;&lt;contributors&gt;&lt;authors&gt;&lt;author&gt;National Institute for Health and Care Excellence,&lt;/author&gt;&lt;/authors&gt;&lt;/contributors&gt;&lt;titles&gt;&lt;title&gt;Acute kidney injury: prevention, detection and management [CG169]&lt;/title&gt;&lt;/titles&gt;&lt;dates&gt;&lt;year&gt;2013&lt;/year&gt;&lt;/dates&gt;&lt;urls&gt;&lt;/urls&gt;&lt;/record&gt;&lt;/Cite&gt;&lt;/EndNote&gt;</w:instrText>
            </w:r>
            <w:r w:rsidRPr="0082484A">
              <w:rPr>
                <w:sz w:val="22"/>
                <w:szCs w:val="22"/>
              </w:rPr>
              <w:fldChar w:fldCharType="separate"/>
            </w:r>
            <w:r w:rsidR="00952E85" w:rsidRPr="0082484A">
              <w:rPr>
                <w:noProof/>
                <w:sz w:val="22"/>
                <w:szCs w:val="22"/>
                <w:vertAlign w:val="superscript"/>
              </w:rPr>
              <w:t>9</w:t>
            </w:r>
            <w:r w:rsidRPr="0082484A">
              <w:rPr>
                <w:sz w:val="22"/>
                <w:szCs w:val="22"/>
              </w:rPr>
              <w:fldChar w:fldCharType="end"/>
            </w:r>
          </w:p>
        </w:tc>
      </w:tr>
      <w:tr w:rsidR="009A3C2D" w:rsidRPr="0082484A" w14:paraId="3C6D14B7" w14:textId="77777777" w:rsidTr="00272145">
        <w:tc>
          <w:tcPr>
            <w:tcW w:w="1848" w:type="dxa"/>
          </w:tcPr>
          <w:p w14:paraId="3778659B" w14:textId="77777777" w:rsidR="009A3C2D" w:rsidRPr="0082484A" w:rsidRDefault="009A3C2D" w:rsidP="00272145">
            <w:pPr>
              <w:rPr>
                <w:sz w:val="22"/>
                <w:szCs w:val="22"/>
              </w:rPr>
            </w:pPr>
            <w:r w:rsidRPr="0082484A">
              <w:rPr>
                <w:sz w:val="22"/>
                <w:szCs w:val="22"/>
              </w:rPr>
              <w:t>Stage 5 CKD</w:t>
            </w:r>
          </w:p>
        </w:tc>
        <w:tc>
          <w:tcPr>
            <w:tcW w:w="1848" w:type="dxa"/>
          </w:tcPr>
          <w:p w14:paraId="20DEBF01" w14:textId="77777777" w:rsidR="009A3C2D" w:rsidRPr="0082484A" w:rsidRDefault="009A3C2D" w:rsidP="00272145">
            <w:pPr>
              <w:rPr>
                <w:sz w:val="22"/>
                <w:szCs w:val="22"/>
              </w:rPr>
            </w:pPr>
            <w:r w:rsidRPr="0082484A">
              <w:rPr>
                <w:sz w:val="22"/>
                <w:szCs w:val="22"/>
              </w:rPr>
              <w:t>0.622</w:t>
            </w:r>
          </w:p>
        </w:tc>
        <w:tc>
          <w:tcPr>
            <w:tcW w:w="1848" w:type="dxa"/>
          </w:tcPr>
          <w:p w14:paraId="1C525F15" w14:textId="77777777" w:rsidR="009A3C2D" w:rsidRPr="0082484A" w:rsidRDefault="009A3C2D" w:rsidP="00272145">
            <w:pPr>
              <w:rPr>
                <w:sz w:val="22"/>
                <w:szCs w:val="22"/>
              </w:rPr>
            </w:pPr>
            <w:r w:rsidRPr="0082484A">
              <w:rPr>
                <w:sz w:val="22"/>
                <w:szCs w:val="22"/>
              </w:rPr>
              <w:t>0.021</w:t>
            </w:r>
          </w:p>
        </w:tc>
        <w:tc>
          <w:tcPr>
            <w:tcW w:w="3636" w:type="dxa"/>
          </w:tcPr>
          <w:p w14:paraId="1F167AAD" w14:textId="77777777" w:rsidR="009A3C2D" w:rsidRPr="0082484A" w:rsidRDefault="009A3C2D" w:rsidP="00272145">
            <w:pPr>
              <w:rPr>
                <w:sz w:val="22"/>
                <w:szCs w:val="22"/>
              </w:rPr>
            </w:pPr>
          </w:p>
        </w:tc>
      </w:tr>
      <w:tr w:rsidR="009A3C2D" w:rsidRPr="0082484A" w14:paraId="66F135E6" w14:textId="77777777" w:rsidTr="00272145">
        <w:tc>
          <w:tcPr>
            <w:tcW w:w="1848" w:type="dxa"/>
          </w:tcPr>
          <w:p w14:paraId="3FC09077" w14:textId="77777777" w:rsidR="009A3C2D" w:rsidRPr="0082484A" w:rsidRDefault="009A3C2D" w:rsidP="00272145">
            <w:pPr>
              <w:rPr>
                <w:sz w:val="22"/>
                <w:szCs w:val="22"/>
              </w:rPr>
            </w:pPr>
            <w:r w:rsidRPr="0082484A">
              <w:rPr>
                <w:sz w:val="22"/>
                <w:szCs w:val="22"/>
              </w:rPr>
              <w:t>AKI</w:t>
            </w:r>
          </w:p>
        </w:tc>
        <w:tc>
          <w:tcPr>
            <w:tcW w:w="1848" w:type="dxa"/>
          </w:tcPr>
          <w:p w14:paraId="5972F2DB" w14:textId="77777777" w:rsidR="009A3C2D" w:rsidRPr="0082484A" w:rsidRDefault="009A3C2D" w:rsidP="00272145">
            <w:pPr>
              <w:rPr>
                <w:sz w:val="22"/>
                <w:szCs w:val="22"/>
              </w:rPr>
            </w:pPr>
            <w:r w:rsidRPr="0082484A">
              <w:rPr>
                <w:sz w:val="22"/>
                <w:szCs w:val="22"/>
              </w:rPr>
              <w:t>0.525</w:t>
            </w:r>
          </w:p>
        </w:tc>
        <w:tc>
          <w:tcPr>
            <w:tcW w:w="1848" w:type="dxa"/>
          </w:tcPr>
          <w:p w14:paraId="29DB9C4B" w14:textId="77777777" w:rsidR="009A3C2D" w:rsidRPr="0082484A" w:rsidRDefault="009A3C2D" w:rsidP="00272145">
            <w:pPr>
              <w:rPr>
                <w:sz w:val="22"/>
                <w:szCs w:val="22"/>
              </w:rPr>
            </w:pPr>
            <w:r w:rsidRPr="0082484A">
              <w:rPr>
                <w:sz w:val="22"/>
                <w:szCs w:val="22"/>
              </w:rPr>
              <w:t>0.033</w:t>
            </w:r>
          </w:p>
        </w:tc>
        <w:tc>
          <w:tcPr>
            <w:tcW w:w="3636" w:type="dxa"/>
          </w:tcPr>
          <w:p w14:paraId="6907AFD4" w14:textId="77777777" w:rsidR="009A3C2D" w:rsidRPr="0082484A" w:rsidRDefault="009A3C2D" w:rsidP="00272145">
            <w:pPr>
              <w:rPr>
                <w:sz w:val="22"/>
                <w:szCs w:val="22"/>
              </w:rPr>
            </w:pPr>
          </w:p>
        </w:tc>
      </w:tr>
    </w:tbl>
    <w:p w14:paraId="4EADA93F" w14:textId="77777777" w:rsidR="009A3C2D" w:rsidRPr="0082484A" w:rsidRDefault="009A3C2D" w:rsidP="009A3C2D">
      <w:pPr>
        <w:rPr>
          <w:sz w:val="22"/>
          <w:szCs w:val="22"/>
          <w:lang w:val="en-US"/>
        </w:rPr>
      </w:pPr>
    </w:p>
    <w:p w14:paraId="7742B6EA" w14:textId="77777777" w:rsidR="009A3C2D" w:rsidRPr="0082484A" w:rsidRDefault="009A3C2D" w:rsidP="009A3C2D">
      <w:pPr>
        <w:rPr>
          <w:sz w:val="22"/>
          <w:szCs w:val="22"/>
          <w:lang w:val="en-US"/>
        </w:rPr>
      </w:pPr>
    </w:p>
    <w:p w14:paraId="42B9E7E1" w14:textId="77777777" w:rsidR="001D1443" w:rsidRPr="0082484A" w:rsidRDefault="001D1443">
      <w:pPr>
        <w:spacing w:before="0" w:after="200"/>
        <w:rPr>
          <w:bCs/>
          <w:sz w:val="22"/>
          <w:szCs w:val="22"/>
        </w:rPr>
      </w:pPr>
      <w:bookmarkStart w:id="348" w:name="_Ref501110570"/>
      <w:bookmarkStart w:id="349" w:name="_Toc491341665"/>
      <w:bookmarkStart w:id="350" w:name="_Toc8728177"/>
      <w:r w:rsidRPr="0082484A">
        <w:rPr>
          <w:b/>
          <w:sz w:val="22"/>
          <w:szCs w:val="22"/>
        </w:rPr>
        <w:br w:type="page"/>
      </w:r>
    </w:p>
    <w:p w14:paraId="557037D3" w14:textId="432BEBBB" w:rsidR="009A3C2D" w:rsidRPr="0082484A" w:rsidRDefault="009A3C2D" w:rsidP="009A3C2D">
      <w:pPr>
        <w:pStyle w:val="Caption"/>
        <w:rPr>
          <w:b w:val="0"/>
          <w:sz w:val="22"/>
          <w:szCs w:val="22"/>
        </w:rPr>
      </w:pPr>
      <w:bookmarkStart w:id="351" w:name="_Toc19526824"/>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95</w:t>
      </w:r>
      <w:r w:rsidRPr="0082484A">
        <w:rPr>
          <w:b w:val="0"/>
          <w:noProof/>
          <w:sz w:val="22"/>
          <w:szCs w:val="22"/>
        </w:rPr>
        <w:fldChar w:fldCharType="end"/>
      </w:r>
      <w:bookmarkEnd w:id="348"/>
      <w:r w:rsidRPr="0082484A">
        <w:rPr>
          <w:b w:val="0"/>
          <w:sz w:val="22"/>
          <w:szCs w:val="22"/>
        </w:rPr>
        <w:t>: Risky prescribing model – proportions of patients eligible for each sub-indicator</w:t>
      </w:r>
      <w:bookmarkEnd w:id="349"/>
      <w:bookmarkEnd w:id="350"/>
      <w:bookmarkEnd w:id="351"/>
    </w:p>
    <w:tbl>
      <w:tblPr>
        <w:tblStyle w:val="TableGrid"/>
        <w:tblW w:w="0" w:type="auto"/>
        <w:jc w:val="center"/>
        <w:tblLook w:val="04A0" w:firstRow="1" w:lastRow="0" w:firstColumn="1" w:lastColumn="0" w:noHBand="0" w:noVBand="1"/>
      </w:tblPr>
      <w:tblGrid>
        <w:gridCol w:w="1980"/>
        <w:gridCol w:w="1472"/>
        <w:gridCol w:w="1389"/>
      </w:tblGrid>
      <w:tr w:rsidR="009A3C2D" w:rsidRPr="0082484A" w14:paraId="38C90EFA" w14:textId="77777777" w:rsidTr="00272145">
        <w:trPr>
          <w:trHeight w:val="209"/>
          <w:jc w:val="center"/>
        </w:trPr>
        <w:tc>
          <w:tcPr>
            <w:tcW w:w="1980" w:type="dxa"/>
            <w:noWrap/>
            <w:hideMark/>
          </w:tcPr>
          <w:p w14:paraId="4D1A8D91" w14:textId="77777777" w:rsidR="009A3C2D" w:rsidRPr="0082484A" w:rsidRDefault="009A3C2D" w:rsidP="00272145">
            <w:pPr>
              <w:jc w:val="center"/>
              <w:rPr>
                <w:sz w:val="22"/>
                <w:szCs w:val="22"/>
              </w:rPr>
            </w:pPr>
          </w:p>
        </w:tc>
        <w:tc>
          <w:tcPr>
            <w:tcW w:w="1472" w:type="dxa"/>
            <w:noWrap/>
            <w:hideMark/>
          </w:tcPr>
          <w:p w14:paraId="0EB5CD71" w14:textId="77777777" w:rsidR="009A3C2D" w:rsidRPr="0082484A" w:rsidRDefault="009A3C2D" w:rsidP="00272145">
            <w:pPr>
              <w:jc w:val="center"/>
              <w:rPr>
                <w:sz w:val="22"/>
                <w:szCs w:val="22"/>
              </w:rPr>
            </w:pPr>
            <w:r w:rsidRPr="0082484A">
              <w:rPr>
                <w:sz w:val="22"/>
                <w:szCs w:val="22"/>
              </w:rPr>
              <w:t>Mean</w:t>
            </w:r>
          </w:p>
        </w:tc>
        <w:tc>
          <w:tcPr>
            <w:tcW w:w="1389" w:type="dxa"/>
            <w:noWrap/>
            <w:hideMark/>
          </w:tcPr>
          <w:p w14:paraId="6F9732C0" w14:textId="77777777" w:rsidR="009A3C2D" w:rsidRPr="0082484A" w:rsidRDefault="009A3C2D" w:rsidP="00272145">
            <w:pPr>
              <w:jc w:val="center"/>
              <w:rPr>
                <w:sz w:val="22"/>
                <w:szCs w:val="22"/>
              </w:rPr>
            </w:pPr>
            <w:r w:rsidRPr="0082484A">
              <w:rPr>
                <w:sz w:val="22"/>
                <w:szCs w:val="22"/>
              </w:rPr>
              <w:t>SD</w:t>
            </w:r>
          </w:p>
          <w:p w14:paraId="1682F3A0" w14:textId="77777777" w:rsidR="009A3C2D" w:rsidRPr="0082484A" w:rsidRDefault="009A3C2D" w:rsidP="00272145">
            <w:pPr>
              <w:jc w:val="center"/>
              <w:rPr>
                <w:sz w:val="22"/>
                <w:szCs w:val="22"/>
              </w:rPr>
            </w:pPr>
          </w:p>
        </w:tc>
      </w:tr>
      <w:tr w:rsidR="009A3C2D" w:rsidRPr="0082484A" w14:paraId="44361850" w14:textId="77777777" w:rsidTr="00272145">
        <w:trPr>
          <w:trHeight w:val="209"/>
          <w:jc w:val="center"/>
        </w:trPr>
        <w:tc>
          <w:tcPr>
            <w:tcW w:w="1980" w:type="dxa"/>
            <w:noWrap/>
            <w:hideMark/>
          </w:tcPr>
          <w:p w14:paraId="14505C19" w14:textId="77777777" w:rsidR="009A3C2D" w:rsidRPr="0082484A" w:rsidRDefault="009A3C2D" w:rsidP="00272145">
            <w:pPr>
              <w:rPr>
                <w:sz w:val="22"/>
                <w:szCs w:val="22"/>
              </w:rPr>
            </w:pPr>
            <w:r w:rsidRPr="0082484A">
              <w:rPr>
                <w:sz w:val="22"/>
                <w:szCs w:val="22"/>
              </w:rPr>
              <w:t>Indicator 1</w:t>
            </w:r>
          </w:p>
        </w:tc>
        <w:tc>
          <w:tcPr>
            <w:tcW w:w="1472" w:type="dxa"/>
            <w:noWrap/>
            <w:hideMark/>
          </w:tcPr>
          <w:p w14:paraId="69E9E54D" w14:textId="77777777" w:rsidR="009A3C2D" w:rsidRPr="0082484A" w:rsidRDefault="009A3C2D" w:rsidP="00272145">
            <w:pPr>
              <w:rPr>
                <w:sz w:val="22"/>
                <w:szCs w:val="22"/>
              </w:rPr>
            </w:pPr>
            <w:r w:rsidRPr="0082484A">
              <w:rPr>
                <w:sz w:val="22"/>
                <w:szCs w:val="22"/>
              </w:rPr>
              <w:t>0.0006</w:t>
            </w:r>
          </w:p>
        </w:tc>
        <w:tc>
          <w:tcPr>
            <w:tcW w:w="1389" w:type="dxa"/>
            <w:noWrap/>
            <w:hideMark/>
          </w:tcPr>
          <w:p w14:paraId="4D0E99FB" w14:textId="77777777" w:rsidR="009A3C2D" w:rsidRPr="0082484A" w:rsidRDefault="009A3C2D" w:rsidP="00272145">
            <w:pPr>
              <w:rPr>
                <w:sz w:val="22"/>
                <w:szCs w:val="22"/>
              </w:rPr>
            </w:pPr>
            <w:r w:rsidRPr="0082484A">
              <w:rPr>
                <w:sz w:val="22"/>
                <w:szCs w:val="22"/>
              </w:rPr>
              <w:t>0.0004</w:t>
            </w:r>
          </w:p>
        </w:tc>
      </w:tr>
      <w:tr w:rsidR="009A3C2D" w:rsidRPr="0082484A" w14:paraId="6214821C" w14:textId="77777777" w:rsidTr="00272145">
        <w:trPr>
          <w:trHeight w:val="209"/>
          <w:jc w:val="center"/>
        </w:trPr>
        <w:tc>
          <w:tcPr>
            <w:tcW w:w="1980" w:type="dxa"/>
            <w:noWrap/>
            <w:hideMark/>
          </w:tcPr>
          <w:p w14:paraId="6A4F7EA4" w14:textId="77777777" w:rsidR="009A3C2D" w:rsidRPr="0082484A" w:rsidRDefault="009A3C2D" w:rsidP="00272145">
            <w:pPr>
              <w:rPr>
                <w:sz w:val="22"/>
                <w:szCs w:val="22"/>
              </w:rPr>
            </w:pPr>
            <w:r w:rsidRPr="0082484A">
              <w:rPr>
                <w:sz w:val="22"/>
                <w:szCs w:val="22"/>
              </w:rPr>
              <w:t>Indicator 11</w:t>
            </w:r>
          </w:p>
        </w:tc>
        <w:tc>
          <w:tcPr>
            <w:tcW w:w="1472" w:type="dxa"/>
            <w:noWrap/>
            <w:hideMark/>
          </w:tcPr>
          <w:p w14:paraId="06BA41A8" w14:textId="77777777" w:rsidR="009A3C2D" w:rsidRPr="0082484A" w:rsidRDefault="009A3C2D" w:rsidP="00272145">
            <w:pPr>
              <w:rPr>
                <w:sz w:val="22"/>
                <w:szCs w:val="22"/>
              </w:rPr>
            </w:pPr>
            <w:r w:rsidRPr="0082484A">
              <w:rPr>
                <w:sz w:val="22"/>
                <w:szCs w:val="22"/>
              </w:rPr>
              <w:t>0.0299</w:t>
            </w:r>
          </w:p>
        </w:tc>
        <w:tc>
          <w:tcPr>
            <w:tcW w:w="1389" w:type="dxa"/>
            <w:noWrap/>
            <w:hideMark/>
          </w:tcPr>
          <w:p w14:paraId="327588F9" w14:textId="77777777" w:rsidR="009A3C2D" w:rsidRPr="0082484A" w:rsidRDefault="009A3C2D" w:rsidP="00272145">
            <w:pPr>
              <w:rPr>
                <w:sz w:val="22"/>
                <w:szCs w:val="22"/>
              </w:rPr>
            </w:pPr>
            <w:r w:rsidRPr="0082484A">
              <w:rPr>
                <w:sz w:val="22"/>
                <w:szCs w:val="22"/>
              </w:rPr>
              <w:t>0.0129</w:t>
            </w:r>
          </w:p>
        </w:tc>
      </w:tr>
      <w:tr w:rsidR="009A3C2D" w:rsidRPr="0082484A" w14:paraId="71C69B0A" w14:textId="77777777" w:rsidTr="00272145">
        <w:trPr>
          <w:trHeight w:val="209"/>
          <w:jc w:val="center"/>
        </w:trPr>
        <w:tc>
          <w:tcPr>
            <w:tcW w:w="1980" w:type="dxa"/>
            <w:noWrap/>
            <w:hideMark/>
          </w:tcPr>
          <w:p w14:paraId="47D05B37" w14:textId="77777777" w:rsidR="009A3C2D" w:rsidRPr="0082484A" w:rsidRDefault="009A3C2D" w:rsidP="00272145">
            <w:pPr>
              <w:rPr>
                <w:sz w:val="22"/>
                <w:szCs w:val="22"/>
              </w:rPr>
            </w:pPr>
            <w:r w:rsidRPr="0082484A">
              <w:rPr>
                <w:sz w:val="22"/>
                <w:szCs w:val="22"/>
              </w:rPr>
              <w:t>Indicator 14</w:t>
            </w:r>
          </w:p>
        </w:tc>
        <w:tc>
          <w:tcPr>
            <w:tcW w:w="1472" w:type="dxa"/>
            <w:noWrap/>
            <w:hideMark/>
          </w:tcPr>
          <w:p w14:paraId="1F482E2A" w14:textId="77777777" w:rsidR="009A3C2D" w:rsidRPr="0082484A" w:rsidRDefault="009A3C2D" w:rsidP="00272145">
            <w:pPr>
              <w:rPr>
                <w:sz w:val="22"/>
                <w:szCs w:val="22"/>
              </w:rPr>
            </w:pPr>
            <w:r w:rsidRPr="0082484A">
              <w:rPr>
                <w:sz w:val="22"/>
                <w:szCs w:val="22"/>
              </w:rPr>
              <w:t>0.0071</w:t>
            </w:r>
          </w:p>
        </w:tc>
        <w:tc>
          <w:tcPr>
            <w:tcW w:w="1389" w:type="dxa"/>
            <w:noWrap/>
            <w:hideMark/>
          </w:tcPr>
          <w:p w14:paraId="2F1FCB4A" w14:textId="77777777" w:rsidR="009A3C2D" w:rsidRPr="0082484A" w:rsidRDefault="009A3C2D" w:rsidP="00272145">
            <w:pPr>
              <w:rPr>
                <w:sz w:val="22"/>
                <w:szCs w:val="22"/>
              </w:rPr>
            </w:pPr>
            <w:r w:rsidRPr="0082484A">
              <w:rPr>
                <w:sz w:val="22"/>
                <w:szCs w:val="22"/>
              </w:rPr>
              <w:t>0.0024</w:t>
            </w:r>
          </w:p>
        </w:tc>
      </w:tr>
      <w:tr w:rsidR="009A3C2D" w:rsidRPr="0082484A" w14:paraId="5704B58B" w14:textId="77777777" w:rsidTr="00272145">
        <w:trPr>
          <w:trHeight w:val="209"/>
          <w:jc w:val="center"/>
        </w:trPr>
        <w:tc>
          <w:tcPr>
            <w:tcW w:w="1980" w:type="dxa"/>
            <w:noWrap/>
            <w:hideMark/>
          </w:tcPr>
          <w:p w14:paraId="6B36C192" w14:textId="77777777" w:rsidR="009A3C2D" w:rsidRPr="0082484A" w:rsidRDefault="009A3C2D" w:rsidP="00272145">
            <w:pPr>
              <w:rPr>
                <w:sz w:val="22"/>
                <w:szCs w:val="22"/>
              </w:rPr>
            </w:pPr>
            <w:r w:rsidRPr="0082484A">
              <w:rPr>
                <w:sz w:val="22"/>
                <w:szCs w:val="22"/>
              </w:rPr>
              <w:t>Indicator 2</w:t>
            </w:r>
          </w:p>
        </w:tc>
        <w:tc>
          <w:tcPr>
            <w:tcW w:w="1472" w:type="dxa"/>
            <w:noWrap/>
            <w:hideMark/>
          </w:tcPr>
          <w:p w14:paraId="2EACF075" w14:textId="77777777" w:rsidR="009A3C2D" w:rsidRPr="0082484A" w:rsidRDefault="009A3C2D" w:rsidP="00272145">
            <w:pPr>
              <w:rPr>
                <w:sz w:val="22"/>
                <w:szCs w:val="22"/>
              </w:rPr>
            </w:pPr>
            <w:r w:rsidRPr="0082484A">
              <w:rPr>
                <w:sz w:val="22"/>
                <w:szCs w:val="22"/>
              </w:rPr>
              <w:t>0.0024</w:t>
            </w:r>
          </w:p>
        </w:tc>
        <w:tc>
          <w:tcPr>
            <w:tcW w:w="1389" w:type="dxa"/>
            <w:noWrap/>
            <w:hideMark/>
          </w:tcPr>
          <w:p w14:paraId="3B917A11" w14:textId="77777777" w:rsidR="009A3C2D" w:rsidRPr="0082484A" w:rsidRDefault="009A3C2D" w:rsidP="00272145">
            <w:pPr>
              <w:rPr>
                <w:sz w:val="22"/>
                <w:szCs w:val="22"/>
              </w:rPr>
            </w:pPr>
            <w:r w:rsidRPr="0082484A">
              <w:rPr>
                <w:sz w:val="22"/>
                <w:szCs w:val="22"/>
              </w:rPr>
              <w:t>0.0019</w:t>
            </w:r>
          </w:p>
        </w:tc>
      </w:tr>
      <w:tr w:rsidR="009A3C2D" w:rsidRPr="0082484A" w14:paraId="18FC62CA" w14:textId="77777777" w:rsidTr="00272145">
        <w:trPr>
          <w:trHeight w:val="209"/>
          <w:jc w:val="center"/>
        </w:trPr>
        <w:tc>
          <w:tcPr>
            <w:tcW w:w="1980" w:type="dxa"/>
            <w:noWrap/>
            <w:hideMark/>
          </w:tcPr>
          <w:p w14:paraId="6AB56764" w14:textId="77777777" w:rsidR="009A3C2D" w:rsidRPr="0082484A" w:rsidRDefault="009A3C2D" w:rsidP="00272145">
            <w:pPr>
              <w:rPr>
                <w:sz w:val="22"/>
                <w:szCs w:val="22"/>
              </w:rPr>
            </w:pPr>
            <w:r w:rsidRPr="0082484A">
              <w:rPr>
                <w:sz w:val="22"/>
                <w:szCs w:val="22"/>
              </w:rPr>
              <w:t>Indicator 3</w:t>
            </w:r>
          </w:p>
        </w:tc>
        <w:tc>
          <w:tcPr>
            <w:tcW w:w="1472" w:type="dxa"/>
            <w:noWrap/>
            <w:hideMark/>
          </w:tcPr>
          <w:p w14:paraId="4C4C559F" w14:textId="77777777" w:rsidR="009A3C2D" w:rsidRPr="0082484A" w:rsidRDefault="009A3C2D" w:rsidP="00272145">
            <w:pPr>
              <w:rPr>
                <w:sz w:val="22"/>
                <w:szCs w:val="22"/>
              </w:rPr>
            </w:pPr>
            <w:r w:rsidRPr="0082484A">
              <w:rPr>
                <w:sz w:val="22"/>
                <w:szCs w:val="22"/>
              </w:rPr>
              <w:t>0.0014</w:t>
            </w:r>
          </w:p>
        </w:tc>
        <w:tc>
          <w:tcPr>
            <w:tcW w:w="1389" w:type="dxa"/>
            <w:noWrap/>
            <w:hideMark/>
          </w:tcPr>
          <w:p w14:paraId="277D9CFD" w14:textId="77777777" w:rsidR="009A3C2D" w:rsidRPr="0082484A" w:rsidRDefault="009A3C2D" w:rsidP="00272145">
            <w:pPr>
              <w:rPr>
                <w:sz w:val="22"/>
                <w:szCs w:val="22"/>
              </w:rPr>
            </w:pPr>
            <w:r w:rsidRPr="0082484A">
              <w:rPr>
                <w:sz w:val="22"/>
                <w:szCs w:val="22"/>
              </w:rPr>
              <w:t>0.0013</w:t>
            </w:r>
          </w:p>
        </w:tc>
      </w:tr>
      <w:tr w:rsidR="009A3C2D" w:rsidRPr="0082484A" w14:paraId="74B03FAF" w14:textId="77777777" w:rsidTr="00272145">
        <w:trPr>
          <w:trHeight w:val="209"/>
          <w:jc w:val="center"/>
        </w:trPr>
        <w:tc>
          <w:tcPr>
            <w:tcW w:w="1980" w:type="dxa"/>
            <w:noWrap/>
            <w:hideMark/>
          </w:tcPr>
          <w:p w14:paraId="2566A0CC" w14:textId="77777777" w:rsidR="009A3C2D" w:rsidRPr="0082484A" w:rsidRDefault="009A3C2D" w:rsidP="00272145">
            <w:pPr>
              <w:rPr>
                <w:sz w:val="22"/>
                <w:szCs w:val="22"/>
              </w:rPr>
            </w:pPr>
            <w:r w:rsidRPr="0082484A">
              <w:rPr>
                <w:sz w:val="22"/>
                <w:szCs w:val="22"/>
              </w:rPr>
              <w:t>Indicator 4</w:t>
            </w:r>
          </w:p>
        </w:tc>
        <w:tc>
          <w:tcPr>
            <w:tcW w:w="1472" w:type="dxa"/>
            <w:noWrap/>
            <w:hideMark/>
          </w:tcPr>
          <w:p w14:paraId="6D337B89" w14:textId="77777777" w:rsidR="009A3C2D" w:rsidRPr="0082484A" w:rsidRDefault="009A3C2D" w:rsidP="00272145">
            <w:pPr>
              <w:rPr>
                <w:sz w:val="22"/>
                <w:szCs w:val="22"/>
              </w:rPr>
            </w:pPr>
            <w:r w:rsidRPr="0082484A">
              <w:rPr>
                <w:sz w:val="22"/>
                <w:szCs w:val="22"/>
              </w:rPr>
              <w:t>0.0013</w:t>
            </w:r>
          </w:p>
        </w:tc>
        <w:tc>
          <w:tcPr>
            <w:tcW w:w="1389" w:type="dxa"/>
            <w:noWrap/>
            <w:hideMark/>
          </w:tcPr>
          <w:p w14:paraId="6B173745" w14:textId="77777777" w:rsidR="009A3C2D" w:rsidRPr="0082484A" w:rsidRDefault="009A3C2D" w:rsidP="00272145">
            <w:pPr>
              <w:rPr>
                <w:sz w:val="22"/>
                <w:szCs w:val="22"/>
              </w:rPr>
            </w:pPr>
            <w:r w:rsidRPr="0082484A">
              <w:rPr>
                <w:sz w:val="22"/>
                <w:szCs w:val="22"/>
              </w:rPr>
              <w:t>0.0007</w:t>
            </w:r>
          </w:p>
        </w:tc>
      </w:tr>
      <w:tr w:rsidR="009A3C2D" w:rsidRPr="0082484A" w14:paraId="3E43529D" w14:textId="77777777" w:rsidTr="00272145">
        <w:trPr>
          <w:trHeight w:val="209"/>
          <w:jc w:val="center"/>
        </w:trPr>
        <w:tc>
          <w:tcPr>
            <w:tcW w:w="1980" w:type="dxa"/>
            <w:noWrap/>
            <w:hideMark/>
          </w:tcPr>
          <w:p w14:paraId="288812E3" w14:textId="77777777" w:rsidR="009A3C2D" w:rsidRPr="0082484A" w:rsidRDefault="009A3C2D" w:rsidP="00272145">
            <w:pPr>
              <w:rPr>
                <w:sz w:val="22"/>
                <w:szCs w:val="22"/>
              </w:rPr>
            </w:pPr>
            <w:r w:rsidRPr="0082484A">
              <w:rPr>
                <w:sz w:val="22"/>
                <w:szCs w:val="22"/>
              </w:rPr>
              <w:t>Indicator 5</w:t>
            </w:r>
          </w:p>
        </w:tc>
        <w:tc>
          <w:tcPr>
            <w:tcW w:w="1472" w:type="dxa"/>
            <w:noWrap/>
            <w:hideMark/>
          </w:tcPr>
          <w:p w14:paraId="0749611D" w14:textId="77777777" w:rsidR="009A3C2D" w:rsidRPr="0082484A" w:rsidRDefault="009A3C2D" w:rsidP="00272145">
            <w:pPr>
              <w:rPr>
                <w:sz w:val="22"/>
                <w:szCs w:val="22"/>
              </w:rPr>
            </w:pPr>
            <w:r w:rsidRPr="0082484A">
              <w:rPr>
                <w:sz w:val="22"/>
                <w:szCs w:val="22"/>
              </w:rPr>
              <w:t>0.0001</w:t>
            </w:r>
          </w:p>
        </w:tc>
        <w:tc>
          <w:tcPr>
            <w:tcW w:w="1389" w:type="dxa"/>
            <w:noWrap/>
            <w:hideMark/>
          </w:tcPr>
          <w:p w14:paraId="251F566D" w14:textId="77777777" w:rsidR="009A3C2D" w:rsidRPr="0082484A" w:rsidRDefault="009A3C2D" w:rsidP="00272145">
            <w:pPr>
              <w:rPr>
                <w:sz w:val="22"/>
                <w:szCs w:val="22"/>
              </w:rPr>
            </w:pPr>
            <w:r w:rsidRPr="0082484A">
              <w:rPr>
                <w:sz w:val="22"/>
                <w:szCs w:val="22"/>
              </w:rPr>
              <w:t>0.0002</w:t>
            </w:r>
          </w:p>
        </w:tc>
      </w:tr>
      <w:tr w:rsidR="009A3C2D" w:rsidRPr="0082484A" w14:paraId="377B8909" w14:textId="77777777" w:rsidTr="00272145">
        <w:trPr>
          <w:trHeight w:val="209"/>
          <w:jc w:val="center"/>
        </w:trPr>
        <w:tc>
          <w:tcPr>
            <w:tcW w:w="1980" w:type="dxa"/>
            <w:noWrap/>
            <w:hideMark/>
          </w:tcPr>
          <w:p w14:paraId="37C521A9" w14:textId="77777777" w:rsidR="009A3C2D" w:rsidRPr="0082484A" w:rsidRDefault="009A3C2D" w:rsidP="00272145">
            <w:pPr>
              <w:rPr>
                <w:sz w:val="22"/>
                <w:szCs w:val="22"/>
              </w:rPr>
            </w:pPr>
            <w:r w:rsidRPr="0082484A">
              <w:rPr>
                <w:sz w:val="22"/>
                <w:szCs w:val="22"/>
              </w:rPr>
              <w:t>Indicator 7</w:t>
            </w:r>
          </w:p>
        </w:tc>
        <w:tc>
          <w:tcPr>
            <w:tcW w:w="1472" w:type="dxa"/>
            <w:noWrap/>
            <w:hideMark/>
          </w:tcPr>
          <w:p w14:paraId="20A914F5" w14:textId="77777777" w:rsidR="009A3C2D" w:rsidRPr="0082484A" w:rsidRDefault="009A3C2D" w:rsidP="00272145">
            <w:pPr>
              <w:rPr>
                <w:sz w:val="22"/>
                <w:szCs w:val="22"/>
              </w:rPr>
            </w:pPr>
            <w:r w:rsidRPr="0082484A">
              <w:rPr>
                <w:sz w:val="22"/>
                <w:szCs w:val="22"/>
              </w:rPr>
              <w:t>0.0006</w:t>
            </w:r>
          </w:p>
        </w:tc>
        <w:tc>
          <w:tcPr>
            <w:tcW w:w="1389" w:type="dxa"/>
            <w:noWrap/>
            <w:hideMark/>
          </w:tcPr>
          <w:p w14:paraId="1195B633" w14:textId="77777777" w:rsidR="009A3C2D" w:rsidRPr="0082484A" w:rsidRDefault="009A3C2D" w:rsidP="00272145">
            <w:pPr>
              <w:rPr>
                <w:sz w:val="22"/>
                <w:szCs w:val="22"/>
              </w:rPr>
            </w:pPr>
            <w:r w:rsidRPr="0082484A">
              <w:rPr>
                <w:sz w:val="22"/>
                <w:szCs w:val="22"/>
              </w:rPr>
              <w:t>0.0004</w:t>
            </w:r>
          </w:p>
        </w:tc>
      </w:tr>
    </w:tbl>
    <w:p w14:paraId="1944F530" w14:textId="77777777" w:rsidR="009A3C2D" w:rsidRPr="0082484A" w:rsidRDefault="009A3C2D" w:rsidP="009A3C2D">
      <w:pPr>
        <w:rPr>
          <w:sz w:val="22"/>
          <w:szCs w:val="22"/>
        </w:rPr>
      </w:pPr>
      <w:bookmarkStart w:id="352" w:name="_Ref491848484"/>
    </w:p>
    <w:bookmarkEnd w:id="352"/>
    <w:p w14:paraId="057F00E4" w14:textId="77777777" w:rsidR="009A3C2D" w:rsidRPr="0082484A" w:rsidRDefault="009A3C2D" w:rsidP="009A3C2D">
      <w:pPr>
        <w:rPr>
          <w:sz w:val="22"/>
          <w:szCs w:val="22"/>
          <w:lang w:val="en-US"/>
        </w:rPr>
      </w:pPr>
    </w:p>
    <w:p w14:paraId="7E1AE22B" w14:textId="77777777" w:rsidR="001D1443" w:rsidRPr="0082484A" w:rsidRDefault="001D1443">
      <w:pPr>
        <w:spacing w:before="0" w:after="200"/>
        <w:rPr>
          <w:bCs/>
          <w:sz w:val="22"/>
          <w:szCs w:val="22"/>
        </w:rPr>
      </w:pPr>
      <w:bookmarkStart w:id="353" w:name="_Ref501111118"/>
      <w:bookmarkStart w:id="354" w:name="_Toc8728178"/>
      <w:r w:rsidRPr="0082484A">
        <w:rPr>
          <w:b/>
          <w:sz w:val="22"/>
          <w:szCs w:val="22"/>
        </w:rPr>
        <w:br w:type="page"/>
      </w:r>
    </w:p>
    <w:p w14:paraId="7451E51F" w14:textId="06FF35B6" w:rsidR="009A3C2D" w:rsidRPr="0082484A" w:rsidRDefault="009A3C2D" w:rsidP="009A3C2D">
      <w:pPr>
        <w:pStyle w:val="Caption"/>
        <w:rPr>
          <w:b w:val="0"/>
          <w:sz w:val="22"/>
          <w:szCs w:val="22"/>
          <w:lang w:val="en-US"/>
        </w:rPr>
      </w:pPr>
      <w:bookmarkStart w:id="355" w:name="_Toc19526825"/>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96</w:t>
      </w:r>
      <w:r w:rsidRPr="0082484A">
        <w:rPr>
          <w:b w:val="0"/>
          <w:noProof/>
          <w:sz w:val="22"/>
          <w:szCs w:val="22"/>
        </w:rPr>
        <w:fldChar w:fldCharType="end"/>
      </w:r>
      <w:bookmarkEnd w:id="353"/>
      <w:r w:rsidRPr="0082484A">
        <w:rPr>
          <w:b w:val="0"/>
          <w:noProof/>
          <w:sz w:val="22"/>
          <w:szCs w:val="22"/>
        </w:rPr>
        <w:t>:</w:t>
      </w:r>
      <w:r w:rsidRPr="0082484A">
        <w:rPr>
          <w:b w:val="0"/>
          <w:sz w:val="22"/>
          <w:szCs w:val="22"/>
        </w:rPr>
        <w:t xml:space="preserve"> </w:t>
      </w:r>
      <w:r w:rsidRPr="0082484A">
        <w:rPr>
          <w:b w:val="0"/>
          <w:sz w:val="22"/>
          <w:szCs w:val="22"/>
          <w:lang w:val="en-US"/>
        </w:rPr>
        <w:t>Blood pressure control model - effectiveness parameters</w:t>
      </w:r>
      <w:bookmarkEnd w:id="354"/>
      <w:bookmarkEnd w:id="355"/>
    </w:p>
    <w:tbl>
      <w:tblPr>
        <w:tblStyle w:val="TableGrid"/>
        <w:tblW w:w="0" w:type="auto"/>
        <w:tblLook w:val="04A0" w:firstRow="1" w:lastRow="0" w:firstColumn="1" w:lastColumn="0" w:noHBand="0" w:noVBand="1"/>
      </w:tblPr>
      <w:tblGrid>
        <w:gridCol w:w="4442"/>
        <w:gridCol w:w="1366"/>
        <w:gridCol w:w="1141"/>
        <w:gridCol w:w="926"/>
        <w:gridCol w:w="1141"/>
      </w:tblGrid>
      <w:tr w:rsidR="009A3C2D" w:rsidRPr="0082484A" w14:paraId="1FE0E573" w14:textId="77777777" w:rsidTr="00272145">
        <w:tc>
          <w:tcPr>
            <w:tcW w:w="0" w:type="auto"/>
            <w:vMerge w:val="restart"/>
            <w:vAlign w:val="center"/>
          </w:tcPr>
          <w:p w14:paraId="04CFBC3E" w14:textId="77777777" w:rsidR="009A3C2D" w:rsidRPr="0082484A" w:rsidRDefault="009A3C2D" w:rsidP="00272145">
            <w:pPr>
              <w:rPr>
                <w:sz w:val="22"/>
                <w:szCs w:val="22"/>
                <w:lang w:val="en-US"/>
              </w:rPr>
            </w:pPr>
            <w:r w:rsidRPr="0082484A">
              <w:rPr>
                <w:sz w:val="22"/>
                <w:szCs w:val="22"/>
                <w:lang w:val="en-US"/>
              </w:rPr>
              <w:t>Indicators</w:t>
            </w:r>
          </w:p>
        </w:tc>
        <w:tc>
          <w:tcPr>
            <w:tcW w:w="0" w:type="auto"/>
            <w:gridSpan w:val="4"/>
          </w:tcPr>
          <w:p w14:paraId="3075523E" w14:textId="77777777" w:rsidR="009A3C2D" w:rsidRPr="0082484A" w:rsidRDefault="009A3C2D" w:rsidP="00272145">
            <w:pPr>
              <w:jc w:val="center"/>
              <w:rPr>
                <w:sz w:val="22"/>
                <w:szCs w:val="22"/>
                <w:lang w:val="en-US"/>
              </w:rPr>
            </w:pPr>
            <w:r w:rsidRPr="0082484A">
              <w:rPr>
                <w:sz w:val="22"/>
                <w:szCs w:val="22"/>
                <w:lang w:val="en-US"/>
              </w:rPr>
              <w:t>Mean blood pressure</w:t>
            </w:r>
          </w:p>
        </w:tc>
      </w:tr>
      <w:tr w:rsidR="009A3C2D" w:rsidRPr="0082484A" w14:paraId="46218CF2" w14:textId="77777777" w:rsidTr="00272145">
        <w:tc>
          <w:tcPr>
            <w:tcW w:w="0" w:type="auto"/>
            <w:vMerge/>
          </w:tcPr>
          <w:p w14:paraId="11CF26DA" w14:textId="77777777" w:rsidR="009A3C2D" w:rsidRPr="0082484A" w:rsidRDefault="009A3C2D" w:rsidP="00272145">
            <w:pPr>
              <w:jc w:val="center"/>
              <w:rPr>
                <w:sz w:val="22"/>
                <w:szCs w:val="22"/>
                <w:lang w:val="en-US"/>
              </w:rPr>
            </w:pPr>
          </w:p>
        </w:tc>
        <w:tc>
          <w:tcPr>
            <w:tcW w:w="0" w:type="auto"/>
          </w:tcPr>
          <w:p w14:paraId="531223E7" w14:textId="77777777" w:rsidR="009A3C2D" w:rsidRPr="0082484A" w:rsidRDefault="009A3C2D" w:rsidP="00272145">
            <w:pPr>
              <w:jc w:val="center"/>
              <w:rPr>
                <w:sz w:val="22"/>
                <w:szCs w:val="22"/>
                <w:lang w:val="en-US"/>
              </w:rPr>
            </w:pPr>
            <w:r w:rsidRPr="0082484A">
              <w:rPr>
                <w:sz w:val="22"/>
                <w:szCs w:val="22"/>
                <w:lang w:val="en-US"/>
              </w:rPr>
              <w:t>Intervention</w:t>
            </w:r>
          </w:p>
        </w:tc>
        <w:tc>
          <w:tcPr>
            <w:tcW w:w="0" w:type="auto"/>
          </w:tcPr>
          <w:p w14:paraId="79F84349" w14:textId="77777777" w:rsidR="009A3C2D" w:rsidRPr="0082484A" w:rsidRDefault="009A3C2D" w:rsidP="00272145">
            <w:pPr>
              <w:jc w:val="center"/>
              <w:rPr>
                <w:sz w:val="22"/>
                <w:szCs w:val="22"/>
                <w:lang w:val="en-US"/>
              </w:rPr>
            </w:pPr>
            <w:r w:rsidRPr="0082484A">
              <w:rPr>
                <w:sz w:val="22"/>
                <w:szCs w:val="22"/>
                <w:lang w:val="en-US"/>
              </w:rPr>
              <w:t>95% CI</w:t>
            </w:r>
          </w:p>
        </w:tc>
        <w:tc>
          <w:tcPr>
            <w:tcW w:w="0" w:type="auto"/>
          </w:tcPr>
          <w:p w14:paraId="443A36B7" w14:textId="77777777" w:rsidR="009A3C2D" w:rsidRPr="0082484A" w:rsidRDefault="009A3C2D" w:rsidP="00272145">
            <w:pPr>
              <w:jc w:val="center"/>
              <w:rPr>
                <w:sz w:val="22"/>
                <w:szCs w:val="22"/>
                <w:lang w:val="en-US"/>
              </w:rPr>
            </w:pPr>
            <w:r w:rsidRPr="0082484A">
              <w:rPr>
                <w:sz w:val="22"/>
                <w:szCs w:val="22"/>
                <w:lang w:val="en-US"/>
              </w:rPr>
              <w:t>Control</w:t>
            </w:r>
          </w:p>
        </w:tc>
        <w:tc>
          <w:tcPr>
            <w:tcW w:w="0" w:type="auto"/>
          </w:tcPr>
          <w:p w14:paraId="0851D33D" w14:textId="77777777" w:rsidR="009A3C2D" w:rsidRPr="0082484A" w:rsidRDefault="009A3C2D" w:rsidP="00272145">
            <w:pPr>
              <w:jc w:val="center"/>
              <w:rPr>
                <w:sz w:val="22"/>
                <w:szCs w:val="22"/>
                <w:lang w:val="en-US"/>
              </w:rPr>
            </w:pPr>
            <w:r w:rsidRPr="0082484A">
              <w:rPr>
                <w:sz w:val="22"/>
                <w:szCs w:val="22"/>
                <w:lang w:val="en-US"/>
              </w:rPr>
              <w:t>95% CI</w:t>
            </w:r>
          </w:p>
        </w:tc>
      </w:tr>
      <w:tr w:rsidR="009A3C2D" w:rsidRPr="0082484A" w14:paraId="3F2733AA" w14:textId="77777777" w:rsidTr="00272145">
        <w:tc>
          <w:tcPr>
            <w:tcW w:w="0" w:type="auto"/>
          </w:tcPr>
          <w:p w14:paraId="10290C30" w14:textId="77777777" w:rsidR="009A3C2D" w:rsidRPr="0082484A" w:rsidRDefault="009A3C2D" w:rsidP="00272145">
            <w:pPr>
              <w:rPr>
                <w:sz w:val="22"/>
                <w:szCs w:val="22"/>
                <w:lang w:val="en-US"/>
              </w:rPr>
            </w:pPr>
            <w:r w:rsidRPr="0082484A">
              <w:rPr>
                <w:sz w:val="22"/>
                <w:szCs w:val="22"/>
                <w:lang w:val="en-US"/>
              </w:rPr>
              <w:t>Indicator 5_5: BP&lt; 140/90 in patients age under 80 years with hypertension</w:t>
            </w:r>
          </w:p>
        </w:tc>
        <w:tc>
          <w:tcPr>
            <w:tcW w:w="0" w:type="auto"/>
          </w:tcPr>
          <w:p w14:paraId="11C552F9" w14:textId="77777777" w:rsidR="009A3C2D" w:rsidRPr="0082484A" w:rsidRDefault="009A3C2D" w:rsidP="00272145">
            <w:pPr>
              <w:rPr>
                <w:sz w:val="22"/>
                <w:szCs w:val="22"/>
                <w:lang w:val="en-US"/>
              </w:rPr>
            </w:pPr>
            <w:r w:rsidRPr="0082484A">
              <w:rPr>
                <w:sz w:val="22"/>
                <w:szCs w:val="22"/>
                <w:lang w:val="en-US"/>
              </w:rPr>
              <w:t>135.56</w:t>
            </w:r>
          </w:p>
        </w:tc>
        <w:tc>
          <w:tcPr>
            <w:tcW w:w="0" w:type="auto"/>
          </w:tcPr>
          <w:p w14:paraId="5A0CE383" w14:textId="77777777" w:rsidR="009A3C2D" w:rsidRPr="0082484A" w:rsidRDefault="009A3C2D" w:rsidP="00272145">
            <w:pPr>
              <w:rPr>
                <w:sz w:val="22"/>
                <w:szCs w:val="22"/>
                <w:lang w:val="en-US"/>
              </w:rPr>
            </w:pPr>
            <w:r w:rsidRPr="0082484A">
              <w:rPr>
                <w:sz w:val="22"/>
                <w:szCs w:val="22"/>
                <w:lang w:val="en-US"/>
              </w:rPr>
              <w:t>135.36-135.75</w:t>
            </w:r>
          </w:p>
        </w:tc>
        <w:tc>
          <w:tcPr>
            <w:tcW w:w="0" w:type="auto"/>
          </w:tcPr>
          <w:p w14:paraId="3B80F640" w14:textId="77777777" w:rsidR="009A3C2D" w:rsidRPr="0082484A" w:rsidRDefault="009A3C2D" w:rsidP="00272145">
            <w:pPr>
              <w:rPr>
                <w:sz w:val="22"/>
                <w:szCs w:val="22"/>
                <w:lang w:val="en-US"/>
              </w:rPr>
            </w:pPr>
            <w:r w:rsidRPr="0082484A">
              <w:rPr>
                <w:sz w:val="22"/>
                <w:szCs w:val="22"/>
                <w:lang w:val="en-US"/>
              </w:rPr>
              <w:t>136.01</w:t>
            </w:r>
          </w:p>
        </w:tc>
        <w:tc>
          <w:tcPr>
            <w:tcW w:w="0" w:type="auto"/>
          </w:tcPr>
          <w:p w14:paraId="5D73D109" w14:textId="77777777" w:rsidR="009A3C2D" w:rsidRPr="0082484A" w:rsidRDefault="009A3C2D" w:rsidP="00272145">
            <w:pPr>
              <w:rPr>
                <w:sz w:val="22"/>
                <w:szCs w:val="22"/>
                <w:lang w:val="en-US"/>
              </w:rPr>
            </w:pPr>
            <w:r w:rsidRPr="0082484A">
              <w:rPr>
                <w:sz w:val="22"/>
                <w:szCs w:val="22"/>
                <w:lang w:val="en-US"/>
              </w:rPr>
              <w:t>135.80-136.22</w:t>
            </w:r>
          </w:p>
        </w:tc>
      </w:tr>
      <w:tr w:rsidR="009A3C2D" w:rsidRPr="0082484A" w14:paraId="1B6FD34C" w14:textId="77777777" w:rsidTr="00272145">
        <w:tc>
          <w:tcPr>
            <w:tcW w:w="0" w:type="auto"/>
          </w:tcPr>
          <w:p w14:paraId="5DF5E217" w14:textId="77777777" w:rsidR="009A3C2D" w:rsidRPr="0082484A" w:rsidRDefault="009A3C2D" w:rsidP="00272145">
            <w:pPr>
              <w:rPr>
                <w:sz w:val="22"/>
                <w:szCs w:val="22"/>
                <w:lang w:val="en-US"/>
              </w:rPr>
            </w:pPr>
            <w:r w:rsidRPr="0082484A">
              <w:rPr>
                <w:sz w:val="22"/>
                <w:szCs w:val="22"/>
                <w:lang w:val="en-US"/>
              </w:rPr>
              <w:t>Indicator 5_6: BP&lt;150/90 in patients aged 80 years and over with hypertension</w:t>
            </w:r>
          </w:p>
        </w:tc>
        <w:tc>
          <w:tcPr>
            <w:tcW w:w="0" w:type="auto"/>
          </w:tcPr>
          <w:p w14:paraId="3CEF6452" w14:textId="77777777" w:rsidR="009A3C2D" w:rsidRPr="0082484A" w:rsidRDefault="009A3C2D" w:rsidP="00272145">
            <w:pPr>
              <w:rPr>
                <w:sz w:val="22"/>
                <w:szCs w:val="22"/>
                <w:lang w:val="en-US"/>
              </w:rPr>
            </w:pPr>
            <w:r w:rsidRPr="0082484A">
              <w:rPr>
                <w:sz w:val="22"/>
                <w:szCs w:val="22"/>
                <w:lang w:val="en-US"/>
              </w:rPr>
              <w:t>135.25</w:t>
            </w:r>
          </w:p>
        </w:tc>
        <w:tc>
          <w:tcPr>
            <w:tcW w:w="0" w:type="auto"/>
          </w:tcPr>
          <w:p w14:paraId="46E88112" w14:textId="77777777" w:rsidR="009A3C2D" w:rsidRPr="0082484A" w:rsidRDefault="009A3C2D" w:rsidP="00272145">
            <w:pPr>
              <w:rPr>
                <w:sz w:val="22"/>
                <w:szCs w:val="22"/>
                <w:lang w:val="en-US"/>
              </w:rPr>
            </w:pPr>
            <w:r w:rsidRPr="0082484A">
              <w:rPr>
                <w:sz w:val="22"/>
                <w:szCs w:val="22"/>
                <w:lang w:val="en-US"/>
              </w:rPr>
              <w:t>134.80-135.69</w:t>
            </w:r>
          </w:p>
        </w:tc>
        <w:tc>
          <w:tcPr>
            <w:tcW w:w="0" w:type="auto"/>
          </w:tcPr>
          <w:p w14:paraId="60AC5CDD" w14:textId="77777777" w:rsidR="009A3C2D" w:rsidRPr="0082484A" w:rsidRDefault="009A3C2D" w:rsidP="00272145">
            <w:pPr>
              <w:rPr>
                <w:sz w:val="22"/>
                <w:szCs w:val="22"/>
                <w:lang w:val="en-US"/>
              </w:rPr>
            </w:pPr>
            <w:r w:rsidRPr="0082484A">
              <w:rPr>
                <w:sz w:val="22"/>
                <w:szCs w:val="22"/>
                <w:lang w:val="en-US"/>
              </w:rPr>
              <w:t>136.48</w:t>
            </w:r>
          </w:p>
        </w:tc>
        <w:tc>
          <w:tcPr>
            <w:tcW w:w="0" w:type="auto"/>
          </w:tcPr>
          <w:p w14:paraId="4F737582" w14:textId="77777777" w:rsidR="009A3C2D" w:rsidRPr="0082484A" w:rsidRDefault="009A3C2D" w:rsidP="00272145">
            <w:pPr>
              <w:rPr>
                <w:sz w:val="22"/>
                <w:szCs w:val="22"/>
                <w:lang w:val="en-US"/>
              </w:rPr>
            </w:pPr>
            <w:r w:rsidRPr="0082484A">
              <w:rPr>
                <w:sz w:val="22"/>
                <w:szCs w:val="22"/>
                <w:lang w:val="en-US"/>
              </w:rPr>
              <w:t>135.99-136.96</w:t>
            </w:r>
          </w:p>
        </w:tc>
      </w:tr>
      <w:tr w:rsidR="009A3C2D" w:rsidRPr="0082484A" w14:paraId="308205CE" w14:textId="77777777" w:rsidTr="00272145">
        <w:tc>
          <w:tcPr>
            <w:tcW w:w="0" w:type="auto"/>
          </w:tcPr>
          <w:p w14:paraId="2C09C0A2" w14:textId="77777777" w:rsidR="009A3C2D" w:rsidRPr="0082484A" w:rsidRDefault="009A3C2D" w:rsidP="00272145">
            <w:pPr>
              <w:rPr>
                <w:sz w:val="22"/>
                <w:szCs w:val="22"/>
                <w:lang w:val="en-US"/>
              </w:rPr>
            </w:pPr>
            <w:r w:rsidRPr="0082484A">
              <w:rPr>
                <w:sz w:val="22"/>
                <w:szCs w:val="22"/>
                <w:lang w:val="en-US"/>
              </w:rPr>
              <w:t>Indicator 9_10: BP&lt;140/80 in patients aged under 80 years with diabetes and &lt;130/80 if there are complications of diabetes</w:t>
            </w:r>
          </w:p>
        </w:tc>
        <w:tc>
          <w:tcPr>
            <w:tcW w:w="0" w:type="auto"/>
          </w:tcPr>
          <w:p w14:paraId="0D2FDF45" w14:textId="77777777" w:rsidR="009A3C2D" w:rsidRPr="0082484A" w:rsidRDefault="009A3C2D" w:rsidP="00272145">
            <w:pPr>
              <w:rPr>
                <w:sz w:val="22"/>
                <w:szCs w:val="22"/>
                <w:lang w:val="en-US"/>
              </w:rPr>
            </w:pPr>
            <w:r w:rsidRPr="0082484A">
              <w:rPr>
                <w:sz w:val="22"/>
                <w:szCs w:val="22"/>
                <w:lang w:val="en-US"/>
              </w:rPr>
              <w:t>131.90</w:t>
            </w:r>
          </w:p>
        </w:tc>
        <w:tc>
          <w:tcPr>
            <w:tcW w:w="0" w:type="auto"/>
          </w:tcPr>
          <w:p w14:paraId="00951A6F" w14:textId="77777777" w:rsidR="009A3C2D" w:rsidRPr="0082484A" w:rsidRDefault="009A3C2D" w:rsidP="00272145">
            <w:pPr>
              <w:rPr>
                <w:sz w:val="22"/>
                <w:szCs w:val="22"/>
                <w:lang w:val="en-US"/>
              </w:rPr>
            </w:pPr>
            <w:r w:rsidRPr="0082484A">
              <w:rPr>
                <w:sz w:val="22"/>
                <w:szCs w:val="22"/>
                <w:lang w:val="en-US"/>
              </w:rPr>
              <w:t>131.58-132.22</w:t>
            </w:r>
          </w:p>
        </w:tc>
        <w:tc>
          <w:tcPr>
            <w:tcW w:w="0" w:type="auto"/>
          </w:tcPr>
          <w:p w14:paraId="7323C8EC" w14:textId="77777777" w:rsidR="009A3C2D" w:rsidRPr="0082484A" w:rsidRDefault="009A3C2D" w:rsidP="00272145">
            <w:pPr>
              <w:rPr>
                <w:sz w:val="22"/>
                <w:szCs w:val="22"/>
                <w:lang w:val="en-US"/>
              </w:rPr>
            </w:pPr>
            <w:r w:rsidRPr="0082484A">
              <w:rPr>
                <w:sz w:val="22"/>
                <w:szCs w:val="22"/>
                <w:lang w:val="en-US"/>
              </w:rPr>
              <w:t>131.33</w:t>
            </w:r>
          </w:p>
        </w:tc>
        <w:tc>
          <w:tcPr>
            <w:tcW w:w="0" w:type="auto"/>
          </w:tcPr>
          <w:p w14:paraId="3EDFF335" w14:textId="77777777" w:rsidR="009A3C2D" w:rsidRPr="0082484A" w:rsidRDefault="009A3C2D" w:rsidP="00272145">
            <w:pPr>
              <w:rPr>
                <w:sz w:val="22"/>
                <w:szCs w:val="22"/>
                <w:lang w:val="en-US"/>
              </w:rPr>
            </w:pPr>
            <w:r w:rsidRPr="0082484A">
              <w:rPr>
                <w:sz w:val="22"/>
                <w:szCs w:val="22"/>
                <w:lang w:val="en-US"/>
              </w:rPr>
              <w:t>130.99-131.67</w:t>
            </w:r>
          </w:p>
        </w:tc>
      </w:tr>
      <w:tr w:rsidR="009A3C2D" w:rsidRPr="0082484A" w14:paraId="44673342" w14:textId="77777777" w:rsidTr="00272145">
        <w:tc>
          <w:tcPr>
            <w:tcW w:w="0" w:type="auto"/>
          </w:tcPr>
          <w:p w14:paraId="0725899B" w14:textId="77777777" w:rsidR="009A3C2D" w:rsidRPr="0082484A" w:rsidRDefault="009A3C2D" w:rsidP="00272145">
            <w:pPr>
              <w:rPr>
                <w:sz w:val="22"/>
                <w:szCs w:val="22"/>
                <w:lang w:val="en-US"/>
              </w:rPr>
            </w:pPr>
            <w:r w:rsidRPr="0082484A">
              <w:rPr>
                <w:sz w:val="22"/>
                <w:szCs w:val="22"/>
                <w:lang w:val="en-US"/>
              </w:rPr>
              <w:t>Indicator 9_5: BP &lt;130/80 in patients aged under 80 years with chronic kidney disease and proteinuria</w:t>
            </w:r>
          </w:p>
        </w:tc>
        <w:tc>
          <w:tcPr>
            <w:tcW w:w="0" w:type="auto"/>
          </w:tcPr>
          <w:p w14:paraId="461CA3A6" w14:textId="77777777" w:rsidR="009A3C2D" w:rsidRPr="0082484A" w:rsidRDefault="009A3C2D" w:rsidP="00272145">
            <w:pPr>
              <w:rPr>
                <w:sz w:val="22"/>
                <w:szCs w:val="22"/>
                <w:lang w:val="en-US"/>
              </w:rPr>
            </w:pPr>
            <w:r w:rsidRPr="0082484A">
              <w:rPr>
                <w:sz w:val="22"/>
                <w:szCs w:val="22"/>
                <w:lang w:val="en-US"/>
              </w:rPr>
              <w:t>133.26</w:t>
            </w:r>
          </w:p>
        </w:tc>
        <w:tc>
          <w:tcPr>
            <w:tcW w:w="0" w:type="auto"/>
          </w:tcPr>
          <w:p w14:paraId="53BEF4D0" w14:textId="77777777" w:rsidR="009A3C2D" w:rsidRPr="0082484A" w:rsidRDefault="009A3C2D" w:rsidP="00272145">
            <w:pPr>
              <w:rPr>
                <w:sz w:val="22"/>
                <w:szCs w:val="22"/>
                <w:lang w:val="en-US"/>
              </w:rPr>
            </w:pPr>
            <w:r w:rsidRPr="0082484A">
              <w:rPr>
                <w:sz w:val="22"/>
                <w:szCs w:val="22"/>
                <w:lang w:val="en-US"/>
              </w:rPr>
              <w:t>132.08-134.44</w:t>
            </w:r>
          </w:p>
        </w:tc>
        <w:tc>
          <w:tcPr>
            <w:tcW w:w="0" w:type="auto"/>
          </w:tcPr>
          <w:p w14:paraId="5FC2C3C6" w14:textId="77777777" w:rsidR="009A3C2D" w:rsidRPr="0082484A" w:rsidRDefault="009A3C2D" w:rsidP="00272145">
            <w:pPr>
              <w:rPr>
                <w:sz w:val="22"/>
                <w:szCs w:val="22"/>
                <w:lang w:val="en-US"/>
              </w:rPr>
            </w:pPr>
            <w:r w:rsidRPr="0082484A">
              <w:rPr>
                <w:sz w:val="22"/>
                <w:szCs w:val="22"/>
                <w:lang w:val="en-US"/>
              </w:rPr>
              <w:t>135.09</w:t>
            </w:r>
          </w:p>
        </w:tc>
        <w:tc>
          <w:tcPr>
            <w:tcW w:w="0" w:type="auto"/>
          </w:tcPr>
          <w:p w14:paraId="4DDD7891" w14:textId="77777777" w:rsidR="009A3C2D" w:rsidRPr="0082484A" w:rsidRDefault="009A3C2D" w:rsidP="00272145">
            <w:pPr>
              <w:rPr>
                <w:sz w:val="22"/>
                <w:szCs w:val="22"/>
                <w:lang w:val="en-US"/>
              </w:rPr>
            </w:pPr>
            <w:r w:rsidRPr="0082484A">
              <w:rPr>
                <w:sz w:val="22"/>
                <w:szCs w:val="22"/>
                <w:lang w:val="en-US"/>
              </w:rPr>
              <w:t>133.82-136.36</w:t>
            </w:r>
          </w:p>
        </w:tc>
      </w:tr>
      <w:tr w:rsidR="009A3C2D" w:rsidRPr="0082484A" w14:paraId="43F12F0A" w14:textId="77777777" w:rsidTr="00272145">
        <w:tc>
          <w:tcPr>
            <w:tcW w:w="0" w:type="auto"/>
          </w:tcPr>
          <w:p w14:paraId="462649FC" w14:textId="77777777" w:rsidR="009A3C2D" w:rsidRPr="0082484A" w:rsidRDefault="009A3C2D" w:rsidP="00272145">
            <w:pPr>
              <w:rPr>
                <w:sz w:val="22"/>
                <w:szCs w:val="22"/>
                <w:lang w:val="en-US"/>
              </w:rPr>
            </w:pPr>
            <w:r w:rsidRPr="0082484A">
              <w:rPr>
                <w:sz w:val="22"/>
                <w:szCs w:val="22"/>
                <w:lang w:val="en-US"/>
              </w:rPr>
              <w:t>Indicator 9_6: BP&lt;140/90 in patients aged under 80 years with coronary disease</w:t>
            </w:r>
          </w:p>
        </w:tc>
        <w:tc>
          <w:tcPr>
            <w:tcW w:w="0" w:type="auto"/>
          </w:tcPr>
          <w:p w14:paraId="45F12EAD" w14:textId="77777777" w:rsidR="009A3C2D" w:rsidRPr="0082484A" w:rsidRDefault="009A3C2D" w:rsidP="00272145">
            <w:pPr>
              <w:rPr>
                <w:sz w:val="22"/>
                <w:szCs w:val="22"/>
                <w:lang w:val="en-US"/>
              </w:rPr>
            </w:pPr>
            <w:r w:rsidRPr="0082484A">
              <w:rPr>
                <w:sz w:val="22"/>
                <w:szCs w:val="22"/>
                <w:lang w:val="en-US"/>
              </w:rPr>
              <w:t>129.73</w:t>
            </w:r>
          </w:p>
        </w:tc>
        <w:tc>
          <w:tcPr>
            <w:tcW w:w="0" w:type="auto"/>
          </w:tcPr>
          <w:p w14:paraId="50986C6D" w14:textId="77777777" w:rsidR="009A3C2D" w:rsidRPr="0082484A" w:rsidRDefault="009A3C2D" w:rsidP="00272145">
            <w:pPr>
              <w:rPr>
                <w:sz w:val="22"/>
                <w:szCs w:val="22"/>
                <w:lang w:val="en-US"/>
              </w:rPr>
            </w:pPr>
            <w:r w:rsidRPr="0082484A">
              <w:rPr>
                <w:sz w:val="22"/>
                <w:szCs w:val="22"/>
                <w:lang w:val="en-US"/>
              </w:rPr>
              <w:t>129.30-130.16</w:t>
            </w:r>
          </w:p>
        </w:tc>
        <w:tc>
          <w:tcPr>
            <w:tcW w:w="0" w:type="auto"/>
          </w:tcPr>
          <w:p w14:paraId="028479AD" w14:textId="77777777" w:rsidR="009A3C2D" w:rsidRPr="0082484A" w:rsidRDefault="009A3C2D" w:rsidP="00272145">
            <w:pPr>
              <w:rPr>
                <w:sz w:val="22"/>
                <w:szCs w:val="22"/>
                <w:lang w:val="en-US"/>
              </w:rPr>
            </w:pPr>
            <w:r w:rsidRPr="0082484A">
              <w:rPr>
                <w:sz w:val="22"/>
                <w:szCs w:val="22"/>
                <w:lang w:val="en-US"/>
              </w:rPr>
              <w:t>130.04</w:t>
            </w:r>
          </w:p>
        </w:tc>
        <w:tc>
          <w:tcPr>
            <w:tcW w:w="0" w:type="auto"/>
          </w:tcPr>
          <w:p w14:paraId="2F3CA0CA" w14:textId="77777777" w:rsidR="009A3C2D" w:rsidRPr="0082484A" w:rsidRDefault="009A3C2D" w:rsidP="00272145">
            <w:pPr>
              <w:rPr>
                <w:sz w:val="22"/>
                <w:szCs w:val="22"/>
                <w:lang w:val="en-US"/>
              </w:rPr>
            </w:pPr>
            <w:r w:rsidRPr="0082484A">
              <w:rPr>
                <w:sz w:val="22"/>
                <w:szCs w:val="22"/>
                <w:lang w:val="en-US"/>
              </w:rPr>
              <w:t>129.57-130.50</w:t>
            </w:r>
          </w:p>
        </w:tc>
      </w:tr>
      <w:tr w:rsidR="009A3C2D" w:rsidRPr="0082484A" w14:paraId="0F7D9FBB" w14:textId="77777777" w:rsidTr="00272145">
        <w:tc>
          <w:tcPr>
            <w:tcW w:w="0" w:type="auto"/>
          </w:tcPr>
          <w:p w14:paraId="16A67252" w14:textId="77777777" w:rsidR="009A3C2D" w:rsidRPr="0082484A" w:rsidRDefault="009A3C2D" w:rsidP="00272145">
            <w:pPr>
              <w:rPr>
                <w:sz w:val="22"/>
                <w:szCs w:val="22"/>
                <w:lang w:val="en-US"/>
              </w:rPr>
            </w:pPr>
            <w:r w:rsidRPr="0082484A">
              <w:rPr>
                <w:sz w:val="22"/>
                <w:szCs w:val="22"/>
                <w:lang w:val="en-US"/>
              </w:rPr>
              <w:t xml:space="preserve">Indicator 9_7: BP &lt;140/90 in patients aged under 80 years with peripheral arterial disease </w:t>
            </w:r>
          </w:p>
        </w:tc>
        <w:tc>
          <w:tcPr>
            <w:tcW w:w="0" w:type="auto"/>
          </w:tcPr>
          <w:p w14:paraId="0A7C658C" w14:textId="77777777" w:rsidR="009A3C2D" w:rsidRPr="0082484A" w:rsidRDefault="009A3C2D" w:rsidP="00272145">
            <w:pPr>
              <w:rPr>
                <w:sz w:val="22"/>
                <w:szCs w:val="22"/>
                <w:lang w:val="en-US"/>
              </w:rPr>
            </w:pPr>
            <w:r w:rsidRPr="0082484A">
              <w:rPr>
                <w:sz w:val="22"/>
                <w:szCs w:val="22"/>
                <w:lang w:val="en-US"/>
              </w:rPr>
              <w:t>132.98</w:t>
            </w:r>
          </w:p>
        </w:tc>
        <w:tc>
          <w:tcPr>
            <w:tcW w:w="0" w:type="auto"/>
          </w:tcPr>
          <w:p w14:paraId="61505059" w14:textId="77777777" w:rsidR="009A3C2D" w:rsidRPr="0082484A" w:rsidRDefault="009A3C2D" w:rsidP="00272145">
            <w:pPr>
              <w:rPr>
                <w:sz w:val="22"/>
                <w:szCs w:val="22"/>
                <w:lang w:val="en-US"/>
              </w:rPr>
            </w:pPr>
            <w:r w:rsidRPr="0082484A">
              <w:rPr>
                <w:sz w:val="22"/>
                <w:szCs w:val="22"/>
                <w:lang w:val="en-US"/>
              </w:rPr>
              <w:t>132.00-133.96</w:t>
            </w:r>
          </w:p>
        </w:tc>
        <w:tc>
          <w:tcPr>
            <w:tcW w:w="0" w:type="auto"/>
          </w:tcPr>
          <w:p w14:paraId="612751C7" w14:textId="77777777" w:rsidR="009A3C2D" w:rsidRPr="0082484A" w:rsidRDefault="009A3C2D" w:rsidP="00272145">
            <w:pPr>
              <w:rPr>
                <w:sz w:val="22"/>
                <w:szCs w:val="22"/>
                <w:lang w:val="en-US"/>
              </w:rPr>
            </w:pPr>
            <w:r w:rsidRPr="0082484A">
              <w:rPr>
                <w:sz w:val="22"/>
                <w:szCs w:val="22"/>
                <w:lang w:val="en-US"/>
              </w:rPr>
              <w:t>133.82</w:t>
            </w:r>
          </w:p>
        </w:tc>
        <w:tc>
          <w:tcPr>
            <w:tcW w:w="0" w:type="auto"/>
          </w:tcPr>
          <w:p w14:paraId="3C792B44" w14:textId="77777777" w:rsidR="009A3C2D" w:rsidRPr="0082484A" w:rsidRDefault="009A3C2D" w:rsidP="00272145">
            <w:pPr>
              <w:rPr>
                <w:sz w:val="22"/>
                <w:szCs w:val="22"/>
                <w:lang w:val="en-US"/>
              </w:rPr>
            </w:pPr>
            <w:r w:rsidRPr="0082484A">
              <w:rPr>
                <w:sz w:val="22"/>
                <w:szCs w:val="22"/>
                <w:lang w:val="en-US"/>
              </w:rPr>
              <w:t>132.73-134.91</w:t>
            </w:r>
          </w:p>
        </w:tc>
      </w:tr>
      <w:tr w:rsidR="009A3C2D" w:rsidRPr="0082484A" w14:paraId="267232AA" w14:textId="77777777" w:rsidTr="00272145">
        <w:tc>
          <w:tcPr>
            <w:tcW w:w="0" w:type="auto"/>
          </w:tcPr>
          <w:p w14:paraId="61657C1C" w14:textId="77777777" w:rsidR="009A3C2D" w:rsidRPr="0082484A" w:rsidRDefault="009A3C2D" w:rsidP="00272145">
            <w:pPr>
              <w:rPr>
                <w:sz w:val="22"/>
                <w:szCs w:val="22"/>
                <w:lang w:val="en-US"/>
              </w:rPr>
            </w:pPr>
            <w:r w:rsidRPr="0082484A">
              <w:rPr>
                <w:sz w:val="22"/>
                <w:szCs w:val="22"/>
                <w:lang w:val="en-US"/>
              </w:rPr>
              <w:t>Indicator 9_1: BP&lt;140 in patients aged under 80 years with a history of stroke/TIA</w:t>
            </w:r>
          </w:p>
        </w:tc>
        <w:tc>
          <w:tcPr>
            <w:tcW w:w="0" w:type="auto"/>
          </w:tcPr>
          <w:p w14:paraId="0D571A56" w14:textId="77777777" w:rsidR="009A3C2D" w:rsidRPr="0082484A" w:rsidRDefault="009A3C2D" w:rsidP="00272145">
            <w:pPr>
              <w:rPr>
                <w:sz w:val="22"/>
                <w:szCs w:val="22"/>
                <w:lang w:val="en-US"/>
              </w:rPr>
            </w:pPr>
            <w:r w:rsidRPr="0082484A">
              <w:rPr>
                <w:sz w:val="22"/>
                <w:szCs w:val="22"/>
                <w:lang w:val="en-US"/>
              </w:rPr>
              <w:t>131.73</w:t>
            </w:r>
          </w:p>
        </w:tc>
        <w:tc>
          <w:tcPr>
            <w:tcW w:w="0" w:type="auto"/>
          </w:tcPr>
          <w:p w14:paraId="619A18C0" w14:textId="77777777" w:rsidR="009A3C2D" w:rsidRPr="0082484A" w:rsidRDefault="009A3C2D" w:rsidP="00272145">
            <w:pPr>
              <w:rPr>
                <w:sz w:val="22"/>
                <w:szCs w:val="22"/>
                <w:lang w:val="en-US"/>
              </w:rPr>
            </w:pPr>
            <w:r w:rsidRPr="0082484A">
              <w:rPr>
                <w:sz w:val="22"/>
                <w:szCs w:val="22"/>
                <w:lang w:val="en-US"/>
              </w:rPr>
              <w:t>131.11-132.35</w:t>
            </w:r>
          </w:p>
        </w:tc>
        <w:tc>
          <w:tcPr>
            <w:tcW w:w="0" w:type="auto"/>
          </w:tcPr>
          <w:p w14:paraId="6FB470D6" w14:textId="77777777" w:rsidR="009A3C2D" w:rsidRPr="0082484A" w:rsidRDefault="009A3C2D" w:rsidP="00272145">
            <w:pPr>
              <w:rPr>
                <w:sz w:val="22"/>
                <w:szCs w:val="22"/>
                <w:lang w:val="en-US"/>
              </w:rPr>
            </w:pPr>
            <w:r w:rsidRPr="0082484A">
              <w:rPr>
                <w:sz w:val="22"/>
                <w:szCs w:val="22"/>
                <w:lang w:val="en-US"/>
              </w:rPr>
              <w:t>131.41</w:t>
            </w:r>
          </w:p>
        </w:tc>
        <w:tc>
          <w:tcPr>
            <w:tcW w:w="0" w:type="auto"/>
          </w:tcPr>
          <w:p w14:paraId="7859C1F1" w14:textId="77777777" w:rsidR="009A3C2D" w:rsidRPr="0082484A" w:rsidRDefault="009A3C2D" w:rsidP="00272145">
            <w:pPr>
              <w:rPr>
                <w:sz w:val="22"/>
                <w:szCs w:val="22"/>
                <w:lang w:val="en-US"/>
              </w:rPr>
            </w:pPr>
            <w:r w:rsidRPr="0082484A">
              <w:rPr>
                <w:sz w:val="22"/>
                <w:szCs w:val="22"/>
                <w:lang w:val="en-US"/>
              </w:rPr>
              <w:t>130.74-132.08</w:t>
            </w:r>
          </w:p>
        </w:tc>
      </w:tr>
      <w:tr w:rsidR="009A3C2D" w:rsidRPr="0082484A" w14:paraId="58E83135" w14:textId="77777777" w:rsidTr="00272145">
        <w:tc>
          <w:tcPr>
            <w:tcW w:w="0" w:type="auto"/>
          </w:tcPr>
          <w:p w14:paraId="060E5DD5" w14:textId="77777777" w:rsidR="009A3C2D" w:rsidRPr="0082484A" w:rsidRDefault="009A3C2D" w:rsidP="00272145">
            <w:pPr>
              <w:rPr>
                <w:sz w:val="22"/>
                <w:szCs w:val="22"/>
                <w:lang w:val="en-US"/>
              </w:rPr>
            </w:pPr>
            <w:r w:rsidRPr="0082484A">
              <w:rPr>
                <w:sz w:val="22"/>
                <w:szCs w:val="22"/>
                <w:lang w:val="en-US"/>
              </w:rPr>
              <w:t>Indicator 9_2: BP&lt;140/90 in patients aged under 80 years with a cardiovascular disease risk of 20% or higher</w:t>
            </w:r>
          </w:p>
        </w:tc>
        <w:tc>
          <w:tcPr>
            <w:tcW w:w="0" w:type="auto"/>
          </w:tcPr>
          <w:p w14:paraId="70325F16" w14:textId="77777777" w:rsidR="009A3C2D" w:rsidRPr="0082484A" w:rsidRDefault="009A3C2D" w:rsidP="00272145">
            <w:pPr>
              <w:rPr>
                <w:sz w:val="22"/>
                <w:szCs w:val="22"/>
                <w:lang w:val="en-US"/>
              </w:rPr>
            </w:pPr>
            <w:r w:rsidRPr="0082484A">
              <w:rPr>
                <w:sz w:val="22"/>
                <w:szCs w:val="22"/>
                <w:lang w:val="en-US"/>
              </w:rPr>
              <w:t>135.20</w:t>
            </w:r>
          </w:p>
        </w:tc>
        <w:tc>
          <w:tcPr>
            <w:tcW w:w="0" w:type="auto"/>
          </w:tcPr>
          <w:p w14:paraId="5776BD5C" w14:textId="77777777" w:rsidR="009A3C2D" w:rsidRPr="0082484A" w:rsidRDefault="009A3C2D" w:rsidP="00272145">
            <w:pPr>
              <w:rPr>
                <w:sz w:val="22"/>
                <w:szCs w:val="22"/>
                <w:lang w:val="en-US"/>
              </w:rPr>
            </w:pPr>
            <w:r w:rsidRPr="0082484A">
              <w:rPr>
                <w:sz w:val="22"/>
                <w:szCs w:val="22"/>
                <w:lang w:val="en-US"/>
              </w:rPr>
              <w:t>134.89-135.51</w:t>
            </w:r>
          </w:p>
        </w:tc>
        <w:tc>
          <w:tcPr>
            <w:tcW w:w="0" w:type="auto"/>
          </w:tcPr>
          <w:p w14:paraId="014B61B2" w14:textId="77777777" w:rsidR="009A3C2D" w:rsidRPr="0082484A" w:rsidRDefault="009A3C2D" w:rsidP="00272145">
            <w:pPr>
              <w:rPr>
                <w:sz w:val="22"/>
                <w:szCs w:val="22"/>
                <w:lang w:val="en-US"/>
              </w:rPr>
            </w:pPr>
            <w:r w:rsidRPr="0082484A">
              <w:rPr>
                <w:sz w:val="22"/>
                <w:szCs w:val="22"/>
                <w:lang w:val="en-US"/>
              </w:rPr>
              <w:t>135.85</w:t>
            </w:r>
          </w:p>
        </w:tc>
        <w:tc>
          <w:tcPr>
            <w:tcW w:w="0" w:type="auto"/>
          </w:tcPr>
          <w:p w14:paraId="43EF9306" w14:textId="77777777" w:rsidR="009A3C2D" w:rsidRPr="0082484A" w:rsidRDefault="009A3C2D" w:rsidP="00272145">
            <w:pPr>
              <w:rPr>
                <w:sz w:val="22"/>
                <w:szCs w:val="22"/>
                <w:lang w:val="en-US"/>
              </w:rPr>
            </w:pPr>
            <w:r w:rsidRPr="0082484A">
              <w:rPr>
                <w:sz w:val="22"/>
                <w:szCs w:val="22"/>
                <w:lang w:val="en-US"/>
              </w:rPr>
              <w:t>135.53-136.17</w:t>
            </w:r>
          </w:p>
        </w:tc>
      </w:tr>
    </w:tbl>
    <w:p w14:paraId="5EB4B65D" w14:textId="77777777" w:rsidR="009A3C2D" w:rsidRPr="0082484A" w:rsidRDefault="009A3C2D" w:rsidP="009A3C2D">
      <w:pPr>
        <w:rPr>
          <w:sz w:val="22"/>
          <w:szCs w:val="22"/>
          <w:lang w:val="en-US"/>
        </w:rPr>
      </w:pPr>
    </w:p>
    <w:p w14:paraId="55C4EE24" w14:textId="77777777" w:rsidR="009A3C2D" w:rsidRPr="0082484A" w:rsidRDefault="009A3C2D" w:rsidP="009A3C2D">
      <w:pPr>
        <w:rPr>
          <w:sz w:val="22"/>
          <w:szCs w:val="22"/>
          <w:lang w:val="en-US"/>
        </w:rPr>
      </w:pPr>
    </w:p>
    <w:p w14:paraId="7EF0CB8B" w14:textId="77777777" w:rsidR="009A3C2D" w:rsidRPr="0082484A" w:rsidRDefault="009A3C2D" w:rsidP="009A3C2D">
      <w:pPr>
        <w:rPr>
          <w:sz w:val="22"/>
          <w:szCs w:val="22"/>
          <w:lang w:val="en-US"/>
        </w:rPr>
        <w:sectPr w:rsidR="009A3C2D" w:rsidRPr="0082484A" w:rsidSect="00272145">
          <w:pgSz w:w="11906" w:h="16838"/>
          <w:pgMar w:top="1440" w:right="1440" w:bottom="1440" w:left="1440" w:header="708" w:footer="708" w:gutter="0"/>
          <w:cols w:space="708"/>
          <w:docGrid w:linePitch="360"/>
        </w:sectPr>
      </w:pPr>
    </w:p>
    <w:p w14:paraId="76BD85FC" w14:textId="07BC3341" w:rsidR="009A3C2D" w:rsidRPr="0082484A" w:rsidRDefault="009A3C2D" w:rsidP="009A3C2D">
      <w:pPr>
        <w:pStyle w:val="Caption"/>
        <w:rPr>
          <w:b w:val="0"/>
          <w:sz w:val="22"/>
          <w:szCs w:val="22"/>
        </w:rPr>
      </w:pPr>
      <w:bookmarkStart w:id="356" w:name="_Ref501111154"/>
      <w:bookmarkStart w:id="357" w:name="_Ref491879175"/>
      <w:bookmarkStart w:id="358" w:name="_Toc8728179"/>
      <w:bookmarkStart w:id="359" w:name="_Toc19526826"/>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97</w:t>
      </w:r>
      <w:r w:rsidRPr="0082484A">
        <w:rPr>
          <w:b w:val="0"/>
          <w:noProof/>
          <w:sz w:val="22"/>
          <w:szCs w:val="22"/>
        </w:rPr>
        <w:fldChar w:fldCharType="end"/>
      </w:r>
      <w:bookmarkEnd w:id="356"/>
      <w:r w:rsidRPr="0082484A">
        <w:rPr>
          <w:b w:val="0"/>
          <w:noProof/>
          <w:sz w:val="22"/>
          <w:szCs w:val="22"/>
        </w:rPr>
        <w:t>:</w:t>
      </w:r>
      <w:r w:rsidRPr="0082484A">
        <w:rPr>
          <w:b w:val="0"/>
          <w:sz w:val="22"/>
          <w:szCs w:val="22"/>
        </w:rPr>
        <w:t xml:space="preserve"> </w:t>
      </w:r>
      <w:bookmarkEnd w:id="357"/>
      <w:r w:rsidRPr="0082484A">
        <w:rPr>
          <w:b w:val="0"/>
          <w:sz w:val="22"/>
          <w:szCs w:val="22"/>
        </w:rPr>
        <w:t>Blood pressure control model - transition probabilities</w:t>
      </w:r>
      <w:bookmarkEnd w:id="358"/>
      <w:bookmarkEnd w:id="359"/>
    </w:p>
    <w:p w14:paraId="5FCA035D" w14:textId="77777777" w:rsidR="009A3C2D" w:rsidRPr="0082484A" w:rsidRDefault="009A3C2D" w:rsidP="009A3C2D">
      <w:pPr>
        <w:rPr>
          <w:sz w:val="22"/>
          <w:szCs w:val="22"/>
        </w:rPr>
      </w:pPr>
    </w:p>
    <w:tbl>
      <w:tblPr>
        <w:tblStyle w:val="TableGrid"/>
        <w:tblW w:w="10343" w:type="dxa"/>
        <w:tblInd w:w="-720" w:type="dxa"/>
        <w:tblLayout w:type="fixed"/>
        <w:tblLook w:val="04A0" w:firstRow="1" w:lastRow="0" w:firstColumn="1" w:lastColumn="0" w:noHBand="0" w:noVBand="1"/>
      </w:tblPr>
      <w:tblGrid>
        <w:gridCol w:w="1962"/>
        <w:gridCol w:w="1843"/>
        <w:gridCol w:w="1985"/>
        <w:gridCol w:w="4553"/>
      </w:tblGrid>
      <w:tr w:rsidR="009A3C2D" w:rsidRPr="0082484A" w14:paraId="37225FD5" w14:textId="77777777" w:rsidTr="00272145">
        <w:tc>
          <w:tcPr>
            <w:tcW w:w="1962" w:type="dxa"/>
          </w:tcPr>
          <w:p w14:paraId="63EFF980" w14:textId="77777777" w:rsidR="009A3C2D" w:rsidRPr="0082484A" w:rsidRDefault="009A3C2D" w:rsidP="00272145">
            <w:pPr>
              <w:spacing w:line="360" w:lineRule="auto"/>
              <w:jc w:val="both"/>
              <w:rPr>
                <w:sz w:val="22"/>
                <w:szCs w:val="22"/>
              </w:rPr>
            </w:pPr>
            <w:r w:rsidRPr="0082484A">
              <w:rPr>
                <w:sz w:val="22"/>
                <w:szCs w:val="22"/>
              </w:rPr>
              <w:t>Parameter</w:t>
            </w:r>
          </w:p>
        </w:tc>
        <w:tc>
          <w:tcPr>
            <w:tcW w:w="1843" w:type="dxa"/>
          </w:tcPr>
          <w:p w14:paraId="084380DD" w14:textId="77777777" w:rsidR="009A3C2D" w:rsidRPr="0082484A" w:rsidRDefault="009A3C2D" w:rsidP="00272145">
            <w:pPr>
              <w:spacing w:line="360" w:lineRule="auto"/>
              <w:jc w:val="both"/>
              <w:rPr>
                <w:sz w:val="22"/>
                <w:szCs w:val="22"/>
              </w:rPr>
            </w:pPr>
            <w:r w:rsidRPr="0082484A">
              <w:rPr>
                <w:sz w:val="22"/>
                <w:szCs w:val="22"/>
              </w:rPr>
              <w:t>Mean</w:t>
            </w:r>
          </w:p>
        </w:tc>
        <w:tc>
          <w:tcPr>
            <w:tcW w:w="1985" w:type="dxa"/>
          </w:tcPr>
          <w:p w14:paraId="20B35E34" w14:textId="77777777" w:rsidR="009A3C2D" w:rsidRPr="0082484A" w:rsidRDefault="009A3C2D" w:rsidP="00272145">
            <w:pPr>
              <w:spacing w:line="360" w:lineRule="auto"/>
              <w:jc w:val="both"/>
              <w:rPr>
                <w:sz w:val="22"/>
                <w:szCs w:val="22"/>
              </w:rPr>
            </w:pPr>
            <w:r w:rsidRPr="0082484A">
              <w:rPr>
                <w:sz w:val="22"/>
                <w:szCs w:val="22"/>
              </w:rPr>
              <w:t>CI/SD</w:t>
            </w:r>
          </w:p>
        </w:tc>
        <w:tc>
          <w:tcPr>
            <w:tcW w:w="4553" w:type="dxa"/>
          </w:tcPr>
          <w:p w14:paraId="1C31A20C" w14:textId="77777777" w:rsidR="009A3C2D" w:rsidRPr="0082484A" w:rsidRDefault="009A3C2D" w:rsidP="00272145">
            <w:pPr>
              <w:spacing w:line="360" w:lineRule="auto"/>
              <w:jc w:val="both"/>
              <w:rPr>
                <w:sz w:val="22"/>
                <w:szCs w:val="22"/>
              </w:rPr>
            </w:pPr>
            <w:r w:rsidRPr="0082484A">
              <w:rPr>
                <w:sz w:val="22"/>
                <w:szCs w:val="22"/>
              </w:rPr>
              <w:t>Comment/Source</w:t>
            </w:r>
          </w:p>
        </w:tc>
      </w:tr>
      <w:tr w:rsidR="009A3C2D" w:rsidRPr="0082484A" w14:paraId="26CB2B27" w14:textId="77777777" w:rsidTr="00272145">
        <w:tc>
          <w:tcPr>
            <w:tcW w:w="10343" w:type="dxa"/>
            <w:gridSpan w:val="4"/>
          </w:tcPr>
          <w:p w14:paraId="3CC32E12" w14:textId="77777777" w:rsidR="009A3C2D" w:rsidRPr="0082484A" w:rsidRDefault="009A3C2D" w:rsidP="00272145">
            <w:pPr>
              <w:spacing w:line="360" w:lineRule="auto"/>
              <w:jc w:val="both"/>
              <w:rPr>
                <w:i/>
                <w:sz w:val="22"/>
                <w:szCs w:val="22"/>
              </w:rPr>
            </w:pPr>
            <w:r w:rsidRPr="0082484A">
              <w:rPr>
                <w:i/>
                <w:sz w:val="22"/>
                <w:szCs w:val="22"/>
              </w:rPr>
              <w:t>Event risks</w:t>
            </w:r>
          </w:p>
        </w:tc>
      </w:tr>
      <w:tr w:rsidR="009A3C2D" w:rsidRPr="0082484A" w14:paraId="1F609FD0" w14:textId="77777777" w:rsidTr="00272145">
        <w:tc>
          <w:tcPr>
            <w:tcW w:w="1962" w:type="dxa"/>
          </w:tcPr>
          <w:p w14:paraId="5B433D00" w14:textId="77777777" w:rsidR="009A3C2D" w:rsidRPr="0082484A" w:rsidRDefault="009A3C2D" w:rsidP="00272145">
            <w:pPr>
              <w:spacing w:line="360" w:lineRule="auto"/>
              <w:jc w:val="right"/>
              <w:rPr>
                <w:i/>
                <w:sz w:val="22"/>
                <w:szCs w:val="22"/>
              </w:rPr>
            </w:pPr>
            <w:r w:rsidRPr="0082484A">
              <w:rPr>
                <w:i/>
                <w:sz w:val="22"/>
                <w:szCs w:val="22"/>
              </w:rPr>
              <w:t>Coronary Heart Disease</w:t>
            </w:r>
          </w:p>
        </w:tc>
        <w:tc>
          <w:tcPr>
            <w:tcW w:w="1843" w:type="dxa"/>
          </w:tcPr>
          <w:p w14:paraId="3D880DEE" w14:textId="77777777" w:rsidR="009A3C2D" w:rsidRPr="0082484A" w:rsidRDefault="009A3C2D" w:rsidP="00272145">
            <w:pPr>
              <w:pStyle w:val="Default"/>
              <w:jc w:val="both"/>
              <w:rPr>
                <w:sz w:val="22"/>
                <w:szCs w:val="22"/>
              </w:rPr>
            </w:pPr>
          </w:p>
        </w:tc>
        <w:tc>
          <w:tcPr>
            <w:tcW w:w="1985" w:type="dxa"/>
          </w:tcPr>
          <w:p w14:paraId="278B30A4" w14:textId="77777777" w:rsidR="009A3C2D" w:rsidRPr="0082484A" w:rsidRDefault="009A3C2D" w:rsidP="00272145">
            <w:pPr>
              <w:spacing w:line="360" w:lineRule="auto"/>
              <w:jc w:val="both"/>
              <w:rPr>
                <w:sz w:val="22"/>
                <w:szCs w:val="22"/>
              </w:rPr>
            </w:pPr>
          </w:p>
        </w:tc>
        <w:tc>
          <w:tcPr>
            <w:tcW w:w="4553" w:type="dxa"/>
          </w:tcPr>
          <w:p w14:paraId="21D5BA81" w14:textId="60A7F41A" w:rsidR="009A3C2D" w:rsidRPr="0082484A" w:rsidRDefault="009A3C2D" w:rsidP="00952E85">
            <w:pPr>
              <w:spacing w:line="360" w:lineRule="auto"/>
              <w:rPr>
                <w:sz w:val="22"/>
                <w:szCs w:val="22"/>
              </w:rPr>
            </w:pPr>
            <w:r w:rsidRPr="0082484A">
              <w:rPr>
                <w:sz w:val="22"/>
                <w:szCs w:val="22"/>
              </w:rPr>
              <w:t>Values from NICE Clinical Guidelines, No. 127.</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 (NICE)&lt;/Author&gt;&lt;Year&gt;2011&lt;/Year&gt;&lt;RecNum&gt;108&lt;/RecNum&gt;&lt;DisplayText&gt;&lt;style face="superscript"&gt;13&lt;/style&gt;&lt;/DisplayText&gt;&lt;record&gt;&lt;rec-number&gt;108&lt;/rec-number&gt;&lt;foreign-keys&gt;&lt;key app="EN" db-id="5srzarxr5dr9r5es2r7xst9lr9t2rewrpffr" timestamp="1500279090"&gt;108&lt;/key&gt;&lt;/foreign-keys&gt;&lt;ref-type name="Report"&gt;27&lt;/ref-type&gt;&lt;contributors&gt;&lt;authors&gt;&lt;author&gt;National Institute for Health and Clinical Excellence (NICE),&lt;/author&gt;&lt;/authors&gt;&lt;secondary-authors&gt;&lt;author&gt;National Institute for Health and Clinical Excellence,&lt;/author&gt;&lt;/secondary-authors&gt;&lt;/contributors&gt;&lt;titles&gt;&lt;title&gt;Hypertension: the clinical management of primary hypertension in adults [CG127]&lt;/title&gt;&lt;/titles&gt;&lt;dates&gt;&lt;year&gt;2011&lt;/year&gt;&lt;/dates&gt;&lt;pub-location&gt;London&lt;/pub-location&gt;&lt;publisher&gt;Royal College of Physicians&lt;/publisher&gt;&lt;urls&gt;&lt;/urls&gt;&lt;/record&gt;&lt;/Cite&gt;&lt;/EndNote&gt;</w:instrText>
            </w:r>
            <w:r w:rsidRPr="0082484A">
              <w:rPr>
                <w:sz w:val="22"/>
                <w:szCs w:val="22"/>
              </w:rPr>
              <w:fldChar w:fldCharType="separate"/>
            </w:r>
            <w:r w:rsidR="00952E85" w:rsidRPr="0082484A">
              <w:rPr>
                <w:noProof/>
                <w:sz w:val="22"/>
                <w:szCs w:val="22"/>
                <w:vertAlign w:val="superscript"/>
              </w:rPr>
              <w:t>13</w:t>
            </w:r>
            <w:r w:rsidRPr="0082484A">
              <w:rPr>
                <w:sz w:val="22"/>
                <w:szCs w:val="22"/>
              </w:rPr>
              <w:fldChar w:fldCharType="end"/>
            </w:r>
            <w:r w:rsidRPr="0082484A">
              <w:rPr>
                <w:sz w:val="22"/>
                <w:szCs w:val="22"/>
              </w:rPr>
              <w:t xml:space="preserve"> </w:t>
            </w:r>
          </w:p>
        </w:tc>
      </w:tr>
      <w:tr w:rsidR="009A3C2D" w:rsidRPr="0082484A" w14:paraId="0B0E7D25" w14:textId="77777777" w:rsidTr="00272145">
        <w:tc>
          <w:tcPr>
            <w:tcW w:w="1962" w:type="dxa"/>
          </w:tcPr>
          <w:p w14:paraId="58DFA3D6" w14:textId="77777777" w:rsidR="009A3C2D" w:rsidRPr="0082484A" w:rsidRDefault="009A3C2D" w:rsidP="00272145">
            <w:pPr>
              <w:spacing w:line="360" w:lineRule="auto"/>
              <w:jc w:val="right"/>
              <w:rPr>
                <w:sz w:val="22"/>
                <w:szCs w:val="22"/>
              </w:rPr>
            </w:pPr>
            <w:r w:rsidRPr="0082484A">
              <w:rPr>
                <w:sz w:val="22"/>
                <w:szCs w:val="22"/>
              </w:rPr>
              <w:t>5_5</w:t>
            </w:r>
          </w:p>
        </w:tc>
        <w:tc>
          <w:tcPr>
            <w:tcW w:w="1843" w:type="dxa"/>
          </w:tcPr>
          <w:p w14:paraId="169D2834" w14:textId="77777777" w:rsidR="009A3C2D" w:rsidRPr="0082484A" w:rsidRDefault="009A3C2D" w:rsidP="00272145">
            <w:pPr>
              <w:pStyle w:val="Default"/>
              <w:jc w:val="both"/>
              <w:rPr>
                <w:sz w:val="22"/>
                <w:szCs w:val="22"/>
              </w:rPr>
            </w:pPr>
            <w:r w:rsidRPr="0082484A">
              <w:rPr>
                <w:sz w:val="22"/>
                <w:szCs w:val="22"/>
              </w:rPr>
              <w:t>Men:</w:t>
            </w:r>
          </w:p>
          <w:p w14:paraId="261C161A" w14:textId="77777777" w:rsidR="009A3C2D" w:rsidRPr="0082484A" w:rsidRDefault="009A3C2D" w:rsidP="00272145">
            <w:pPr>
              <w:pStyle w:val="Default"/>
              <w:jc w:val="both"/>
              <w:rPr>
                <w:sz w:val="22"/>
                <w:szCs w:val="22"/>
              </w:rPr>
            </w:pPr>
            <w:r w:rsidRPr="0082484A">
              <w:rPr>
                <w:sz w:val="22"/>
                <w:szCs w:val="22"/>
              </w:rPr>
              <w:t>65-74y: 0.62%;</w:t>
            </w:r>
          </w:p>
          <w:p w14:paraId="1E88BAAA" w14:textId="77777777" w:rsidR="009A3C2D" w:rsidRPr="0082484A" w:rsidRDefault="009A3C2D" w:rsidP="00272145">
            <w:pPr>
              <w:pStyle w:val="Default"/>
              <w:jc w:val="both"/>
              <w:rPr>
                <w:sz w:val="22"/>
                <w:szCs w:val="22"/>
              </w:rPr>
            </w:pPr>
            <w:r w:rsidRPr="0082484A">
              <w:rPr>
                <w:sz w:val="22"/>
                <w:szCs w:val="22"/>
              </w:rPr>
              <w:t>75+:       0.67%</w:t>
            </w:r>
          </w:p>
          <w:p w14:paraId="7E6DCFB7" w14:textId="77777777" w:rsidR="009A3C2D" w:rsidRPr="0082484A" w:rsidRDefault="009A3C2D" w:rsidP="00272145">
            <w:pPr>
              <w:pStyle w:val="Default"/>
              <w:jc w:val="both"/>
              <w:rPr>
                <w:sz w:val="22"/>
                <w:szCs w:val="22"/>
              </w:rPr>
            </w:pPr>
            <w:r w:rsidRPr="0082484A">
              <w:rPr>
                <w:sz w:val="22"/>
                <w:szCs w:val="22"/>
              </w:rPr>
              <w:t>Women:</w:t>
            </w:r>
          </w:p>
          <w:p w14:paraId="55C69604" w14:textId="77777777" w:rsidR="009A3C2D" w:rsidRPr="0082484A" w:rsidRDefault="009A3C2D" w:rsidP="00272145">
            <w:pPr>
              <w:pStyle w:val="Default"/>
              <w:jc w:val="both"/>
              <w:rPr>
                <w:sz w:val="22"/>
                <w:szCs w:val="22"/>
              </w:rPr>
            </w:pPr>
            <w:r w:rsidRPr="0082484A">
              <w:rPr>
                <w:sz w:val="22"/>
                <w:szCs w:val="22"/>
              </w:rPr>
              <w:t>65-74y: 0.28%;</w:t>
            </w:r>
          </w:p>
          <w:p w14:paraId="3E75FF14" w14:textId="77777777" w:rsidR="009A3C2D" w:rsidRPr="0082484A" w:rsidRDefault="009A3C2D" w:rsidP="00272145">
            <w:pPr>
              <w:pStyle w:val="Default"/>
              <w:jc w:val="both"/>
              <w:rPr>
                <w:sz w:val="22"/>
                <w:szCs w:val="22"/>
              </w:rPr>
            </w:pPr>
            <w:r w:rsidRPr="0082484A">
              <w:rPr>
                <w:sz w:val="22"/>
                <w:szCs w:val="22"/>
              </w:rPr>
              <w:t>75+:      0.24%</w:t>
            </w:r>
          </w:p>
          <w:p w14:paraId="4FC7841F" w14:textId="77777777" w:rsidR="009A3C2D" w:rsidRPr="0082484A" w:rsidRDefault="009A3C2D" w:rsidP="00272145">
            <w:pPr>
              <w:pStyle w:val="Default"/>
              <w:jc w:val="both"/>
              <w:rPr>
                <w:sz w:val="22"/>
                <w:szCs w:val="22"/>
              </w:rPr>
            </w:pPr>
          </w:p>
        </w:tc>
        <w:tc>
          <w:tcPr>
            <w:tcW w:w="1985" w:type="dxa"/>
          </w:tcPr>
          <w:p w14:paraId="34247BA5" w14:textId="77777777" w:rsidR="009A3C2D" w:rsidRPr="0082484A" w:rsidRDefault="009A3C2D" w:rsidP="00272145">
            <w:pPr>
              <w:pStyle w:val="Default"/>
              <w:jc w:val="both"/>
              <w:rPr>
                <w:sz w:val="22"/>
                <w:szCs w:val="22"/>
              </w:rPr>
            </w:pPr>
            <w:r w:rsidRPr="0082484A">
              <w:rPr>
                <w:sz w:val="22"/>
                <w:szCs w:val="22"/>
              </w:rPr>
              <w:t>Men:</w:t>
            </w:r>
          </w:p>
          <w:p w14:paraId="76A82F5F" w14:textId="77777777" w:rsidR="009A3C2D" w:rsidRPr="0082484A" w:rsidRDefault="009A3C2D" w:rsidP="00272145">
            <w:pPr>
              <w:pStyle w:val="Default"/>
              <w:jc w:val="both"/>
              <w:rPr>
                <w:sz w:val="22"/>
                <w:szCs w:val="22"/>
              </w:rPr>
            </w:pPr>
            <w:r w:rsidRPr="0082484A">
              <w:rPr>
                <w:sz w:val="22"/>
                <w:szCs w:val="22"/>
              </w:rPr>
              <w:t>65-74y: 0.0006</w:t>
            </w:r>
          </w:p>
          <w:p w14:paraId="2D2E45D3" w14:textId="77777777" w:rsidR="009A3C2D" w:rsidRPr="0082484A" w:rsidRDefault="009A3C2D" w:rsidP="00272145">
            <w:pPr>
              <w:pStyle w:val="Default"/>
              <w:jc w:val="both"/>
              <w:rPr>
                <w:sz w:val="22"/>
                <w:szCs w:val="22"/>
              </w:rPr>
            </w:pPr>
            <w:r w:rsidRPr="0082484A">
              <w:rPr>
                <w:sz w:val="22"/>
                <w:szCs w:val="22"/>
              </w:rPr>
              <w:t>75+:0.0007</w:t>
            </w:r>
          </w:p>
          <w:p w14:paraId="6339824C" w14:textId="77777777" w:rsidR="009A3C2D" w:rsidRPr="0082484A" w:rsidRDefault="009A3C2D" w:rsidP="00272145">
            <w:pPr>
              <w:pStyle w:val="Default"/>
              <w:jc w:val="both"/>
              <w:rPr>
                <w:sz w:val="22"/>
                <w:szCs w:val="22"/>
              </w:rPr>
            </w:pPr>
            <w:r w:rsidRPr="0082484A">
              <w:rPr>
                <w:sz w:val="22"/>
                <w:szCs w:val="22"/>
              </w:rPr>
              <w:t>Women:</w:t>
            </w:r>
          </w:p>
          <w:p w14:paraId="304884DD" w14:textId="77777777" w:rsidR="009A3C2D" w:rsidRPr="0082484A" w:rsidRDefault="009A3C2D" w:rsidP="00272145">
            <w:pPr>
              <w:pStyle w:val="Default"/>
              <w:jc w:val="both"/>
              <w:rPr>
                <w:sz w:val="22"/>
                <w:szCs w:val="22"/>
              </w:rPr>
            </w:pPr>
            <w:r w:rsidRPr="0082484A">
              <w:rPr>
                <w:sz w:val="22"/>
                <w:szCs w:val="22"/>
              </w:rPr>
              <w:t>65-74y: 0.00029</w:t>
            </w:r>
          </w:p>
          <w:p w14:paraId="691DD14C" w14:textId="77777777" w:rsidR="009A3C2D" w:rsidRPr="0082484A" w:rsidRDefault="009A3C2D" w:rsidP="00272145">
            <w:pPr>
              <w:pStyle w:val="Default"/>
              <w:jc w:val="both"/>
              <w:rPr>
                <w:sz w:val="22"/>
                <w:szCs w:val="22"/>
              </w:rPr>
            </w:pPr>
            <w:r w:rsidRPr="0082484A">
              <w:rPr>
                <w:sz w:val="22"/>
                <w:szCs w:val="22"/>
              </w:rPr>
              <w:t>75+:0.00029</w:t>
            </w:r>
          </w:p>
        </w:tc>
        <w:tc>
          <w:tcPr>
            <w:tcW w:w="4553" w:type="dxa"/>
          </w:tcPr>
          <w:p w14:paraId="37F34799" w14:textId="77777777" w:rsidR="009A3C2D" w:rsidRPr="0082484A" w:rsidRDefault="009A3C2D" w:rsidP="00272145">
            <w:pPr>
              <w:pStyle w:val="Default"/>
              <w:rPr>
                <w:sz w:val="22"/>
                <w:szCs w:val="22"/>
              </w:rPr>
            </w:pPr>
            <w:r w:rsidRPr="0082484A">
              <w:rPr>
                <w:sz w:val="22"/>
                <w:szCs w:val="22"/>
              </w:rPr>
              <w:t>Population average age of the patients 66. Values adjusted to three monthly rates from the 10 years risk rate.</w:t>
            </w:r>
          </w:p>
        </w:tc>
      </w:tr>
      <w:tr w:rsidR="009A3C2D" w:rsidRPr="0082484A" w14:paraId="093F864A" w14:textId="77777777" w:rsidTr="00272145">
        <w:tc>
          <w:tcPr>
            <w:tcW w:w="1962" w:type="dxa"/>
          </w:tcPr>
          <w:p w14:paraId="45E3AFA2" w14:textId="77777777" w:rsidR="009A3C2D" w:rsidRPr="0082484A" w:rsidRDefault="009A3C2D" w:rsidP="00272145">
            <w:pPr>
              <w:spacing w:line="360" w:lineRule="auto"/>
              <w:jc w:val="right"/>
              <w:rPr>
                <w:sz w:val="22"/>
                <w:szCs w:val="22"/>
              </w:rPr>
            </w:pPr>
            <w:r w:rsidRPr="0082484A">
              <w:rPr>
                <w:sz w:val="22"/>
                <w:szCs w:val="22"/>
              </w:rPr>
              <w:t>5_6</w:t>
            </w:r>
          </w:p>
        </w:tc>
        <w:tc>
          <w:tcPr>
            <w:tcW w:w="1843" w:type="dxa"/>
          </w:tcPr>
          <w:p w14:paraId="4AD5C6B9" w14:textId="77777777" w:rsidR="009A3C2D" w:rsidRPr="0082484A" w:rsidRDefault="009A3C2D" w:rsidP="00272145">
            <w:pPr>
              <w:pStyle w:val="Default"/>
              <w:jc w:val="both"/>
              <w:rPr>
                <w:sz w:val="22"/>
                <w:szCs w:val="22"/>
              </w:rPr>
            </w:pPr>
            <w:r w:rsidRPr="0082484A">
              <w:rPr>
                <w:sz w:val="22"/>
                <w:szCs w:val="22"/>
              </w:rPr>
              <w:t>Men: 0.67%</w:t>
            </w:r>
          </w:p>
          <w:p w14:paraId="06357E21" w14:textId="77777777" w:rsidR="009A3C2D" w:rsidRPr="0082484A" w:rsidRDefault="009A3C2D" w:rsidP="00272145">
            <w:pPr>
              <w:pStyle w:val="Default"/>
              <w:jc w:val="both"/>
              <w:rPr>
                <w:sz w:val="22"/>
                <w:szCs w:val="22"/>
              </w:rPr>
            </w:pPr>
            <w:r w:rsidRPr="0082484A">
              <w:rPr>
                <w:sz w:val="22"/>
                <w:szCs w:val="22"/>
              </w:rPr>
              <w:t>Women:0.24%</w:t>
            </w:r>
          </w:p>
        </w:tc>
        <w:tc>
          <w:tcPr>
            <w:tcW w:w="1985" w:type="dxa"/>
          </w:tcPr>
          <w:p w14:paraId="4D346013" w14:textId="77777777" w:rsidR="009A3C2D" w:rsidRPr="0082484A" w:rsidRDefault="009A3C2D" w:rsidP="00272145">
            <w:pPr>
              <w:jc w:val="both"/>
              <w:rPr>
                <w:color w:val="000000"/>
                <w:sz w:val="22"/>
                <w:szCs w:val="22"/>
              </w:rPr>
            </w:pPr>
            <w:r w:rsidRPr="0082484A">
              <w:rPr>
                <w:color w:val="000000"/>
                <w:sz w:val="22"/>
                <w:szCs w:val="22"/>
              </w:rPr>
              <w:t>Men:</w:t>
            </w:r>
          </w:p>
          <w:p w14:paraId="6D56998F" w14:textId="77777777" w:rsidR="009A3C2D" w:rsidRPr="0082484A" w:rsidRDefault="009A3C2D" w:rsidP="00272145">
            <w:pPr>
              <w:jc w:val="both"/>
              <w:rPr>
                <w:color w:val="000000"/>
                <w:sz w:val="22"/>
                <w:szCs w:val="22"/>
              </w:rPr>
            </w:pPr>
            <w:r w:rsidRPr="0082484A">
              <w:rPr>
                <w:color w:val="000000"/>
                <w:sz w:val="22"/>
                <w:szCs w:val="22"/>
              </w:rPr>
              <w:t>0.00075</w:t>
            </w:r>
          </w:p>
          <w:p w14:paraId="2E4DE8EE" w14:textId="77777777" w:rsidR="009A3C2D" w:rsidRPr="0082484A" w:rsidRDefault="009A3C2D" w:rsidP="00272145">
            <w:pPr>
              <w:jc w:val="both"/>
              <w:rPr>
                <w:color w:val="000000"/>
                <w:sz w:val="22"/>
                <w:szCs w:val="22"/>
              </w:rPr>
            </w:pPr>
            <w:r w:rsidRPr="0082484A">
              <w:rPr>
                <w:color w:val="000000"/>
                <w:sz w:val="22"/>
                <w:szCs w:val="22"/>
              </w:rPr>
              <w:t xml:space="preserve">Women: </w:t>
            </w:r>
          </w:p>
          <w:p w14:paraId="7DEDAE2D" w14:textId="77777777" w:rsidR="009A3C2D" w:rsidRPr="0082484A" w:rsidRDefault="009A3C2D" w:rsidP="00272145">
            <w:pPr>
              <w:jc w:val="both"/>
              <w:rPr>
                <w:color w:val="000000"/>
                <w:sz w:val="22"/>
                <w:szCs w:val="22"/>
              </w:rPr>
            </w:pPr>
            <w:r w:rsidRPr="0082484A">
              <w:rPr>
                <w:color w:val="000000"/>
                <w:sz w:val="22"/>
                <w:szCs w:val="22"/>
              </w:rPr>
              <w:t>0.0003</w:t>
            </w:r>
          </w:p>
        </w:tc>
        <w:tc>
          <w:tcPr>
            <w:tcW w:w="4553" w:type="dxa"/>
          </w:tcPr>
          <w:p w14:paraId="223FEBA3" w14:textId="77777777" w:rsidR="009A3C2D" w:rsidRPr="0082484A" w:rsidRDefault="009A3C2D" w:rsidP="00272145">
            <w:pPr>
              <w:pStyle w:val="Default"/>
              <w:rPr>
                <w:sz w:val="22"/>
                <w:szCs w:val="22"/>
              </w:rPr>
            </w:pPr>
            <w:r w:rsidRPr="0082484A">
              <w:rPr>
                <w:sz w:val="22"/>
                <w:szCs w:val="22"/>
              </w:rPr>
              <w:t>Assumed 75+ age group. Values adjusted to three monthly rates from the 10 years risk rate.</w:t>
            </w:r>
          </w:p>
        </w:tc>
      </w:tr>
      <w:tr w:rsidR="009A3C2D" w:rsidRPr="0082484A" w14:paraId="2D6027A3" w14:textId="77777777" w:rsidTr="00272145">
        <w:tc>
          <w:tcPr>
            <w:tcW w:w="1962" w:type="dxa"/>
          </w:tcPr>
          <w:p w14:paraId="650F6F97" w14:textId="77777777" w:rsidR="009A3C2D" w:rsidRPr="0082484A" w:rsidRDefault="009A3C2D" w:rsidP="00272145">
            <w:pPr>
              <w:spacing w:line="360" w:lineRule="auto"/>
              <w:jc w:val="right"/>
              <w:rPr>
                <w:sz w:val="22"/>
                <w:szCs w:val="22"/>
              </w:rPr>
            </w:pPr>
            <w:r w:rsidRPr="0082484A">
              <w:rPr>
                <w:sz w:val="22"/>
                <w:szCs w:val="22"/>
              </w:rPr>
              <w:t>9_1</w:t>
            </w:r>
          </w:p>
        </w:tc>
        <w:tc>
          <w:tcPr>
            <w:tcW w:w="1843" w:type="dxa"/>
          </w:tcPr>
          <w:p w14:paraId="1C38E23A" w14:textId="77777777" w:rsidR="009A3C2D" w:rsidRPr="0082484A" w:rsidRDefault="009A3C2D" w:rsidP="00272145">
            <w:pPr>
              <w:pStyle w:val="Default"/>
              <w:rPr>
                <w:sz w:val="22"/>
                <w:szCs w:val="22"/>
              </w:rPr>
            </w:pPr>
            <w:r w:rsidRPr="0082484A">
              <w:rPr>
                <w:sz w:val="22"/>
                <w:szCs w:val="22"/>
              </w:rPr>
              <w:t>Men &amp; Women: 0.31%</w:t>
            </w:r>
          </w:p>
        </w:tc>
        <w:tc>
          <w:tcPr>
            <w:tcW w:w="1985" w:type="dxa"/>
          </w:tcPr>
          <w:p w14:paraId="4D4B93E6" w14:textId="77777777" w:rsidR="009A3C2D" w:rsidRPr="0082484A" w:rsidRDefault="009A3C2D" w:rsidP="00272145">
            <w:pPr>
              <w:jc w:val="both"/>
              <w:rPr>
                <w:sz w:val="22"/>
                <w:szCs w:val="22"/>
              </w:rPr>
            </w:pPr>
            <w:r w:rsidRPr="0082484A">
              <w:rPr>
                <w:color w:val="000000"/>
                <w:sz w:val="22"/>
                <w:szCs w:val="22"/>
              </w:rPr>
              <w:t>0.00078</w:t>
            </w:r>
          </w:p>
        </w:tc>
        <w:tc>
          <w:tcPr>
            <w:tcW w:w="4553" w:type="dxa"/>
          </w:tcPr>
          <w:p w14:paraId="6775CDAC" w14:textId="1297BEA0" w:rsidR="009A3C2D" w:rsidRPr="0082484A" w:rsidRDefault="009A3C2D" w:rsidP="00952E85">
            <w:pPr>
              <w:pStyle w:val="Default"/>
              <w:rPr>
                <w:i/>
                <w:sz w:val="22"/>
                <w:szCs w:val="22"/>
              </w:rPr>
            </w:pPr>
            <w:r w:rsidRPr="0082484A">
              <w:rPr>
                <w:sz w:val="22"/>
                <w:szCs w:val="22"/>
              </w:rPr>
              <w:t xml:space="preserve">Assumed 66+ age group adjusted to three monthly rates from Ward </w:t>
            </w:r>
            <w:r w:rsidRPr="0082484A">
              <w:rPr>
                <w:i/>
                <w:sz w:val="22"/>
                <w:szCs w:val="22"/>
              </w:rPr>
              <w:t>et al</w:t>
            </w:r>
            <w:r w:rsidRPr="0082484A">
              <w:rPr>
                <w:sz w:val="22"/>
                <w:szCs w:val="22"/>
              </w:rPr>
              <w:t>.</w:t>
            </w:r>
            <w:r w:rsidRPr="0082484A">
              <w:rPr>
                <w:sz w:val="22"/>
                <w:szCs w:val="22"/>
              </w:rPr>
              <w:fldChar w:fldCharType="begin"/>
            </w:r>
            <w:r w:rsidR="00952E85" w:rsidRPr="0082484A">
              <w:rPr>
                <w:sz w:val="22"/>
                <w:szCs w:val="22"/>
              </w:rPr>
              <w:instrText xml:space="preserve"> ADDIN EN.CITE &lt;EndNote&gt;&lt;Cite&gt;&lt;Author&gt;Ward&lt;/Author&gt;&lt;Year&gt;2007&lt;/Year&gt;&lt;RecNum&gt;3311&lt;/RecNum&gt;&lt;DisplayText&gt;&lt;style face="superscript"&gt;14&lt;/style&gt;&lt;/DisplayText&gt;&lt;record&gt;&lt;rec-number&gt;3311&lt;/rec-number&gt;&lt;foreign-keys&gt;&lt;key app="EN" db-id="5srzarxr5dr9r5es2r7xst9lr9t2rewrpffr" timestamp="1516019274"&gt;3311&lt;/key&gt;&lt;/foreign-keys&gt;&lt;ref-type name="Journal Article"&gt;17&lt;/ref-type&gt;&lt;contributors&gt;&lt;authors&gt;&lt;author&gt;Ward, S.&lt;/author&gt;&lt;author&gt;Jones, M. L.&lt;/author&gt;&lt;author&gt;Pandor, A.&lt;/author&gt;&lt;author&gt;Holmes, M.&lt;/author&gt;&lt;author&gt;Ara, R.&lt;/author&gt;&lt;author&gt;Ryan, A.&lt;/author&gt;&lt;author&gt;Yeo, W.&lt;/author&gt;&lt;author&gt;Payne, N.&lt;/author&gt;&lt;/authors&gt;&lt;/contributors&gt;&lt;auth-address&gt;Univ Sheffield, Sch Hlth &amp;amp; Related Res, Sheffield S10 2TN, S Yorkshire, England&amp;#xD;Royal Hallamshire Hosp, Dept Clin Pharmacol &amp;amp; Therapeut, Sheffield S10 2JF, S Yorkshire, England&lt;/auth-address&gt;&lt;titles&gt;&lt;title&gt;A systematic review and economic evaluation of statins for the prevention of coronary events&lt;/title&gt;&lt;secondary-title&gt;Health Technology Assessment&lt;/secondary-title&gt;&lt;alt-title&gt;Health Technol Asses&lt;/alt-title&gt;&lt;/titles&gt;&lt;periodical&gt;&lt;full-title&gt;Health Technology Assessment&lt;/full-title&gt;&lt;/periodical&gt;&lt;pages&gt;1-+&lt;/pages&gt;&lt;volume&gt;11&lt;/volume&gt;&lt;number&gt;14&lt;/number&gt;&lt;keywords&gt;&lt;keyword&gt;density-lipoprotein-cholesterol&lt;/keyword&gt;&lt;keyword&gt;placebo-controlled trial&lt;/keyword&gt;&lt;keyword&gt;quality-of-life&lt;/keyword&gt;&lt;keyword&gt;randomized controlled-trial&lt;/keyword&gt;&lt;keyword&gt;c-reactive protein&lt;/keyword&gt;&lt;keyword&gt;scandinavian-simvastatin-survival&lt;/keyword&gt;&lt;keyword&gt;peripheral arterial-disease&lt;/keyword&gt;&lt;keyword&gt;acute myocardial-infarction&lt;/keyword&gt;&lt;keyword&gt;coa reductase inhibitor&lt;/keyword&gt;&lt;keyword&gt;double-blind trial&lt;/keyword&gt;&lt;/keywords&gt;&lt;dates&gt;&lt;year&gt;2007&lt;/year&gt;&lt;pub-dates&gt;&lt;date&gt;Apr&lt;/date&gt;&lt;/pub-dates&gt;&lt;/dates&gt;&lt;isbn&gt;1366-5278&lt;/isbn&gt;&lt;accession-num&gt;WOS:000246025000001&lt;/accession-num&gt;&lt;urls&gt;&lt;related-urls&gt;&lt;url&gt;&amp;lt;Go to ISI&amp;gt;://WOS:000246025000001&lt;/url&gt;&lt;/related-urls&gt;&lt;/urls&gt;&lt;electronic-resource-num&gt;10.3310/hta11140&lt;/electronic-resource-num&gt;&lt;language&gt;English&lt;/language&gt;&lt;/record&gt;&lt;/Cite&gt;&lt;/EndNote&gt;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14</w:t>
            </w:r>
            <w:r w:rsidRPr="0082484A">
              <w:rPr>
                <w:sz w:val="22"/>
                <w:szCs w:val="22"/>
              </w:rPr>
              <w:fldChar w:fldCharType="end"/>
            </w:r>
            <w:r w:rsidRPr="0082484A">
              <w:rPr>
                <w:sz w:val="22"/>
                <w:szCs w:val="22"/>
              </w:rPr>
              <w:t xml:space="preserve">  who estimated a 3.1 years risk rate. </w:t>
            </w:r>
          </w:p>
        </w:tc>
      </w:tr>
      <w:tr w:rsidR="009A3C2D" w:rsidRPr="0082484A" w14:paraId="5D22E0DE" w14:textId="77777777" w:rsidTr="00272145">
        <w:tc>
          <w:tcPr>
            <w:tcW w:w="1962" w:type="dxa"/>
          </w:tcPr>
          <w:p w14:paraId="5CDD5E1F" w14:textId="77777777" w:rsidR="009A3C2D" w:rsidRPr="0082484A" w:rsidRDefault="009A3C2D" w:rsidP="00272145">
            <w:pPr>
              <w:spacing w:line="360" w:lineRule="auto"/>
              <w:jc w:val="right"/>
              <w:rPr>
                <w:sz w:val="22"/>
                <w:szCs w:val="22"/>
              </w:rPr>
            </w:pPr>
            <w:r w:rsidRPr="0082484A">
              <w:rPr>
                <w:sz w:val="22"/>
                <w:szCs w:val="22"/>
              </w:rPr>
              <w:t>9_10</w:t>
            </w:r>
          </w:p>
        </w:tc>
        <w:tc>
          <w:tcPr>
            <w:tcW w:w="1843" w:type="dxa"/>
          </w:tcPr>
          <w:p w14:paraId="3370B729" w14:textId="77777777" w:rsidR="009A3C2D" w:rsidRPr="0082484A" w:rsidRDefault="009A3C2D" w:rsidP="00272145">
            <w:pPr>
              <w:pStyle w:val="Default"/>
              <w:jc w:val="both"/>
              <w:rPr>
                <w:sz w:val="22"/>
                <w:szCs w:val="22"/>
              </w:rPr>
            </w:pPr>
            <w:r w:rsidRPr="0082484A">
              <w:rPr>
                <w:sz w:val="22"/>
                <w:szCs w:val="22"/>
              </w:rPr>
              <w:t>Men:</w:t>
            </w:r>
          </w:p>
          <w:p w14:paraId="062F68F4" w14:textId="77777777" w:rsidR="009A3C2D" w:rsidRPr="0082484A" w:rsidRDefault="009A3C2D" w:rsidP="00272145">
            <w:pPr>
              <w:pStyle w:val="Default"/>
              <w:jc w:val="both"/>
              <w:rPr>
                <w:sz w:val="22"/>
                <w:szCs w:val="22"/>
              </w:rPr>
            </w:pPr>
            <w:r w:rsidRPr="0082484A">
              <w:rPr>
                <w:sz w:val="22"/>
                <w:szCs w:val="22"/>
              </w:rPr>
              <w:t>65-74y: 0.76%</w:t>
            </w:r>
          </w:p>
          <w:p w14:paraId="63DA0FF0" w14:textId="77777777" w:rsidR="009A3C2D" w:rsidRPr="0082484A" w:rsidRDefault="009A3C2D" w:rsidP="00272145">
            <w:pPr>
              <w:pStyle w:val="Default"/>
              <w:jc w:val="both"/>
              <w:rPr>
                <w:sz w:val="22"/>
                <w:szCs w:val="22"/>
              </w:rPr>
            </w:pPr>
            <w:r w:rsidRPr="0082484A">
              <w:rPr>
                <w:sz w:val="22"/>
                <w:szCs w:val="22"/>
              </w:rPr>
              <w:t>75+: 0.83%</w:t>
            </w:r>
          </w:p>
          <w:p w14:paraId="3FA245FA" w14:textId="77777777" w:rsidR="009A3C2D" w:rsidRPr="0082484A" w:rsidRDefault="009A3C2D" w:rsidP="00272145">
            <w:pPr>
              <w:pStyle w:val="Default"/>
              <w:jc w:val="both"/>
              <w:rPr>
                <w:sz w:val="22"/>
                <w:szCs w:val="22"/>
              </w:rPr>
            </w:pPr>
            <w:r w:rsidRPr="0082484A">
              <w:rPr>
                <w:sz w:val="22"/>
                <w:szCs w:val="22"/>
              </w:rPr>
              <w:t>Women:</w:t>
            </w:r>
          </w:p>
          <w:p w14:paraId="4F634EDA" w14:textId="77777777" w:rsidR="009A3C2D" w:rsidRPr="0082484A" w:rsidRDefault="009A3C2D" w:rsidP="00272145">
            <w:pPr>
              <w:pStyle w:val="Default"/>
              <w:jc w:val="both"/>
              <w:rPr>
                <w:sz w:val="22"/>
                <w:szCs w:val="22"/>
              </w:rPr>
            </w:pPr>
            <w:r w:rsidRPr="0082484A">
              <w:rPr>
                <w:sz w:val="22"/>
                <w:szCs w:val="22"/>
              </w:rPr>
              <w:t>65-74y: 0.50%</w:t>
            </w:r>
          </w:p>
          <w:p w14:paraId="2FD4E287" w14:textId="77777777" w:rsidR="009A3C2D" w:rsidRPr="0082484A" w:rsidRDefault="009A3C2D" w:rsidP="00272145">
            <w:pPr>
              <w:pStyle w:val="Default"/>
              <w:jc w:val="both"/>
              <w:rPr>
                <w:sz w:val="22"/>
                <w:szCs w:val="22"/>
              </w:rPr>
            </w:pPr>
            <w:r w:rsidRPr="0082484A">
              <w:rPr>
                <w:sz w:val="22"/>
                <w:szCs w:val="22"/>
              </w:rPr>
              <w:t>75+: 0.43%</w:t>
            </w:r>
          </w:p>
        </w:tc>
        <w:tc>
          <w:tcPr>
            <w:tcW w:w="1985" w:type="dxa"/>
          </w:tcPr>
          <w:p w14:paraId="15032D03" w14:textId="77777777" w:rsidR="009A3C2D" w:rsidRPr="0082484A" w:rsidRDefault="009A3C2D" w:rsidP="00272145">
            <w:pPr>
              <w:jc w:val="both"/>
              <w:rPr>
                <w:color w:val="000000"/>
                <w:sz w:val="22"/>
                <w:szCs w:val="22"/>
              </w:rPr>
            </w:pPr>
            <w:r w:rsidRPr="0082484A">
              <w:rPr>
                <w:color w:val="000000"/>
                <w:sz w:val="22"/>
                <w:szCs w:val="22"/>
              </w:rPr>
              <w:t>Men:</w:t>
            </w:r>
          </w:p>
          <w:p w14:paraId="35E28902" w14:textId="77777777" w:rsidR="009A3C2D" w:rsidRPr="0082484A" w:rsidRDefault="009A3C2D" w:rsidP="00272145">
            <w:pPr>
              <w:jc w:val="both"/>
              <w:rPr>
                <w:color w:val="000000"/>
                <w:sz w:val="22"/>
                <w:szCs w:val="22"/>
              </w:rPr>
            </w:pPr>
            <w:r w:rsidRPr="0082484A">
              <w:rPr>
                <w:sz w:val="22"/>
                <w:szCs w:val="22"/>
              </w:rPr>
              <w:t xml:space="preserve">65-74y: </w:t>
            </w:r>
            <w:r w:rsidRPr="0082484A">
              <w:rPr>
                <w:color w:val="000000"/>
                <w:sz w:val="22"/>
                <w:szCs w:val="22"/>
              </w:rPr>
              <w:t>0.002</w:t>
            </w:r>
          </w:p>
          <w:p w14:paraId="4EAEDF0D" w14:textId="77777777" w:rsidR="009A3C2D" w:rsidRPr="0082484A" w:rsidRDefault="009A3C2D" w:rsidP="00272145">
            <w:pPr>
              <w:jc w:val="both"/>
              <w:rPr>
                <w:color w:val="000000"/>
                <w:sz w:val="22"/>
                <w:szCs w:val="22"/>
              </w:rPr>
            </w:pPr>
            <w:r w:rsidRPr="0082484A">
              <w:rPr>
                <w:sz w:val="22"/>
                <w:szCs w:val="22"/>
              </w:rPr>
              <w:t xml:space="preserve">75+: </w:t>
            </w:r>
            <w:r w:rsidRPr="0082484A">
              <w:rPr>
                <w:color w:val="000000"/>
                <w:sz w:val="22"/>
                <w:szCs w:val="22"/>
              </w:rPr>
              <w:t>0.0021</w:t>
            </w:r>
          </w:p>
          <w:p w14:paraId="25AFE0F2" w14:textId="77777777" w:rsidR="009A3C2D" w:rsidRPr="0082484A" w:rsidRDefault="009A3C2D" w:rsidP="00272145">
            <w:pPr>
              <w:jc w:val="both"/>
              <w:rPr>
                <w:color w:val="000000"/>
                <w:sz w:val="22"/>
                <w:szCs w:val="22"/>
              </w:rPr>
            </w:pPr>
            <w:r w:rsidRPr="0082484A">
              <w:rPr>
                <w:color w:val="000000"/>
                <w:sz w:val="22"/>
                <w:szCs w:val="22"/>
              </w:rPr>
              <w:t xml:space="preserve">Women: </w:t>
            </w:r>
          </w:p>
          <w:p w14:paraId="67557AFB" w14:textId="77777777" w:rsidR="009A3C2D" w:rsidRPr="0082484A" w:rsidRDefault="009A3C2D" w:rsidP="00272145">
            <w:pPr>
              <w:jc w:val="both"/>
              <w:rPr>
                <w:color w:val="000000"/>
                <w:sz w:val="22"/>
                <w:szCs w:val="22"/>
              </w:rPr>
            </w:pPr>
            <w:r w:rsidRPr="0082484A">
              <w:rPr>
                <w:sz w:val="22"/>
                <w:szCs w:val="22"/>
              </w:rPr>
              <w:t xml:space="preserve">65-74y: </w:t>
            </w:r>
            <w:r w:rsidRPr="0082484A">
              <w:rPr>
                <w:color w:val="000000"/>
                <w:sz w:val="22"/>
                <w:szCs w:val="22"/>
              </w:rPr>
              <w:t>0.0012</w:t>
            </w:r>
          </w:p>
          <w:p w14:paraId="555BCB92" w14:textId="77777777" w:rsidR="009A3C2D" w:rsidRPr="0082484A" w:rsidRDefault="009A3C2D" w:rsidP="00272145">
            <w:pPr>
              <w:jc w:val="both"/>
              <w:rPr>
                <w:sz w:val="22"/>
                <w:szCs w:val="22"/>
              </w:rPr>
            </w:pPr>
            <w:r w:rsidRPr="0082484A">
              <w:rPr>
                <w:sz w:val="22"/>
                <w:szCs w:val="22"/>
              </w:rPr>
              <w:t xml:space="preserve">75+: </w:t>
            </w:r>
            <w:r w:rsidRPr="0082484A">
              <w:rPr>
                <w:color w:val="000000"/>
                <w:sz w:val="22"/>
                <w:szCs w:val="22"/>
              </w:rPr>
              <w:t>0.0011</w:t>
            </w:r>
          </w:p>
        </w:tc>
        <w:tc>
          <w:tcPr>
            <w:tcW w:w="4553" w:type="dxa"/>
          </w:tcPr>
          <w:p w14:paraId="3D9D7874" w14:textId="77777777" w:rsidR="009A3C2D" w:rsidRPr="0082484A" w:rsidRDefault="009A3C2D" w:rsidP="00272145">
            <w:pPr>
              <w:rPr>
                <w:sz w:val="22"/>
                <w:szCs w:val="22"/>
              </w:rPr>
            </w:pPr>
            <w:r w:rsidRPr="0082484A">
              <w:rPr>
                <w:sz w:val="22"/>
                <w:szCs w:val="22"/>
              </w:rPr>
              <w:t xml:space="preserve">Population average age of the patients 66. Values adjusted to three monthly rates from the 10 years risk rate for patients with diabetes. </w:t>
            </w:r>
          </w:p>
        </w:tc>
      </w:tr>
      <w:tr w:rsidR="009A3C2D" w:rsidRPr="0082484A" w14:paraId="1E957C49" w14:textId="77777777" w:rsidTr="00272145">
        <w:tc>
          <w:tcPr>
            <w:tcW w:w="1962" w:type="dxa"/>
          </w:tcPr>
          <w:p w14:paraId="1E197F9D" w14:textId="77777777" w:rsidR="009A3C2D" w:rsidRPr="0082484A" w:rsidRDefault="009A3C2D" w:rsidP="00272145">
            <w:pPr>
              <w:spacing w:line="360" w:lineRule="auto"/>
              <w:jc w:val="right"/>
              <w:rPr>
                <w:sz w:val="22"/>
                <w:szCs w:val="22"/>
              </w:rPr>
            </w:pPr>
            <w:r w:rsidRPr="0082484A">
              <w:rPr>
                <w:sz w:val="22"/>
                <w:szCs w:val="22"/>
              </w:rPr>
              <w:t>9_2</w:t>
            </w:r>
          </w:p>
        </w:tc>
        <w:tc>
          <w:tcPr>
            <w:tcW w:w="1843" w:type="dxa"/>
          </w:tcPr>
          <w:p w14:paraId="53417124" w14:textId="77777777" w:rsidR="009A3C2D" w:rsidRPr="0082484A" w:rsidRDefault="009A3C2D" w:rsidP="00272145">
            <w:pPr>
              <w:rPr>
                <w:sz w:val="22"/>
                <w:szCs w:val="22"/>
              </w:rPr>
            </w:pPr>
            <w:r w:rsidRPr="0082484A">
              <w:rPr>
                <w:sz w:val="22"/>
                <w:szCs w:val="22"/>
              </w:rPr>
              <w:t>Men &amp; Women: 0.35%</w:t>
            </w:r>
          </w:p>
        </w:tc>
        <w:tc>
          <w:tcPr>
            <w:tcW w:w="1985" w:type="dxa"/>
          </w:tcPr>
          <w:p w14:paraId="109E5A62" w14:textId="77777777" w:rsidR="009A3C2D" w:rsidRPr="0082484A" w:rsidRDefault="009A3C2D" w:rsidP="00272145">
            <w:pPr>
              <w:jc w:val="both"/>
              <w:rPr>
                <w:sz w:val="22"/>
                <w:szCs w:val="22"/>
              </w:rPr>
            </w:pPr>
            <w:r w:rsidRPr="0082484A">
              <w:rPr>
                <w:sz w:val="22"/>
                <w:szCs w:val="22"/>
              </w:rPr>
              <w:t>0.0009</w:t>
            </w:r>
          </w:p>
        </w:tc>
        <w:tc>
          <w:tcPr>
            <w:tcW w:w="4553" w:type="dxa"/>
          </w:tcPr>
          <w:p w14:paraId="25FE0F16" w14:textId="57577E6F" w:rsidR="009A3C2D" w:rsidRPr="0082484A" w:rsidRDefault="009A3C2D" w:rsidP="00952E85">
            <w:pPr>
              <w:rPr>
                <w:i/>
                <w:sz w:val="22"/>
                <w:szCs w:val="22"/>
              </w:rPr>
            </w:pPr>
            <w:r w:rsidRPr="0082484A">
              <w:rPr>
                <w:sz w:val="22"/>
                <w:szCs w:val="22"/>
              </w:rPr>
              <w:t xml:space="preserve">Population average age of the patients 66. Values adjusted to three monthly rates from the 10 years risk rate estimated in QRISK (Hippisley-Cox </w:t>
            </w:r>
            <w:r w:rsidRPr="0082484A">
              <w:rPr>
                <w:i/>
                <w:sz w:val="22"/>
                <w:szCs w:val="22"/>
              </w:rPr>
              <w:t>et al</w:t>
            </w:r>
            <w:r w:rsidRPr="0082484A">
              <w:rPr>
                <w:sz w:val="22"/>
                <w:szCs w:val="22"/>
              </w:rPr>
              <w:t>. 2017).</w:t>
            </w:r>
            <w:r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15</w:t>
            </w:r>
            <w:r w:rsidRPr="0082484A">
              <w:rPr>
                <w:sz w:val="22"/>
                <w:szCs w:val="22"/>
              </w:rPr>
              <w:fldChar w:fldCharType="end"/>
            </w:r>
            <w:r w:rsidRPr="0082484A">
              <w:rPr>
                <w:sz w:val="22"/>
                <w:szCs w:val="22"/>
              </w:rPr>
              <w:t xml:space="preserve"> </w:t>
            </w:r>
          </w:p>
        </w:tc>
      </w:tr>
      <w:tr w:rsidR="009A3C2D" w:rsidRPr="0082484A" w14:paraId="578B162D" w14:textId="77777777" w:rsidTr="00272145">
        <w:tc>
          <w:tcPr>
            <w:tcW w:w="1962" w:type="dxa"/>
          </w:tcPr>
          <w:p w14:paraId="67CDC652" w14:textId="77777777" w:rsidR="009A3C2D" w:rsidRPr="0082484A" w:rsidRDefault="009A3C2D" w:rsidP="00272145">
            <w:pPr>
              <w:spacing w:line="360" w:lineRule="auto"/>
              <w:jc w:val="right"/>
              <w:rPr>
                <w:sz w:val="22"/>
                <w:szCs w:val="22"/>
              </w:rPr>
            </w:pPr>
            <w:r w:rsidRPr="0082484A">
              <w:rPr>
                <w:sz w:val="22"/>
                <w:szCs w:val="22"/>
              </w:rPr>
              <w:t>9_5</w:t>
            </w:r>
          </w:p>
        </w:tc>
        <w:tc>
          <w:tcPr>
            <w:tcW w:w="1843" w:type="dxa"/>
          </w:tcPr>
          <w:p w14:paraId="5C3E34C5" w14:textId="77777777" w:rsidR="009A3C2D" w:rsidRPr="0082484A" w:rsidRDefault="009A3C2D" w:rsidP="00272145">
            <w:pPr>
              <w:jc w:val="both"/>
              <w:rPr>
                <w:sz w:val="22"/>
                <w:szCs w:val="22"/>
              </w:rPr>
            </w:pPr>
            <w:r w:rsidRPr="0082484A">
              <w:rPr>
                <w:sz w:val="22"/>
                <w:szCs w:val="22"/>
              </w:rPr>
              <w:t>Men: 0.40%</w:t>
            </w:r>
          </w:p>
          <w:p w14:paraId="597B4281" w14:textId="77777777" w:rsidR="009A3C2D" w:rsidRPr="0082484A" w:rsidRDefault="009A3C2D" w:rsidP="00272145">
            <w:pPr>
              <w:jc w:val="both"/>
              <w:rPr>
                <w:sz w:val="22"/>
                <w:szCs w:val="22"/>
              </w:rPr>
            </w:pPr>
            <w:r w:rsidRPr="0082484A">
              <w:rPr>
                <w:sz w:val="22"/>
                <w:szCs w:val="22"/>
              </w:rPr>
              <w:t>Women: 0.21%</w:t>
            </w:r>
          </w:p>
        </w:tc>
        <w:tc>
          <w:tcPr>
            <w:tcW w:w="1985" w:type="dxa"/>
          </w:tcPr>
          <w:p w14:paraId="68B34001" w14:textId="77777777" w:rsidR="009A3C2D" w:rsidRPr="0082484A" w:rsidRDefault="009A3C2D" w:rsidP="00272145">
            <w:pPr>
              <w:jc w:val="both"/>
              <w:rPr>
                <w:sz w:val="22"/>
                <w:szCs w:val="22"/>
              </w:rPr>
            </w:pPr>
            <w:r w:rsidRPr="0082484A">
              <w:rPr>
                <w:sz w:val="22"/>
                <w:szCs w:val="22"/>
              </w:rPr>
              <w:t>Men: 0.001</w:t>
            </w:r>
          </w:p>
          <w:p w14:paraId="3FAB4AD8" w14:textId="77777777" w:rsidR="009A3C2D" w:rsidRPr="0082484A" w:rsidRDefault="009A3C2D" w:rsidP="00272145">
            <w:pPr>
              <w:jc w:val="both"/>
              <w:rPr>
                <w:sz w:val="22"/>
                <w:szCs w:val="22"/>
              </w:rPr>
            </w:pPr>
            <w:r w:rsidRPr="0082484A">
              <w:rPr>
                <w:sz w:val="22"/>
                <w:szCs w:val="22"/>
              </w:rPr>
              <w:t>Women: 0.0005</w:t>
            </w:r>
          </w:p>
        </w:tc>
        <w:tc>
          <w:tcPr>
            <w:tcW w:w="4553" w:type="dxa"/>
          </w:tcPr>
          <w:p w14:paraId="29630A33" w14:textId="73195087" w:rsidR="009A3C2D" w:rsidRPr="0082484A" w:rsidRDefault="009A3C2D" w:rsidP="00952E85">
            <w:pPr>
              <w:rPr>
                <w:sz w:val="22"/>
                <w:szCs w:val="22"/>
              </w:rPr>
            </w:pPr>
            <w:r w:rsidRPr="0082484A">
              <w:rPr>
                <w:sz w:val="22"/>
                <w:szCs w:val="22"/>
              </w:rPr>
              <w:t xml:space="preserve">Population average age of the patients 66. Values adjusted to three monthly rates from the 10 years risk rate estimated in QRISK (Hippisley-Cox </w:t>
            </w:r>
            <w:r w:rsidRPr="0082484A">
              <w:rPr>
                <w:i/>
                <w:sz w:val="22"/>
                <w:szCs w:val="22"/>
              </w:rPr>
              <w:t>et al</w:t>
            </w:r>
            <w:r w:rsidRPr="0082484A">
              <w:rPr>
                <w:sz w:val="22"/>
                <w:szCs w:val="22"/>
              </w:rPr>
              <w:t>. 2017).</w:t>
            </w:r>
            <w:r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15</w:t>
            </w:r>
            <w:r w:rsidRPr="0082484A">
              <w:rPr>
                <w:sz w:val="22"/>
                <w:szCs w:val="22"/>
              </w:rPr>
              <w:fldChar w:fldCharType="end"/>
            </w:r>
            <w:r w:rsidRPr="0082484A">
              <w:rPr>
                <w:sz w:val="22"/>
                <w:szCs w:val="22"/>
              </w:rPr>
              <w:t xml:space="preserve"> </w:t>
            </w:r>
          </w:p>
        </w:tc>
      </w:tr>
      <w:tr w:rsidR="009A3C2D" w:rsidRPr="0082484A" w14:paraId="7C7E68C0" w14:textId="77777777" w:rsidTr="00272145">
        <w:tc>
          <w:tcPr>
            <w:tcW w:w="1962" w:type="dxa"/>
          </w:tcPr>
          <w:p w14:paraId="0DDE9969" w14:textId="77777777" w:rsidR="009A3C2D" w:rsidRPr="0082484A" w:rsidRDefault="009A3C2D" w:rsidP="00272145">
            <w:pPr>
              <w:spacing w:line="360" w:lineRule="auto"/>
              <w:jc w:val="right"/>
              <w:rPr>
                <w:sz w:val="22"/>
                <w:szCs w:val="22"/>
              </w:rPr>
            </w:pPr>
            <w:r w:rsidRPr="0082484A">
              <w:rPr>
                <w:sz w:val="22"/>
                <w:szCs w:val="22"/>
              </w:rPr>
              <w:t>9_6</w:t>
            </w:r>
          </w:p>
        </w:tc>
        <w:tc>
          <w:tcPr>
            <w:tcW w:w="1843" w:type="dxa"/>
          </w:tcPr>
          <w:p w14:paraId="2FB01B8D" w14:textId="77777777" w:rsidR="009A3C2D" w:rsidRPr="0082484A" w:rsidRDefault="009A3C2D" w:rsidP="00272145">
            <w:pPr>
              <w:rPr>
                <w:sz w:val="22"/>
                <w:szCs w:val="22"/>
              </w:rPr>
            </w:pPr>
            <w:r w:rsidRPr="0082484A">
              <w:rPr>
                <w:sz w:val="22"/>
                <w:szCs w:val="22"/>
              </w:rPr>
              <w:t>Men &amp; Women: 0.53%</w:t>
            </w:r>
          </w:p>
        </w:tc>
        <w:tc>
          <w:tcPr>
            <w:tcW w:w="1985" w:type="dxa"/>
          </w:tcPr>
          <w:p w14:paraId="121DB1DD" w14:textId="77777777" w:rsidR="009A3C2D" w:rsidRPr="0082484A" w:rsidRDefault="009A3C2D" w:rsidP="00272145">
            <w:pPr>
              <w:jc w:val="both"/>
              <w:rPr>
                <w:sz w:val="22"/>
                <w:szCs w:val="22"/>
              </w:rPr>
            </w:pPr>
            <w:r w:rsidRPr="0082484A">
              <w:rPr>
                <w:sz w:val="22"/>
                <w:szCs w:val="22"/>
              </w:rPr>
              <w:t>0.0013</w:t>
            </w:r>
          </w:p>
        </w:tc>
        <w:tc>
          <w:tcPr>
            <w:tcW w:w="4553" w:type="dxa"/>
          </w:tcPr>
          <w:p w14:paraId="183D2342" w14:textId="77777777" w:rsidR="009A3C2D" w:rsidRPr="0082484A" w:rsidRDefault="009A3C2D" w:rsidP="00272145">
            <w:pPr>
              <w:rPr>
                <w:i/>
                <w:sz w:val="22"/>
                <w:szCs w:val="22"/>
              </w:rPr>
            </w:pPr>
            <w:r w:rsidRPr="0082484A">
              <w:rPr>
                <w:sz w:val="22"/>
                <w:szCs w:val="22"/>
              </w:rPr>
              <w:t xml:space="preserve">Population average age of the patients 66. Values adjusted to three monthly rates from the 10 years risk rate reported in Ward </w:t>
            </w:r>
            <w:r w:rsidRPr="0082484A">
              <w:rPr>
                <w:i/>
                <w:sz w:val="22"/>
                <w:szCs w:val="22"/>
              </w:rPr>
              <w:t>et al</w:t>
            </w:r>
            <w:r w:rsidRPr="0082484A">
              <w:rPr>
                <w:sz w:val="22"/>
                <w:szCs w:val="22"/>
              </w:rPr>
              <w:t xml:space="preserve">. </w:t>
            </w:r>
          </w:p>
        </w:tc>
      </w:tr>
      <w:tr w:rsidR="009A3C2D" w:rsidRPr="0082484A" w14:paraId="6E3F3F28" w14:textId="77777777" w:rsidTr="00272145">
        <w:tc>
          <w:tcPr>
            <w:tcW w:w="1962" w:type="dxa"/>
          </w:tcPr>
          <w:p w14:paraId="18857C6C" w14:textId="77777777" w:rsidR="009A3C2D" w:rsidRPr="0082484A" w:rsidRDefault="009A3C2D" w:rsidP="00272145">
            <w:pPr>
              <w:spacing w:line="360" w:lineRule="auto"/>
              <w:jc w:val="right"/>
              <w:rPr>
                <w:sz w:val="22"/>
                <w:szCs w:val="22"/>
              </w:rPr>
            </w:pPr>
            <w:r w:rsidRPr="0082484A">
              <w:rPr>
                <w:sz w:val="22"/>
                <w:szCs w:val="22"/>
              </w:rPr>
              <w:t>9_7</w:t>
            </w:r>
          </w:p>
        </w:tc>
        <w:tc>
          <w:tcPr>
            <w:tcW w:w="1843" w:type="dxa"/>
          </w:tcPr>
          <w:p w14:paraId="5402F9A6" w14:textId="77777777" w:rsidR="009A3C2D" w:rsidRPr="0082484A" w:rsidRDefault="009A3C2D" w:rsidP="00272145">
            <w:pPr>
              <w:jc w:val="both"/>
              <w:rPr>
                <w:sz w:val="22"/>
                <w:szCs w:val="22"/>
              </w:rPr>
            </w:pPr>
            <w:r w:rsidRPr="0082484A">
              <w:rPr>
                <w:sz w:val="22"/>
                <w:szCs w:val="22"/>
              </w:rPr>
              <w:t xml:space="preserve">Men &amp; Women: </w:t>
            </w:r>
          </w:p>
          <w:p w14:paraId="11303AE9" w14:textId="77777777" w:rsidR="009A3C2D" w:rsidRPr="0082484A" w:rsidRDefault="009A3C2D" w:rsidP="00272145">
            <w:pPr>
              <w:jc w:val="both"/>
              <w:rPr>
                <w:sz w:val="22"/>
                <w:szCs w:val="22"/>
              </w:rPr>
            </w:pPr>
            <w:r w:rsidRPr="0082484A">
              <w:rPr>
                <w:sz w:val="22"/>
                <w:szCs w:val="22"/>
              </w:rPr>
              <w:t>0.61%</w:t>
            </w:r>
          </w:p>
        </w:tc>
        <w:tc>
          <w:tcPr>
            <w:tcW w:w="1985" w:type="dxa"/>
          </w:tcPr>
          <w:p w14:paraId="0250BBD0" w14:textId="77777777" w:rsidR="009A3C2D" w:rsidRPr="0082484A" w:rsidRDefault="009A3C2D" w:rsidP="00272145">
            <w:pPr>
              <w:jc w:val="both"/>
              <w:rPr>
                <w:sz w:val="22"/>
                <w:szCs w:val="22"/>
              </w:rPr>
            </w:pPr>
            <w:r w:rsidRPr="0082484A">
              <w:rPr>
                <w:sz w:val="22"/>
                <w:szCs w:val="22"/>
              </w:rPr>
              <w:t>0.0015</w:t>
            </w:r>
          </w:p>
        </w:tc>
        <w:tc>
          <w:tcPr>
            <w:tcW w:w="4553" w:type="dxa"/>
          </w:tcPr>
          <w:p w14:paraId="6E41D2C2" w14:textId="700240F4" w:rsidR="009A3C2D" w:rsidRPr="0082484A" w:rsidRDefault="009A3C2D" w:rsidP="00952E85">
            <w:pPr>
              <w:rPr>
                <w:i/>
                <w:sz w:val="22"/>
                <w:szCs w:val="22"/>
              </w:rPr>
            </w:pPr>
            <w:r w:rsidRPr="0082484A">
              <w:rPr>
                <w:sz w:val="22"/>
                <w:szCs w:val="22"/>
              </w:rPr>
              <w:t xml:space="preserve">Average age 66 years old. Values adjusted to three monthly risk from Data based on composite CVD outcomes (Myocardial infraction, ischaemic stroke or cardiovascular related death) per 1,000 persons years from Soriano C </w:t>
            </w:r>
            <w:r w:rsidRPr="0082484A">
              <w:rPr>
                <w:i/>
                <w:sz w:val="22"/>
                <w:szCs w:val="22"/>
              </w:rPr>
              <w:t>et al</w:t>
            </w:r>
            <w:r w:rsidRPr="0082484A">
              <w:rPr>
                <w:sz w:val="22"/>
                <w:szCs w:val="22"/>
              </w:rPr>
              <w:t>. (2017).</w:t>
            </w:r>
            <w:r w:rsidRPr="0082484A">
              <w:rPr>
                <w:sz w:val="22"/>
                <w:szCs w:val="22"/>
              </w:rPr>
              <w:fldChar w:fldCharType="begin">
                <w:fldData xml:space="preserve">PEVuZE5vdGU+PENpdGU+PEF1dGhvcj5Tb3JpYW5vPC9BdXRob3I+PFllYXI+MjAxNzwvWWVhcj48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PEVuZE5vdGU+PENpdGU+PEF1dGhvcj5Tb3JpYW5vPC9BdXRob3I+PFllYXI+MjAxNzwvWWVhcj48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16</w:t>
            </w:r>
            <w:r w:rsidRPr="0082484A">
              <w:rPr>
                <w:sz w:val="22"/>
                <w:szCs w:val="22"/>
              </w:rPr>
              <w:fldChar w:fldCharType="end"/>
            </w:r>
          </w:p>
        </w:tc>
      </w:tr>
      <w:tr w:rsidR="009A3C2D" w:rsidRPr="0082484A" w14:paraId="2B242770" w14:textId="77777777" w:rsidTr="00272145">
        <w:tc>
          <w:tcPr>
            <w:tcW w:w="1962" w:type="dxa"/>
          </w:tcPr>
          <w:p w14:paraId="0B66DAD8" w14:textId="77777777" w:rsidR="009A3C2D" w:rsidRPr="0082484A" w:rsidRDefault="009A3C2D" w:rsidP="00272145">
            <w:pPr>
              <w:spacing w:line="360" w:lineRule="auto"/>
              <w:jc w:val="right"/>
              <w:rPr>
                <w:i/>
                <w:sz w:val="22"/>
                <w:szCs w:val="22"/>
              </w:rPr>
            </w:pPr>
            <w:r w:rsidRPr="0082484A">
              <w:rPr>
                <w:i/>
                <w:sz w:val="22"/>
                <w:szCs w:val="22"/>
              </w:rPr>
              <w:t>Stroke</w:t>
            </w:r>
          </w:p>
        </w:tc>
        <w:tc>
          <w:tcPr>
            <w:tcW w:w="1843" w:type="dxa"/>
          </w:tcPr>
          <w:p w14:paraId="03E646F2" w14:textId="77777777" w:rsidR="009A3C2D" w:rsidRPr="0082484A" w:rsidRDefault="009A3C2D" w:rsidP="00272145">
            <w:pPr>
              <w:jc w:val="both"/>
              <w:rPr>
                <w:sz w:val="22"/>
                <w:szCs w:val="22"/>
              </w:rPr>
            </w:pPr>
          </w:p>
        </w:tc>
        <w:tc>
          <w:tcPr>
            <w:tcW w:w="1985" w:type="dxa"/>
          </w:tcPr>
          <w:p w14:paraId="343C676A" w14:textId="77777777" w:rsidR="009A3C2D" w:rsidRPr="0082484A" w:rsidRDefault="009A3C2D" w:rsidP="00272145">
            <w:pPr>
              <w:spacing w:line="360" w:lineRule="auto"/>
              <w:jc w:val="both"/>
              <w:rPr>
                <w:sz w:val="22"/>
                <w:szCs w:val="22"/>
              </w:rPr>
            </w:pPr>
          </w:p>
        </w:tc>
        <w:tc>
          <w:tcPr>
            <w:tcW w:w="4553" w:type="dxa"/>
          </w:tcPr>
          <w:p w14:paraId="0C581B83" w14:textId="77777777" w:rsidR="009A3C2D" w:rsidRPr="0082484A" w:rsidRDefault="009A3C2D" w:rsidP="00272145">
            <w:pPr>
              <w:jc w:val="both"/>
              <w:rPr>
                <w:i/>
                <w:sz w:val="22"/>
                <w:szCs w:val="22"/>
              </w:rPr>
            </w:pPr>
          </w:p>
        </w:tc>
      </w:tr>
      <w:tr w:rsidR="009A3C2D" w:rsidRPr="0082484A" w14:paraId="54E7A7F4" w14:textId="77777777" w:rsidTr="00272145">
        <w:tc>
          <w:tcPr>
            <w:tcW w:w="1962" w:type="dxa"/>
          </w:tcPr>
          <w:p w14:paraId="2509CC08" w14:textId="77777777" w:rsidR="009A3C2D" w:rsidRPr="0082484A" w:rsidRDefault="009A3C2D" w:rsidP="00272145">
            <w:pPr>
              <w:spacing w:line="360" w:lineRule="auto"/>
              <w:jc w:val="right"/>
              <w:rPr>
                <w:i/>
                <w:sz w:val="22"/>
                <w:szCs w:val="22"/>
              </w:rPr>
            </w:pPr>
            <w:r w:rsidRPr="0082484A">
              <w:rPr>
                <w:sz w:val="22"/>
                <w:szCs w:val="22"/>
              </w:rPr>
              <w:t>5_5</w:t>
            </w:r>
          </w:p>
        </w:tc>
        <w:tc>
          <w:tcPr>
            <w:tcW w:w="1843" w:type="dxa"/>
          </w:tcPr>
          <w:p w14:paraId="03E5084E" w14:textId="77777777" w:rsidR="009A3C2D" w:rsidRPr="0082484A" w:rsidRDefault="009A3C2D" w:rsidP="00272145">
            <w:pPr>
              <w:jc w:val="both"/>
              <w:rPr>
                <w:sz w:val="22"/>
                <w:szCs w:val="22"/>
                <w:lang w:val="es-MX"/>
              </w:rPr>
            </w:pPr>
            <w:r w:rsidRPr="0082484A">
              <w:rPr>
                <w:sz w:val="22"/>
                <w:szCs w:val="22"/>
                <w:lang w:val="es-MX"/>
              </w:rPr>
              <w:t>Men:</w:t>
            </w:r>
          </w:p>
          <w:p w14:paraId="047C5110" w14:textId="77777777" w:rsidR="009A3C2D" w:rsidRPr="0082484A" w:rsidRDefault="009A3C2D" w:rsidP="00272145">
            <w:pPr>
              <w:jc w:val="both"/>
              <w:rPr>
                <w:sz w:val="22"/>
                <w:szCs w:val="22"/>
                <w:lang w:val="es-MX"/>
              </w:rPr>
            </w:pPr>
            <w:r w:rsidRPr="0082484A">
              <w:rPr>
                <w:sz w:val="22"/>
                <w:szCs w:val="22"/>
                <w:lang w:val="es-MX"/>
              </w:rPr>
              <w:t>65-74y: 0.23%</w:t>
            </w:r>
          </w:p>
          <w:p w14:paraId="303E732F" w14:textId="77777777" w:rsidR="009A3C2D" w:rsidRPr="0082484A" w:rsidRDefault="009A3C2D" w:rsidP="00272145">
            <w:pPr>
              <w:jc w:val="both"/>
              <w:rPr>
                <w:sz w:val="22"/>
                <w:szCs w:val="22"/>
                <w:lang w:val="es-MX"/>
              </w:rPr>
            </w:pPr>
            <w:r w:rsidRPr="0082484A">
              <w:rPr>
                <w:sz w:val="22"/>
                <w:szCs w:val="22"/>
                <w:lang w:val="es-MX"/>
              </w:rPr>
              <w:t>75y: 0.30%</w:t>
            </w:r>
          </w:p>
          <w:p w14:paraId="66D59788" w14:textId="77777777" w:rsidR="009A3C2D" w:rsidRPr="0082484A" w:rsidRDefault="009A3C2D" w:rsidP="00272145">
            <w:pPr>
              <w:jc w:val="both"/>
              <w:rPr>
                <w:sz w:val="22"/>
                <w:szCs w:val="22"/>
                <w:lang w:val="es-MX"/>
              </w:rPr>
            </w:pPr>
            <w:r w:rsidRPr="0082484A">
              <w:rPr>
                <w:sz w:val="22"/>
                <w:szCs w:val="22"/>
                <w:lang w:val="es-MX"/>
              </w:rPr>
              <w:t xml:space="preserve">Women: </w:t>
            </w:r>
          </w:p>
          <w:p w14:paraId="2B2324DC" w14:textId="77777777" w:rsidR="009A3C2D" w:rsidRPr="0082484A" w:rsidRDefault="009A3C2D" w:rsidP="00272145">
            <w:pPr>
              <w:jc w:val="both"/>
              <w:rPr>
                <w:sz w:val="22"/>
                <w:szCs w:val="22"/>
                <w:lang w:val="es-MX"/>
              </w:rPr>
            </w:pPr>
            <w:r w:rsidRPr="0082484A">
              <w:rPr>
                <w:sz w:val="22"/>
                <w:szCs w:val="22"/>
                <w:lang w:val="es-MX"/>
              </w:rPr>
              <w:t>65-74y: 0.18%</w:t>
            </w:r>
          </w:p>
          <w:p w14:paraId="7E49C756" w14:textId="77777777" w:rsidR="009A3C2D" w:rsidRPr="0082484A" w:rsidRDefault="009A3C2D" w:rsidP="00272145">
            <w:pPr>
              <w:jc w:val="both"/>
              <w:rPr>
                <w:sz w:val="22"/>
                <w:szCs w:val="22"/>
              </w:rPr>
            </w:pPr>
            <w:r w:rsidRPr="0082484A">
              <w:rPr>
                <w:sz w:val="22"/>
                <w:szCs w:val="22"/>
              </w:rPr>
              <w:t>75y: 0.23%</w:t>
            </w:r>
          </w:p>
        </w:tc>
        <w:tc>
          <w:tcPr>
            <w:tcW w:w="1985" w:type="dxa"/>
          </w:tcPr>
          <w:p w14:paraId="6F713004" w14:textId="77777777" w:rsidR="009A3C2D" w:rsidRPr="0082484A" w:rsidRDefault="009A3C2D" w:rsidP="00272145">
            <w:pPr>
              <w:jc w:val="both"/>
              <w:rPr>
                <w:sz w:val="22"/>
                <w:szCs w:val="22"/>
              </w:rPr>
            </w:pPr>
            <w:r w:rsidRPr="0082484A">
              <w:rPr>
                <w:sz w:val="22"/>
                <w:szCs w:val="22"/>
              </w:rPr>
              <w:t>Men: 0.001</w:t>
            </w:r>
          </w:p>
          <w:p w14:paraId="644BFA5E" w14:textId="77777777" w:rsidR="009A3C2D" w:rsidRPr="0082484A" w:rsidRDefault="009A3C2D" w:rsidP="00272145">
            <w:pPr>
              <w:spacing w:line="360" w:lineRule="auto"/>
              <w:jc w:val="both"/>
              <w:rPr>
                <w:sz w:val="22"/>
                <w:szCs w:val="22"/>
              </w:rPr>
            </w:pPr>
            <w:r w:rsidRPr="0082484A">
              <w:rPr>
                <w:sz w:val="22"/>
                <w:szCs w:val="22"/>
              </w:rPr>
              <w:t>Women: 0.0004</w:t>
            </w:r>
          </w:p>
        </w:tc>
        <w:tc>
          <w:tcPr>
            <w:tcW w:w="4553" w:type="dxa"/>
          </w:tcPr>
          <w:p w14:paraId="51D0DE29" w14:textId="77777777" w:rsidR="009A3C2D" w:rsidRPr="0082484A" w:rsidRDefault="009A3C2D" w:rsidP="00272145">
            <w:pPr>
              <w:jc w:val="both"/>
              <w:rPr>
                <w:i/>
                <w:sz w:val="22"/>
                <w:szCs w:val="22"/>
              </w:rPr>
            </w:pPr>
            <w:r w:rsidRPr="0082484A">
              <w:rPr>
                <w:sz w:val="22"/>
                <w:szCs w:val="22"/>
              </w:rPr>
              <w:t xml:space="preserve">Population average age of the patients 66. Values adjusted to three monthly rates from the 10 years risk rate. </w:t>
            </w:r>
          </w:p>
        </w:tc>
      </w:tr>
      <w:tr w:rsidR="009A3C2D" w:rsidRPr="0082484A" w14:paraId="6268C085" w14:textId="77777777" w:rsidTr="00272145">
        <w:tc>
          <w:tcPr>
            <w:tcW w:w="1962" w:type="dxa"/>
          </w:tcPr>
          <w:p w14:paraId="56232C68" w14:textId="77777777" w:rsidR="009A3C2D" w:rsidRPr="0082484A" w:rsidRDefault="009A3C2D" w:rsidP="00272145">
            <w:pPr>
              <w:spacing w:line="360" w:lineRule="auto"/>
              <w:jc w:val="right"/>
              <w:rPr>
                <w:i/>
                <w:sz w:val="22"/>
                <w:szCs w:val="22"/>
              </w:rPr>
            </w:pPr>
            <w:r w:rsidRPr="0082484A">
              <w:rPr>
                <w:sz w:val="22"/>
                <w:szCs w:val="22"/>
              </w:rPr>
              <w:t>5_6</w:t>
            </w:r>
          </w:p>
        </w:tc>
        <w:tc>
          <w:tcPr>
            <w:tcW w:w="1843" w:type="dxa"/>
          </w:tcPr>
          <w:p w14:paraId="1E6B79C9" w14:textId="77777777" w:rsidR="009A3C2D" w:rsidRPr="0082484A" w:rsidRDefault="009A3C2D" w:rsidP="00272145">
            <w:pPr>
              <w:rPr>
                <w:sz w:val="22"/>
                <w:szCs w:val="22"/>
              </w:rPr>
            </w:pPr>
            <w:r w:rsidRPr="0082484A">
              <w:rPr>
                <w:sz w:val="22"/>
                <w:szCs w:val="22"/>
              </w:rPr>
              <w:t>Men: 0.30%</w:t>
            </w:r>
          </w:p>
          <w:p w14:paraId="1C2BCBFE" w14:textId="77777777" w:rsidR="009A3C2D" w:rsidRPr="0082484A" w:rsidRDefault="009A3C2D" w:rsidP="00272145">
            <w:pPr>
              <w:rPr>
                <w:sz w:val="22"/>
                <w:szCs w:val="22"/>
              </w:rPr>
            </w:pPr>
            <w:r w:rsidRPr="0082484A">
              <w:rPr>
                <w:sz w:val="22"/>
                <w:szCs w:val="22"/>
              </w:rPr>
              <w:t>Women: 0.23%</w:t>
            </w:r>
          </w:p>
        </w:tc>
        <w:tc>
          <w:tcPr>
            <w:tcW w:w="1985" w:type="dxa"/>
          </w:tcPr>
          <w:p w14:paraId="573D9D0C" w14:textId="77777777" w:rsidR="009A3C2D" w:rsidRPr="0082484A" w:rsidRDefault="009A3C2D" w:rsidP="00272145">
            <w:pPr>
              <w:jc w:val="both"/>
              <w:rPr>
                <w:sz w:val="22"/>
                <w:szCs w:val="22"/>
              </w:rPr>
            </w:pPr>
            <w:r w:rsidRPr="0082484A">
              <w:rPr>
                <w:sz w:val="22"/>
                <w:szCs w:val="22"/>
              </w:rPr>
              <w:t>Men: 0.001</w:t>
            </w:r>
          </w:p>
          <w:p w14:paraId="71BEC407" w14:textId="77777777" w:rsidR="009A3C2D" w:rsidRPr="0082484A" w:rsidRDefault="009A3C2D" w:rsidP="00272145">
            <w:pPr>
              <w:jc w:val="both"/>
              <w:rPr>
                <w:sz w:val="22"/>
                <w:szCs w:val="22"/>
              </w:rPr>
            </w:pPr>
            <w:r w:rsidRPr="0082484A">
              <w:rPr>
                <w:sz w:val="22"/>
                <w:szCs w:val="22"/>
              </w:rPr>
              <w:t>Women: 0.0005</w:t>
            </w:r>
          </w:p>
        </w:tc>
        <w:tc>
          <w:tcPr>
            <w:tcW w:w="4553" w:type="dxa"/>
          </w:tcPr>
          <w:p w14:paraId="3E73253F" w14:textId="77777777" w:rsidR="009A3C2D" w:rsidRPr="0082484A" w:rsidRDefault="009A3C2D" w:rsidP="00272145">
            <w:pPr>
              <w:rPr>
                <w:i/>
                <w:sz w:val="22"/>
                <w:szCs w:val="22"/>
              </w:rPr>
            </w:pPr>
            <w:r w:rsidRPr="0082484A">
              <w:rPr>
                <w:sz w:val="22"/>
                <w:szCs w:val="22"/>
              </w:rPr>
              <w:t>Assumed that of the 75+ age group. Values adjusted to three monthly rates from the 10 years risk rate</w:t>
            </w:r>
            <w:r w:rsidRPr="0082484A">
              <w:rPr>
                <w:color w:val="000000"/>
                <w:sz w:val="22"/>
                <w:szCs w:val="22"/>
              </w:rPr>
              <w:t>.</w:t>
            </w:r>
            <w:r w:rsidRPr="0082484A">
              <w:rPr>
                <w:sz w:val="22"/>
                <w:szCs w:val="22"/>
              </w:rPr>
              <w:t xml:space="preserve"> </w:t>
            </w:r>
          </w:p>
        </w:tc>
      </w:tr>
      <w:tr w:rsidR="009A3C2D" w:rsidRPr="0082484A" w14:paraId="6566874B" w14:textId="77777777" w:rsidTr="00272145">
        <w:tc>
          <w:tcPr>
            <w:tcW w:w="1962" w:type="dxa"/>
          </w:tcPr>
          <w:p w14:paraId="67AE97F7" w14:textId="77777777" w:rsidR="009A3C2D" w:rsidRPr="0082484A" w:rsidRDefault="009A3C2D" w:rsidP="00272145">
            <w:pPr>
              <w:spacing w:line="360" w:lineRule="auto"/>
              <w:jc w:val="right"/>
              <w:rPr>
                <w:i/>
                <w:sz w:val="22"/>
                <w:szCs w:val="22"/>
              </w:rPr>
            </w:pPr>
            <w:r w:rsidRPr="0082484A">
              <w:rPr>
                <w:sz w:val="22"/>
                <w:szCs w:val="22"/>
              </w:rPr>
              <w:t>9_1</w:t>
            </w:r>
          </w:p>
        </w:tc>
        <w:tc>
          <w:tcPr>
            <w:tcW w:w="1843" w:type="dxa"/>
          </w:tcPr>
          <w:p w14:paraId="3008BCEB" w14:textId="77777777" w:rsidR="009A3C2D" w:rsidRPr="0082484A" w:rsidRDefault="009A3C2D" w:rsidP="00272145">
            <w:pPr>
              <w:rPr>
                <w:sz w:val="22"/>
                <w:szCs w:val="22"/>
              </w:rPr>
            </w:pPr>
            <w:r w:rsidRPr="0082484A">
              <w:rPr>
                <w:sz w:val="22"/>
                <w:szCs w:val="22"/>
              </w:rPr>
              <w:t>Men &amp; Women</w:t>
            </w:r>
          </w:p>
          <w:p w14:paraId="5A444335" w14:textId="77777777" w:rsidR="009A3C2D" w:rsidRPr="0082484A" w:rsidRDefault="009A3C2D" w:rsidP="00272145">
            <w:pPr>
              <w:rPr>
                <w:sz w:val="22"/>
                <w:szCs w:val="22"/>
              </w:rPr>
            </w:pPr>
            <w:r w:rsidRPr="0082484A">
              <w:rPr>
                <w:sz w:val="22"/>
                <w:szCs w:val="22"/>
              </w:rPr>
              <w:t>0.96%</w:t>
            </w:r>
          </w:p>
        </w:tc>
        <w:tc>
          <w:tcPr>
            <w:tcW w:w="1985" w:type="dxa"/>
          </w:tcPr>
          <w:p w14:paraId="07D33F2B" w14:textId="77777777" w:rsidR="009A3C2D" w:rsidRPr="0082484A" w:rsidRDefault="009A3C2D" w:rsidP="00272145">
            <w:pPr>
              <w:jc w:val="both"/>
              <w:rPr>
                <w:sz w:val="22"/>
                <w:szCs w:val="22"/>
              </w:rPr>
            </w:pPr>
            <w:r w:rsidRPr="0082484A">
              <w:rPr>
                <w:sz w:val="22"/>
                <w:szCs w:val="22"/>
              </w:rPr>
              <w:t>0.0023</w:t>
            </w:r>
          </w:p>
        </w:tc>
        <w:tc>
          <w:tcPr>
            <w:tcW w:w="4553" w:type="dxa"/>
          </w:tcPr>
          <w:p w14:paraId="4E2B1236" w14:textId="77777777" w:rsidR="009A3C2D" w:rsidRPr="0082484A" w:rsidRDefault="009A3C2D" w:rsidP="00272145">
            <w:pPr>
              <w:rPr>
                <w:i/>
                <w:sz w:val="22"/>
                <w:szCs w:val="22"/>
              </w:rPr>
            </w:pPr>
            <w:r w:rsidRPr="0082484A">
              <w:rPr>
                <w:sz w:val="22"/>
                <w:szCs w:val="22"/>
              </w:rPr>
              <w:t xml:space="preserve">Assumed that of the 66+ age group adjusted to three monthly rates from Ward </w:t>
            </w:r>
            <w:r w:rsidRPr="0082484A">
              <w:rPr>
                <w:i/>
                <w:sz w:val="22"/>
                <w:szCs w:val="22"/>
              </w:rPr>
              <w:t>et al</w:t>
            </w:r>
            <w:r w:rsidRPr="0082484A">
              <w:rPr>
                <w:sz w:val="22"/>
                <w:szCs w:val="22"/>
              </w:rPr>
              <w:t xml:space="preserve">. who estimated a 3.1 years risk rate. </w:t>
            </w:r>
          </w:p>
        </w:tc>
      </w:tr>
      <w:tr w:rsidR="009A3C2D" w:rsidRPr="0082484A" w14:paraId="425DD789" w14:textId="77777777" w:rsidTr="00272145">
        <w:tc>
          <w:tcPr>
            <w:tcW w:w="1962" w:type="dxa"/>
          </w:tcPr>
          <w:p w14:paraId="296134BE" w14:textId="77777777" w:rsidR="009A3C2D" w:rsidRPr="0082484A" w:rsidRDefault="009A3C2D" w:rsidP="00272145">
            <w:pPr>
              <w:spacing w:line="360" w:lineRule="auto"/>
              <w:jc w:val="right"/>
              <w:rPr>
                <w:i/>
                <w:sz w:val="22"/>
                <w:szCs w:val="22"/>
              </w:rPr>
            </w:pPr>
            <w:r w:rsidRPr="0082484A">
              <w:rPr>
                <w:sz w:val="22"/>
                <w:szCs w:val="22"/>
              </w:rPr>
              <w:t>9_10</w:t>
            </w:r>
          </w:p>
        </w:tc>
        <w:tc>
          <w:tcPr>
            <w:tcW w:w="1843" w:type="dxa"/>
          </w:tcPr>
          <w:p w14:paraId="11313777" w14:textId="77777777" w:rsidR="009A3C2D" w:rsidRPr="0082484A" w:rsidRDefault="009A3C2D" w:rsidP="00272145">
            <w:pPr>
              <w:rPr>
                <w:sz w:val="22"/>
                <w:szCs w:val="22"/>
                <w:lang w:val="es-MX"/>
              </w:rPr>
            </w:pPr>
            <w:r w:rsidRPr="0082484A">
              <w:rPr>
                <w:sz w:val="22"/>
                <w:szCs w:val="22"/>
                <w:lang w:val="es-MX"/>
              </w:rPr>
              <w:t>Men:</w:t>
            </w:r>
          </w:p>
          <w:p w14:paraId="28298CED" w14:textId="77777777" w:rsidR="009A3C2D" w:rsidRPr="0082484A" w:rsidRDefault="009A3C2D" w:rsidP="00272145">
            <w:pPr>
              <w:rPr>
                <w:sz w:val="22"/>
                <w:szCs w:val="22"/>
                <w:lang w:val="es-MX"/>
              </w:rPr>
            </w:pPr>
            <w:r w:rsidRPr="0082484A">
              <w:rPr>
                <w:sz w:val="22"/>
                <w:szCs w:val="22"/>
                <w:lang w:val="es-MX"/>
              </w:rPr>
              <w:t>65-74y: 0.34%</w:t>
            </w:r>
          </w:p>
          <w:p w14:paraId="5D101884" w14:textId="77777777" w:rsidR="009A3C2D" w:rsidRPr="0082484A" w:rsidRDefault="009A3C2D" w:rsidP="00272145">
            <w:pPr>
              <w:rPr>
                <w:sz w:val="22"/>
                <w:szCs w:val="22"/>
                <w:lang w:val="es-MX"/>
              </w:rPr>
            </w:pPr>
            <w:r w:rsidRPr="0082484A">
              <w:rPr>
                <w:sz w:val="22"/>
                <w:szCs w:val="22"/>
                <w:lang w:val="es-MX"/>
              </w:rPr>
              <w:t>0.45%</w:t>
            </w:r>
          </w:p>
          <w:p w14:paraId="4D89778A" w14:textId="77777777" w:rsidR="009A3C2D" w:rsidRPr="0082484A" w:rsidRDefault="009A3C2D" w:rsidP="00272145">
            <w:pPr>
              <w:rPr>
                <w:sz w:val="22"/>
                <w:szCs w:val="22"/>
                <w:lang w:val="es-MX"/>
              </w:rPr>
            </w:pPr>
            <w:r w:rsidRPr="0082484A">
              <w:rPr>
                <w:sz w:val="22"/>
                <w:szCs w:val="22"/>
                <w:lang w:val="es-MX"/>
              </w:rPr>
              <w:t>Women:</w:t>
            </w:r>
          </w:p>
          <w:p w14:paraId="2DBBBF14" w14:textId="77777777" w:rsidR="009A3C2D" w:rsidRPr="0082484A" w:rsidRDefault="009A3C2D" w:rsidP="00272145">
            <w:pPr>
              <w:rPr>
                <w:sz w:val="22"/>
                <w:szCs w:val="22"/>
                <w:lang w:val="es-MX"/>
              </w:rPr>
            </w:pPr>
            <w:r w:rsidRPr="0082484A">
              <w:rPr>
                <w:sz w:val="22"/>
                <w:szCs w:val="22"/>
                <w:lang w:val="es-MX"/>
              </w:rPr>
              <w:t>65-74y: 0.38%</w:t>
            </w:r>
          </w:p>
          <w:p w14:paraId="169E22DB" w14:textId="77777777" w:rsidR="009A3C2D" w:rsidRPr="0082484A" w:rsidRDefault="009A3C2D" w:rsidP="00272145">
            <w:pPr>
              <w:rPr>
                <w:sz w:val="22"/>
                <w:szCs w:val="22"/>
                <w:lang w:val="es-MX"/>
              </w:rPr>
            </w:pPr>
            <w:r w:rsidRPr="0082484A">
              <w:rPr>
                <w:sz w:val="22"/>
                <w:szCs w:val="22"/>
                <w:lang w:val="es-MX"/>
              </w:rPr>
              <w:t>65-74y: 0.48%</w:t>
            </w:r>
          </w:p>
        </w:tc>
        <w:tc>
          <w:tcPr>
            <w:tcW w:w="1985" w:type="dxa"/>
          </w:tcPr>
          <w:p w14:paraId="4BABF510" w14:textId="77777777" w:rsidR="009A3C2D" w:rsidRPr="0082484A" w:rsidRDefault="009A3C2D" w:rsidP="00272145">
            <w:pPr>
              <w:jc w:val="both"/>
              <w:rPr>
                <w:sz w:val="22"/>
                <w:szCs w:val="22"/>
              </w:rPr>
            </w:pPr>
            <w:r w:rsidRPr="0082484A">
              <w:rPr>
                <w:sz w:val="22"/>
                <w:szCs w:val="22"/>
              </w:rPr>
              <w:t>Men:</w:t>
            </w:r>
          </w:p>
          <w:p w14:paraId="1EE547EC" w14:textId="77777777" w:rsidR="009A3C2D" w:rsidRPr="0082484A" w:rsidRDefault="009A3C2D" w:rsidP="00272145">
            <w:pPr>
              <w:jc w:val="both"/>
              <w:rPr>
                <w:sz w:val="22"/>
                <w:szCs w:val="22"/>
              </w:rPr>
            </w:pPr>
            <w:r w:rsidRPr="0082484A">
              <w:rPr>
                <w:sz w:val="22"/>
                <w:szCs w:val="22"/>
              </w:rPr>
              <w:t>65-74y: 0.008</w:t>
            </w:r>
          </w:p>
          <w:p w14:paraId="5D04EBCB" w14:textId="77777777" w:rsidR="009A3C2D" w:rsidRPr="0082484A" w:rsidRDefault="009A3C2D" w:rsidP="00272145">
            <w:pPr>
              <w:jc w:val="both"/>
              <w:rPr>
                <w:sz w:val="22"/>
                <w:szCs w:val="22"/>
              </w:rPr>
            </w:pPr>
            <w:r w:rsidRPr="0082484A">
              <w:rPr>
                <w:sz w:val="22"/>
                <w:szCs w:val="22"/>
              </w:rPr>
              <w:t>75+: 0.0011</w:t>
            </w:r>
          </w:p>
          <w:p w14:paraId="20D6BA64" w14:textId="77777777" w:rsidR="009A3C2D" w:rsidRPr="0082484A" w:rsidRDefault="009A3C2D" w:rsidP="00272145">
            <w:pPr>
              <w:jc w:val="both"/>
              <w:rPr>
                <w:sz w:val="22"/>
                <w:szCs w:val="22"/>
              </w:rPr>
            </w:pPr>
            <w:r w:rsidRPr="0082484A">
              <w:rPr>
                <w:sz w:val="22"/>
                <w:szCs w:val="22"/>
              </w:rPr>
              <w:t xml:space="preserve">Women: </w:t>
            </w:r>
          </w:p>
          <w:p w14:paraId="68B95A87" w14:textId="77777777" w:rsidR="009A3C2D" w:rsidRPr="0082484A" w:rsidRDefault="009A3C2D" w:rsidP="00272145">
            <w:pPr>
              <w:jc w:val="both"/>
              <w:rPr>
                <w:sz w:val="22"/>
                <w:szCs w:val="22"/>
              </w:rPr>
            </w:pPr>
            <w:r w:rsidRPr="0082484A">
              <w:rPr>
                <w:sz w:val="22"/>
                <w:szCs w:val="22"/>
              </w:rPr>
              <w:t>65-74y: 0.009</w:t>
            </w:r>
          </w:p>
          <w:p w14:paraId="29D2E2D5" w14:textId="77777777" w:rsidR="009A3C2D" w:rsidRPr="0082484A" w:rsidRDefault="009A3C2D" w:rsidP="00272145">
            <w:pPr>
              <w:jc w:val="both"/>
              <w:rPr>
                <w:sz w:val="22"/>
                <w:szCs w:val="22"/>
              </w:rPr>
            </w:pPr>
            <w:r w:rsidRPr="0082484A">
              <w:rPr>
                <w:sz w:val="22"/>
                <w:szCs w:val="22"/>
              </w:rPr>
              <w:t>75+: 0.0012</w:t>
            </w:r>
          </w:p>
        </w:tc>
        <w:tc>
          <w:tcPr>
            <w:tcW w:w="4553" w:type="dxa"/>
          </w:tcPr>
          <w:p w14:paraId="1A54CD8A" w14:textId="77777777" w:rsidR="009A3C2D" w:rsidRPr="0082484A" w:rsidRDefault="009A3C2D" w:rsidP="00272145">
            <w:pPr>
              <w:rPr>
                <w:i/>
                <w:sz w:val="22"/>
                <w:szCs w:val="22"/>
              </w:rPr>
            </w:pPr>
            <w:r w:rsidRPr="0082484A">
              <w:rPr>
                <w:sz w:val="22"/>
                <w:szCs w:val="22"/>
              </w:rPr>
              <w:t xml:space="preserve">Population average age of the patients 66. Values adjusted to three monthly rates from the 10 years risk rate for patients with diabetes. </w:t>
            </w:r>
          </w:p>
        </w:tc>
      </w:tr>
      <w:tr w:rsidR="009A3C2D" w:rsidRPr="0082484A" w14:paraId="54713069" w14:textId="77777777" w:rsidTr="00272145">
        <w:tc>
          <w:tcPr>
            <w:tcW w:w="1962" w:type="dxa"/>
          </w:tcPr>
          <w:p w14:paraId="252289A6" w14:textId="77777777" w:rsidR="009A3C2D" w:rsidRPr="0082484A" w:rsidRDefault="009A3C2D" w:rsidP="00272145">
            <w:pPr>
              <w:spacing w:line="360" w:lineRule="auto"/>
              <w:jc w:val="right"/>
              <w:rPr>
                <w:i/>
                <w:sz w:val="22"/>
                <w:szCs w:val="22"/>
              </w:rPr>
            </w:pPr>
            <w:r w:rsidRPr="0082484A">
              <w:rPr>
                <w:sz w:val="22"/>
                <w:szCs w:val="22"/>
              </w:rPr>
              <w:t>9_2</w:t>
            </w:r>
          </w:p>
        </w:tc>
        <w:tc>
          <w:tcPr>
            <w:tcW w:w="1843" w:type="dxa"/>
          </w:tcPr>
          <w:p w14:paraId="390767D7" w14:textId="77777777" w:rsidR="009A3C2D" w:rsidRPr="0082484A" w:rsidRDefault="009A3C2D" w:rsidP="00272145">
            <w:pPr>
              <w:rPr>
                <w:sz w:val="22"/>
                <w:szCs w:val="22"/>
              </w:rPr>
            </w:pPr>
            <w:r w:rsidRPr="0082484A">
              <w:rPr>
                <w:sz w:val="22"/>
                <w:szCs w:val="22"/>
              </w:rPr>
              <w:t>Men &amp; Women: 0.20%</w:t>
            </w:r>
          </w:p>
        </w:tc>
        <w:tc>
          <w:tcPr>
            <w:tcW w:w="1985" w:type="dxa"/>
          </w:tcPr>
          <w:p w14:paraId="6C278855" w14:textId="77777777" w:rsidR="009A3C2D" w:rsidRPr="0082484A" w:rsidRDefault="009A3C2D" w:rsidP="00272145">
            <w:pPr>
              <w:jc w:val="both"/>
              <w:rPr>
                <w:sz w:val="22"/>
                <w:szCs w:val="22"/>
              </w:rPr>
            </w:pPr>
            <w:r w:rsidRPr="0082484A">
              <w:rPr>
                <w:sz w:val="22"/>
                <w:szCs w:val="22"/>
              </w:rPr>
              <w:t>0.0005</w:t>
            </w:r>
          </w:p>
        </w:tc>
        <w:tc>
          <w:tcPr>
            <w:tcW w:w="4553" w:type="dxa"/>
          </w:tcPr>
          <w:p w14:paraId="43A60DEE" w14:textId="22F82EB1" w:rsidR="009A3C2D" w:rsidRPr="0082484A" w:rsidRDefault="009A3C2D" w:rsidP="00952E85">
            <w:pPr>
              <w:rPr>
                <w:i/>
                <w:sz w:val="22"/>
                <w:szCs w:val="22"/>
              </w:rPr>
            </w:pPr>
            <w:r w:rsidRPr="0082484A">
              <w:rPr>
                <w:sz w:val="22"/>
                <w:szCs w:val="22"/>
              </w:rPr>
              <w:t xml:space="preserve">Population average age of the patients 66. Values adjusted to three monthly rates from the 10 years risk rate estimated in QRISK3 (Hippisley-Cox </w:t>
            </w:r>
            <w:r w:rsidRPr="0082484A">
              <w:rPr>
                <w:i/>
                <w:sz w:val="22"/>
                <w:szCs w:val="22"/>
              </w:rPr>
              <w:t>et al</w:t>
            </w:r>
            <w:r w:rsidRPr="0082484A">
              <w:rPr>
                <w:sz w:val="22"/>
                <w:szCs w:val="22"/>
              </w:rPr>
              <w:t>. 2017).</w:t>
            </w:r>
            <w:r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15</w:t>
            </w:r>
            <w:r w:rsidRPr="0082484A">
              <w:rPr>
                <w:sz w:val="22"/>
                <w:szCs w:val="22"/>
              </w:rPr>
              <w:fldChar w:fldCharType="end"/>
            </w:r>
            <w:r w:rsidRPr="0082484A">
              <w:rPr>
                <w:sz w:val="22"/>
                <w:szCs w:val="22"/>
              </w:rPr>
              <w:t xml:space="preserve"> </w:t>
            </w:r>
          </w:p>
        </w:tc>
      </w:tr>
      <w:tr w:rsidR="009A3C2D" w:rsidRPr="0082484A" w14:paraId="461CC8F3" w14:textId="77777777" w:rsidTr="00272145">
        <w:tc>
          <w:tcPr>
            <w:tcW w:w="1962" w:type="dxa"/>
          </w:tcPr>
          <w:p w14:paraId="155B1AE4" w14:textId="77777777" w:rsidR="009A3C2D" w:rsidRPr="0082484A" w:rsidRDefault="009A3C2D" w:rsidP="00272145">
            <w:pPr>
              <w:spacing w:line="360" w:lineRule="auto"/>
              <w:jc w:val="right"/>
              <w:rPr>
                <w:i/>
                <w:sz w:val="22"/>
                <w:szCs w:val="22"/>
              </w:rPr>
            </w:pPr>
            <w:r w:rsidRPr="0082484A">
              <w:rPr>
                <w:sz w:val="22"/>
                <w:szCs w:val="22"/>
              </w:rPr>
              <w:t>9_5</w:t>
            </w:r>
          </w:p>
        </w:tc>
        <w:tc>
          <w:tcPr>
            <w:tcW w:w="1843" w:type="dxa"/>
          </w:tcPr>
          <w:p w14:paraId="63236223" w14:textId="77777777" w:rsidR="009A3C2D" w:rsidRPr="0082484A" w:rsidRDefault="009A3C2D" w:rsidP="00272145">
            <w:pPr>
              <w:rPr>
                <w:sz w:val="22"/>
                <w:szCs w:val="22"/>
              </w:rPr>
            </w:pPr>
            <w:r w:rsidRPr="0082484A">
              <w:rPr>
                <w:sz w:val="22"/>
                <w:szCs w:val="22"/>
              </w:rPr>
              <w:t>Men: 0.23%</w:t>
            </w:r>
          </w:p>
          <w:p w14:paraId="5F78B33A" w14:textId="77777777" w:rsidR="009A3C2D" w:rsidRPr="0082484A" w:rsidRDefault="009A3C2D" w:rsidP="00272145">
            <w:pPr>
              <w:rPr>
                <w:sz w:val="22"/>
                <w:szCs w:val="22"/>
              </w:rPr>
            </w:pPr>
            <w:r w:rsidRPr="0082484A">
              <w:rPr>
                <w:sz w:val="22"/>
                <w:szCs w:val="22"/>
              </w:rPr>
              <w:t>Women: 0.23%</w:t>
            </w:r>
          </w:p>
        </w:tc>
        <w:tc>
          <w:tcPr>
            <w:tcW w:w="1985" w:type="dxa"/>
          </w:tcPr>
          <w:p w14:paraId="3480A218" w14:textId="77777777" w:rsidR="009A3C2D" w:rsidRPr="0082484A" w:rsidRDefault="009A3C2D" w:rsidP="00272145">
            <w:pPr>
              <w:jc w:val="both"/>
              <w:rPr>
                <w:sz w:val="22"/>
                <w:szCs w:val="22"/>
              </w:rPr>
            </w:pPr>
            <w:r w:rsidRPr="0082484A">
              <w:rPr>
                <w:sz w:val="22"/>
                <w:szCs w:val="22"/>
              </w:rPr>
              <w:t>Men: 0.0006</w:t>
            </w:r>
          </w:p>
          <w:p w14:paraId="45D74D62" w14:textId="77777777" w:rsidR="009A3C2D" w:rsidRPr="0082484A" w:rsidRDefault="009A3C2D" w:rsidP="00272145">
            <w:pPr>
              <w:jc w:val="both"/>
              <w:rPr>
                <w:sz w:val="22"/>
                <w:szCs w:val="22"/>
              </w:rPr>
            </w:pPr>
            <w:r w:rsidRPr="0082484A">
              <w:rPr>
                <w:sz w:val="22"/>
                <w:szCs w:val="22"/>
              </w:rPr>
              <w:t>Women:0.0006</w:t>
            </w:r>
          </w:p>
        </w:tc>
        <w:tc>
          <w:tcPr>
            <w:tcW w:w="4553" w:type="dxa"/>
          </w:tcPr>
          <w:p w14:paraId="6FC07A32" w14:textId="0D046C98" w:rsidR="009A3C2D" w:rsidRPr="0082484A" w:rsidRDefault="009A3C2D" w:rsidP="00952E85">
            <w:pPr>
              <w:rPr>
                <w:i/>
                <w:sz w:val="22"/>
                <w:szCs w:val="22"/>
              </w:rPr>
            </w:pPr>
            <w:r w:rsidRPr="0082484A">
              <w:rPr>
                <w:sz w:val="22"/>
                <w:szCs w:val="22"/>
              </w:rPr>
              <w:t xml:space="preserve">Population average age of the patients 66. Values adjusted to three monthly rates from the 10 years risk rate estimated in QRISK (Hippisley-Cox </w:t>
            </w:r>
            <w:r w:rsidRPr="0082484A">
              <w:rPr>
                <w:i/>
                <w:sz w:val="22"/>
                <w:szCs w:val="22"/>
              </w:rPr>
              <w:t>et al</w:t>
            </w:r>
            <w:r w:rsidRPr="0082484A">
              <w:rPr>
                <w:sz w:val="22"/>
                <w:szCs w:val="22"/>
              </w:rPr>
              <w:t>. 2017).</w:t>
            </w:r>
            <w:r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PEVuZE5vdGU+PENpdGU+PEF1dGhvcj5IaXBwaXNsZXktQ294PC9BdXRob3I+PFllYXI+MjAxNzwv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15</w:t>
            </w:r>
            <w:r w:rsidRPr="0082484A">
              <w:rPr>
                <w:sz w:val="22"/>
                <w:szCs w:val="22"/>
              </w:rPr>
              <w:fldChar w:fldCharType="end"/>
            </w:r>
            <w:r w:rsidRPr="0082484A">
              <w:rPr>
                <w:sz w:val="22"/>
                <w:szCs w:val="22"/>
              </w:rPr>
              <w:t xml:space="preserve"> </w:t>
            </w:r>
          </w:p>
        </w:tc>
      </w:tr>
      <w:tr w:rsidR="009A3C2D" w:rsidRPr="0082484A" w14:paraId="7DBF7235" w14:textId="77777777" w:rsidTr="00272145">
        <w:tc>
          <w:tcPr>
            <w:tcW w:w="1962" w:type="dxa"/>
          </w:tcPr>
          <w:p w14:paraId="5955E49F" w14:textId="77777777" w:rsidR="009A3C2D" w:rsidRPr="0082484A" w:rsidRDefault="009A3C2D" w:rsidP="00272145">
            <w:pPr>
              <w:spacing w:line="360" w:lineRule="auto"/>
              <w:jc w:val="right"/>
              <w:rPr>
                <w:i/>
                <w:sz w:val="22"/>
                <w:szCs w:val="22"/>
              </w:rPr>
            </w:pPr>
            <w:r w:rsidRPr="0082484A">
              <w:rPr>
                <w:sz w:val="22"/>
                <w:szCs w:val="22"/>
              </w:rPr>
              <w:t>9_6</w:t>
            </w:r>
          </w:p>
        </w:tc>
        <w:tc>
          <w:tcPr>
            <w:tcW w:w="1843" w:type="dxa"/>
          </w:tcPr>
          <w:p w14:paraId="4F309981" w14:textId="77777777" w:rsidR="009A3C2D" w:rsidRPr="0082484A" w:rsidRDefault="009A3C2D" w:rsidP="00272145">
            <w:pPr>
              <w:rPr>
                <w:sz w:val="22"/>
                <w:szCs w:val="22"/>
              </w:rPr>
            </w:pPr>
            <w:r w:rsidRPr="0082484A">
              <w:rPr>
                <w:sz w:val="22"/>
                <w:szCs w:val="22"/>
              </w:rPr>
              <w:t>Men &amp; Women:</w:t>
            </w:r>
          </w:p>
          <w:p w14:paraId="167DB95D" w14:textId="77777777" w:rsidR="009A3C2D" w:rsidRPr="0082484A" w:rsidRDefault="009A3C2D" w:rsidP="00272145">
            <w:pPr>
              <w:rPr>
                <w:sz w:val="22"/>
                <w:szCs w:val="22"/>
              </w:rPr>
            </w:pPr>
            <w:r w:rsidRPr="0082484A">
              <w:rPr>
                <w:sz w:val="22"/>
                <w:szCs w:val="22"/>
              </w:rPr>
              <w:t>0.17%</w:t>
            </w:r>
          </w:p>
        </w:tc>
        <w:tc>
          <w:tcPr>
            <w:tcW w:w="1985" w:type="dxa"/>
          </w:tcPr>
          <w:p w14:paraId="703CF3E8" w14:textId="77777777" w:rsidR="009A3C2D" w:rsidRPr="0082484A" w:rsidRDefault="009A3C2D" w:rsidP="00272145">
            <w:pPr>
              <w:jc w:val="both"/>
              <w:rPr>
                <w:sz w:val="22"/>
                <w:szCs w:val="22"/>
              </w:rPr>
            </w:pPr>
            <w:r w:rsidRPr="0082484A">
              <w:rPr>
                <w:sz w:val="22"/>
                <w:szCs w:val="22"/>
              </w:rPr>
              <w:t>0.0004</w:t>
            </w:r>
          </w:p>
        </w:tc>
        <w:tc>
          <w:tcPr>
            <w:tcW w:w="4553" w:type="dxa"/>
          </w:tcPr>
          <w:p w14:paraId="6D66044A" w14:textId="0EC890C4" w:rsidR="009A3C2D" w:rsidRPr="0082484A" w:rsidRDefault="009A3C2D" w:rsidP="00952E85">
            <w:pPr>
              <w:rPr>
                <w:i/>
                <w:sz w:val="22"/>
                <w:szCs w:val="22"/>
              </w:rPr>
            </w:pPr>
            <w:r w:rsidRPr="0082484A">
              <w:rPr>
                <w:sz w:val="22"/>
                <w:szCs w:val="22"/>
              </w:rPr>
              <w:t xml:space="preserve">Average age of the patients 66. Values adjusted to three monthly rates from 10 years risk rate reported in Ward </w:t>
            </w:r>
            <w:r w:rsidRPr="0082484A">
              <w:rPr>
                <w:i/>
                <w:sz w:val="22"/>
                <w:szCs w:val="22"/>
              </w:rPr>
              <w:t>et al</w:t>
            </w:r>
            <w:r w:rsidRPr="0082484A">
              <w:rPr>
                <w:sz w:val="22"/>
                <w:szCs w:val="22"/>
              </w:rPr>
              <w:t>.</w:t>
            </w:r>
            <w:r w:rsidRPr="0082484A">
              <w:rPr>
                <w:sz w:val="22"/>
                <w:szCs w:val="22"/>
              </w:rPr>
              <w:fldChar w:fldCharType="begin"/>
            </w:r>
            <w:r w:rsidR="00952E85" w:rsidRPr="0082484A">
              <w:rPr>
                <w:sz w:val="22"/>
                <w:szCs w:val="22"/>
              </w:rPr>
              <w:instrText xml:space="preserve"> ADDIN EN.CITE &lt;EndNote&gt;&lt;Cite&gt;&lt;Author&gt;Ward&lt;/Author&gt;&lt;Year&gt;2007&lt;/Year&gt;&lt;RecNum&gt;3311&lt;/RecNum&gt;&lt;DisplayText&gt;&lt;style face="superscript"&gt;14&lt;/style&gt;&lt;/DisplayText&gt;&lt;record&gt;&lt;rec-number&gt;3311&lt;/rec-number&gt;&lt;foreign-keys&gt;&lt;key app="EN" db-id="5srzarxr5dr9r5es2r7xst9lr9t2rewrpffr" timestamp="1516019274"&gt;3311&lt;/key&gt;&lt;/foreign-keys&gt;&lt;ref-type name="Journal Article"&gt;17&lt;/ref-type&gt;&lt;contributors&gt;&lt;authors&gt;&lt;author&gt;Ward, S.&lt;/author&gt;&lt;author&gt;Jones, M. L.&lt;/author&gt;&lt;author&gt;Pandor, A.&lt;/author&gt;&lt;author&gt;Holmes, M.&lt;/author&gt;&lt;author&gt;Ara, R.&lt;/author&gt;&lt;author&gt;Ryan, A.&lt;/author&gt;&lt;author&gt;Yeo, W.&lt;/author&gt;&lt;author&gt;Payne, N.&lt;/author&gt;&lt;/authors&gt;&lt;/contributors&gt;&lt;auth-address&gt;Univ Sheffield, Sch Hlth &amp;amp; Related Res, Sheffield S10 2TN, S Yorkshire, England&amp;#xD;Royal Hallamshire Hosp, Dept Clin Pharmacol &amp;amp; Therapeut, Sheffield S10 2JF, S Yorkshire, England&lt;/auth-address&gt;&lt;titles&gt;&lt;title&gt;A systematic review and economic evaluation of statins for the prevention of coronary events&lt;/title&gt;&lt;secondary-title&gt;Health Technology Assessment&lt;/secondary-title&gt;&lt;alt-title&gt;Health Technol Asses&lt;/alt-title&gt;&lt;/titles&gt;&lt;periodical&gt;&lt;full-title&gt;Health Technology Assessment&lt;/full-title&gt;&lt;/periodical&gt;&lt;pages&gt;1-+&lt;/pages&gt;&lt;volume&gt;11&lt;/volume&gt;&lt;number&gt;14&lt;/number&gt;&lt;keywords&gt;&lt;keyword&gt;density-lipoprotein-cholesterol&lt;/keyword&gt;&lt;keyword&gt;placebo-controlled trial&lt;/keyword&gt;&lt;keyword&gt;quality-of-life&lt;/keyword&gt;&lt;keyword&gt;randomized controlled-trial&lt;/keyword&gt;&lt;keyword&gt;c-reactive protein&lt;/keyword&gt;&lt;keyword&gt;scandinavian-simvastatin-survival&lt;/keyword&gt;&lt;keyword&gt;peripheral arterial-disease&lt;/keyword&gt;&lt;keyword&gt;acute myocardial-infarction&lt;/keyword&gt;&lt;keyword&gt;coa reductase inhibitor&lt;/keyword&gt;&lt;keyword&gt;double-blind trial&lt;/keyword&gt;&lt;/keywords&gt;&lt;dates&gt;&lt;year&gt;2007&lt;/year&gt;&lt;pub-dates&gt;&lt;date&gt;Apr&lt;/date&gt;&lt;/pub-dates&gt;&lt;/dates&gt;&lt;isbn&gt;1366-5278&lt;/isbn&gt;&lt;accession-num&gt;WOS:000246025000001&lt;/accession-num&gt;&lt;urls&gt;&lt;related-urls&gt;&lt;url&gt;&amp;lt;Go to ISI&amp;gt;://WOS:000246025000001&lt;/url&gt;&lt;/related-urls&gt;&lt;/urls&gt;&lt;electronic-resource-num&gt;10.3310/hta11140&lt;/electronic-resource-num&gt;&lt;language&gt;English&lt;/language&gt;&lt;/record&gt;&lt;/Cite&gt;&lt;/EndNote&gt;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14</w:t>
            </w:r>
            <w:r w:rsidRPr="0082484A">
              <w:rPr>
                <w:sz w:val="22"/>
                <w:szCs w:val="22"/>
              </w:rPr>
              <w:fldChar w:fldCharType="end"/>
            </w:r>
            <w:r w:rsidRPr="0082484A">
              <w:rPr>
                <w:sz w:val="22"/>
                <w:szCs w:val="22"/>
              </w:rPr>
              <w:t xml:space="preserve"> </w:t>
            </w:r>
          </w:p>
        </w:tc>
      </w:tr>
      <w:tr w:rsidR="009A3C2D" w:rsidRPr="0082484A" w14:paraId="0F156465" w14:textId="77777777" w:rsidTr="00272145">
        <w:tc>
          <w:tcPr>
            <w:tcW w:w="1962" w:type="dxa"/>
          </w:tcPr>
          <w:p w14:paraId="348D47AD" w14:textId="77777777" w:rsidR="009A3C2D" w:rsidRPr="0082484A" w:rsidRDefault="009A3C2D" w:rsidP="00272145">
            <w:pPr>
              <w:spacing w:line="360" w:lineRule="auto"/>
              <w:jc w:val="right"/>
              <w:rPr>
                <w:i/>
                <w:sz w:val="22"/>
                <w:szCs w:val="22"/>
              </w:rPr>
            </w:pPr>
            <w:r w:rsidRPr="0082484A">
              <w:rPr>
                <w:sz w:val="22"/>
                <w:szCs w:val="22"/>
              </w:rPr>
              <w:t>9_7</w:t>
            </w:r>
          </w:p>
        </w:tc>
        <w:tc>
          <w:tcPr>
            <w:tcW w:w="1843" w:type="dxa"/>
          </w:tcPr>
          <w:p w14:paraId="2B038B65" w14:textId="77777777" w:rsidR="009A3C2D" w:rsidRPr="0082484A" w:rsidRDefault="009A3C2D" w:rsidP="00272145">
            <w:pPr>
              <w:rPr>
                <w:sz w:val="22"/>
                <w:szCs w:val="22"/>
              </w:rPr>
            </w:pPr>
            <w:r w:rsidRPr="0082484A">
              <w:rPr>
                <w:sz w:val="22"/>
                <w:szCs w:val="22"/>
              </w:rPr>
              <w:t>Men &amp; Women:</w:t>
            </w:r>
          </w:p>
          <w:p w14:paraId="42076979" w14:textId="77777777" w:rsidR="009A3C2D" w:rsidRPr="0082484A" w:rsidRDefault="009A3C2D" w:rsidP="00272145">
            <w:pPr>
              <w:rPr>
                <w:sz w:val="22"/>
                <w:szCs w:val="22"/>
              </w:rPr>
            </w:pPr>
            <w:r w:rsidRPr="0082484A">
              <w:rPr>
                <w:sz w:val="22"/>
                <w:szCs w:val="22"/>
              </w:rPr>
              <w:t>0.34%</w:t>
            </w:r>
          </w:p>
        </w:tc>
        <w:tc>
          <w:tcPr>
            <w:tcW w:w="1985" w:type="dxa"/>
          </w:tcPr>
          <w:p w14:paraId="3166213F" w14:textId="77777777" w:rsidR="009A3C2D" w:rsidRPr="0082484A" w:rsidRDefault="009A3C2D" w:rsidP="00272145">
            <w:pPr>
              <w:jc w:val="both"/>
              <w:rPr>
                <w:sz w:val="22"/>
                <w:szCs w:val="22"/>
              </w:rPr>
            </w:pPr>
            <w:r w:rsidRPr="0082484A">
              <w:rPr>
                <w:sz w:val="22"/>
                <w:szCs w:val="22"/>
              </w:rPr>
              <w:t>0.00086</w:t>
            </w:r>
          </w:p>
        </w:tc>
        <w:tc>
          <w:tcPr>
            <w:tcW w:w="4553" w:type="dxa"/>
          </w:tcPr>
          <w:p w14:paraId="36164302" w14:textId="72309F36" w:rsidR="009A3C2D" w:rsidRPr="0082484A" w:rsidRDefault="009A3C2D" w:rsidP="00952E85">
            <w:pPr>
              <w:rPr>
                <w:sz w:val="22"/>
                <w:szCs w:val="22"/>
              </w:rPr>
            </w:pPr>
            <w:r w:rsidRPr="0082484A">
              <w:rPr>
                <w:sz w:val="22"/>
                <w:szCs w:val="22"/>
              </w:rPr>
              <w:t xml:space="preserve">Average age 66 years old. Values adjusted to three monthly risk from Data based on composite CVD outcomes (Myocardial infraction, ischaemic stroke or cardiovascular related death) per 1,000 persons years from Soriano C </w:t>
            </w:r>
            <w:r w:rsidRPr="0082484A">
              <w:rPr>
                <w:i/>
                <w:sz w:val="22"/>
                <w:szCs w:val="22"/>
              </w:rPr>
              <w:t>et al</w:t>
            </w:r>
            <w:r w:rsidRPr="0082484A">
              <w:rPr>
                <w:sz w:val="22"/>
                <w:szCs w:val="22"/>
              </w:rPr>
              <w:t>. (2017).</w:t>
            </w:r>
            <w:r w:rsidRPr="0082484A">
              <w:rPr>
                <w:sz w:val="22"/>
                <w:szCs w:val="22"/>
              </w:rPr>
              <w:fldChar w:fldCharType="begin">
                <w:fldData xml:space="preserve">PEVuZE5vdGU+PENpdGU+PEF1dGhvcj5Tb3JpYW5vPC9BdXRob3I+PFllYXI+MjAxNzwvWWVhcj48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PEVuZE5vdGU+PENpdGU+PEF1dGhvcj5Tb3JpYW5vPC9BdXRob3I+PFllYXI+MjAxNzwvWWVhcj48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16</w:t>
            </w:r>
            <w:r w:rsidRPr="0082484A">
              <w:rPr>
                <w:sz w:val="22"/>
                <w:szCs w:val="22"/>
              </w:rPr>
              <w:fldChar w:fldCharType="end"/>
            </w:r>
            <w:r w:rsidRPr="0082484A">
              <w:rPr>
                <w:sz w:val="22"/>
                <w:szCs w:val="22"/>
              </w:rPr>
              <w:t xml:space="preserve"> </w:t>
            </w:r>
          </w:p>
        </w:tc>
      </w:tr>
      <w:tr w:rsidR="009A3C2D" w:rsidRPr="0082484A" w14:paraId="532C3575" w14:textId="77777777" w:rsidTr="00272145">
        <w:tc>
          <w:tcPr>
            <w:tcW w:w="10343" w:type="dxa"/>
            <w:gridSpan w:val="4"/>
          </w:tcPr>
          <w:p w14:paraId="42B920CD" w14:textId="77777777" w:rsidR="009A3C2D" w:rsidRPr="0082484A" w:rsidRDefault="009A3C2D" w:rsidP="00272145">
            <w:pPr>
              <w:spacing w:line="360" w:lineRule="auto"/>
              <w:jc w:val="both"/>
              <w:rPr>
                <w:i/>
                <w:sz w:val="22"/>
                <w:szCs w:val="22"/>
              </w:rPr>
            </w:pPr>
            <w:r w:rsidRPr="0082484A">
              <w:rPr>
                <w:i/>
                <w:sz w:val="22"/>
                <w:szCs w:val="22"/>
              </w:rPr>
              <w:t>Distribution of health events</w:t>
            </w:r>
          </w:p>
        </w:tc>
      </w:tr>
      <w:tr w:rsidR="009A3C2D" w:rsidRPr="0082484A" w14:paraId="356602E1" w14:textId="77777777" w:rsidTr="00272145">
        <w:tc>
          <w:tcPr>
            <w:tcW w:w="1962" w:type="dxa"/>
          </w:tcPr>
          <w:p w14:paraId="620BB34D" w14:textId="77777777" w:rsidR="009A3C2D" w:rsidRPr="0082484A" w:rsidRDefault="009A3C2D" w:rsidP="00272145">
            <w:pPr>
              <w:spacing w:line="360" w:lineRule="auto"/>
              <w:jc w:val="right"/>
              <w:rPr>
                <w:sz w:val="22"/>
                <w:szCs w:val="22"/>
              </w:rPr>
            </w:pPr>
            <w:r w:rsidRPr="0082484A">
              <w:rPr>
                <w:sz w:val="22"/>
                <w:szCs w:val="22"/>
              </w:rPr>
              <w:t>Myocardial infarction</w:t>
            </w:r>
          </w:p>
        </w:tc>
        <w:tc>
          <w:tcPr>
            <w:tcW w:w="1843" w:type="dxa"/>
          </w:tcPr>
          <w:p w14:paraId="75EA7D17" w14:textId="77777777" w:rsidR="009A3C2D" w:rsidRPr="0082484A" w:rsidRDefault="009A3C2D" w:rsidP="00272145">
            <w:pPr>
              <w:spacing w:line="360" w:lineRule="auto"/>
              <w:jc w:val="both"/>
              <w:rPr>
                <w:sz w:val="22"/>
                <w:szCs w:val="22"/>
              </w:rPr>
            </w:pPr>
            <w:r w:rsidRPr="0082484A">
              <w:rPr>
                <w:sz w:val="22"/>
                <w:szCs w:val="22"/>
              </w:rPr>
              <w:t>14.3%-37.8%</w:t>
            </w:r>
          </w:p>
        </w:tc>
        <w:tc>
          <w:tcPr>
            <w:tcW w:w="1985" w:type="dxa"/>
          </w:tcPr>
          <w:p w14:paraId="3FCDDFAE" w14:textId="77777777" w:rsidR="009A3C2D" w:rsidRPr="0082484A" w:rsidRDefault="009A3C2D" w:rsidP="00272145">
            <w:pPr>
              <w:spacing w:line="360" w:lineRule="auto"/>
              <w:jc w:val="both"/>
              <w:rPr>
                <w:sz w:val="22"/>
                <w:szCs w:val="22"/>
              </w:rPr>
            </w:pPr>
            <w:r w:rsidRPr="0082484A">
              <w:rPr>
                <w:sz w:val="22"/>
                <w:szCs w:val="22"/>
              </w:rPr>
              <w:t>Fixed</w:t>
            </w:r>
          </w:p>
        </w:tc>
        <w:tc>
          <w:tcPr>
            <w:tcW w:w="4553" w:type="dxa"/>
          </w:tcPr>
          <w:p w14:paraId="580AE7A8"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619BF837" w14:textId="77777777" w:rsidTr="00272145">
        <w:tc>
          <w:tcPr>
            <w:tcW w:w="1962" w:type="dxa"/>
          </w:tcPr>
          <w:p w14:paraId="25894C54" w14:textId="77777777" w:rsidR="009A3C2D" w:rsidRPr="0082484A" w:rsidRDefault="009A3C2D" w:rsidP="00272145">
            <w:pPr>
              <w:spacing w:line="360" w:lineRule="auto"/>
              <w:jc w:val="right"/>
              <w:rPr>
                <w:sz w:val="22"/>
                <w:szCs w:val="22"/>
              </w:rPr>
            </w:pPr>
            <w:r w:rsidRPr="0082484A">
              <w:rPr>
                <w:sz w:val="22"/>
                <w:szCs w:val="22"/>
              </w:rPr>
              <w:t>Unstable angina</w:t>
            </w:r>
          </w:p>
        </w:tc>
        <w:tc>
          <w:tcPr>
            <w:tcW w:w="1843" w:type="dxa"/>
          </w:tcPr>
          <w:p w14:paraId="1F41FD26" w14:textId="77777777" w:rsidR="009A3C2D" w:rsidRPr="0082484A" w:rsidRDefault="009A3C2D" w:rsidP="00272145">
            <w:pPr>
              <w:spacing w:line="360" w:lineRule="auto"/>
              <w:jc w:val="both"/>
              <w:rPr>
                <w:sz w:val="22"/>
                <w:szCs w:val="22"/>
              </w:rPr>
            </w:pPr>
            <w:r w:rsidRPr="0082484A">
              <w:rPr>
                <w:sz w:val="22"/>
                <w:szCs w:val="22"/>
              </w:rPr>
              <w:t>10.4%-20.9%</w:t>
            </w:r>
          </w:p>
        </w:tc>
        <w:tc>
          <w:tcPr>
            <w:tcW w:w="1985" w:type="dxa"/>
          </w:tcPr>
          <w:p w14:paraId="41994AFC" w14:textId="77777777" w:rsidR="009A3C2D" w:rsidRPr="0082484A" w:rsidRDefault="009A3C2D" w:rsidP="00272145">
            <w:pPr>
              <w:spacing w:line="360" w:lineRule="auto"/>
              <w:jc w:val="both"/>
              <w:rPr>
                <w:sz w:val="22"/>
                <w:szCs w:val="22"/>
              </w:rPr>
            </w:pPr>
            <w:r w:rsidRPr="0082484A">
              <w:rPr>
                <w:sz w:val="22"/>
                <w:szCs w:val="22"/>
              </w:rPr>
              <w:t>Fixed</w:t>
            </w:r>
          </w:p>
        </w:tc>
        <w:tc>
          <w:tcPr>
            <w:tcW w:w="4553" w:type="dxa"/>
          </w:tcPr>
          <w:p w14:paraId="30DE7785"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4FFA18B2" w14:textId="77777777" w:rsidTr="00272145">
        <w:tc>
          <w:tcPr>
            <w:tcW w:w="1962" w:type="dxa"/>
          </w:tcPr>
          <w:p w14:paraId="378E3A16" w14:textId="77777777" w:rsidR="009A3C2D" w:rsidRPr="0082484A" w:rsidRDefault="009A3C2D" w:rsidP="00272145">
            <w:pPr>
              <w:spacing w:line="360" w:lineRule="auto"/>
              <w:jc w:val="right"/>
              <w:rPr>
                <w:sz w:val="22"/>
                <w:szCs w:val="22"/>
              </w:rPr>
            </w:pPr>
            <w:r w:rsidRPr="0082484A">
              <w:rPr>
                <w:sz w:val="22"/>
                <w:szCs w:val="22"/>
              </w:rPr>
              <w:t>Stable angina</w:t>
            </w:r>
          </w:p>
        </w:tc>
        <w:tc>
          <w:tcPr>
            <w:tcW w:w="1843" w:type="dxa"/>
          </w:tcPr>
          <w:p w14:paraId="66572B3E" w14:textId="77777777" w:rsidR="009A3C2D" w:rsidRPr="0082484A" w:rsidRDefault="009A3C2D" w:rsidP="00272145">
            <w:pPr>
              <w:spacing w:line="360" w:lineRule="auto"/>
              <w:jc w:val="both"/>
              <w:rPr>
                <w:sz w:val="22"/>
                <w:szCs w:val="22"/>
              </w:rPr>
            </w:pPr>
            <w:r w:rsidRPr="0082484A">
              <w:rPr>
                <w:sz w:val="22"/>
                <w:szCs w:val="22"/>
              </w:rPr>
              <w:t>37.7%-62.9%</w:t>
            </w:r>
          </w:p>
        </w:tc>
        <w:tc>
          <w:tcPr>
            <w:tcW w:w="1985" w:type="dxa"/>
          </w:tcPr>
          <w:p w14:paraId="3922CDC7" w14:textId="77777777" w:rsidR="009A3C2D" w:rsidRPr="0082484A" w:rsidRDefault="009A3C2D" w:rsidP="00272145">
            <w:pPr>
              <w:spacing w:line="360" w:lineRule="auto"/>
              <w:jc w:val="both"/>
              <w:rPr>
                <w:sz w:val="22"/>
                <w:szCs w:val="22"/>
              </w:rPr>
            </w:pPr>
            <w:r w:rsidRPr="0082484A">
              <w:rPr>
                <w:sz w:val="22"/>
                <w:szCs w:val="22"/>
              </w:rPr>
              <w:t>Fixed</w:t>
            </w:r>
          </w:p>
        </w:tc>
        <w:tc>
          <w:tcPr>
            <w:tcW w:w="4553" w:type="dxa"/>
          </w:tcPr>
          <w:p w14:paraId="073D267C"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1916CB59" w14:textId="77777777" w:rsidTr="00272145">
        <w:tc>
          <w:tcPr>
            <w:tcW w:w="1962" w:type="dxa"/>
          </w:tcPr>
          <w:p w14:paraId="4892409A" w14:textId="77777777" w:rsidR="009A3C2D" w:rsidRPr="0082484A" w:rsidRDefault="009A3C2D" w:rsidP="00272145">
            <w:pPr>
              <w:spacing w:line="360" w:lineRule="auto"/>
              <w:jc w:val="right"/>
              <w:rPr>
                <w:sz w:val="22"/>
                <w:szCs w:val="22"/>
              </w:rPr>
            </w:pPr>
          </w:p>
        </w:tc>
        <w:tc>
          <w:tcPr>
            <w:tcW w:w="1843" w:type="dxa"/>
          </w:tcPr>
          <w:p w14:paraId="2DC528EA" w14:textId="77777777" w:rsidR="009A3C2D" w:rsidRPr="0082484A" w:rsidRDefault="009A3C2D" w:rsidP="00272145">
            <w:pPr>
              <w:pStyle w:val="Default"/>
              <w:jc w:val="both"/>
              <w:rPr>
                <w:sz w:val="22"/>
                <w:szCs w:val="22"/>
              </w:rPr>
            </w:pPr>
          </w:p>
        </w:tc>
        <w:tc>
          <w:tcPr>
            <w:tcW w:w="1985" w:type="dxa"/>
          </w:tcPr>
          <w:p w14:paraId="7FBF7218" w14:textId="77777777" w:rsidR="009A3C2D" w:rsidRPr="0082484A" w:rsidRDefault="009A3C2D" w:rsidP="00272145">
            <w:pPr>
              <w:spacing w:line="360" w:lineRule="auto"/>
              <w:jc w:val="both"/>
              <w:rPr>
                <w:sz w:val="22"/>
                <w:szCs w:val="22"/>
              </w:rPr>
            </w:pPr>
          </w:p>
        </w:tc>
        <w:tc>
          <w:tcPr>
            <w:tcW w:w="4553" w:type="dxa"/>
          </w:tcPr>
          <w:p w14:paraId="6E8901CB" w14:textId="77777777" w:rsidR="009A3C2D" w:rsidRPr="0082484A" w:rsidRDefault="009A3C2D" w:rsidP="00272145">
            <w:pPr>
              <w:pStyle w:val="Default"/>
              <w:jc w:val="both"/>
              <w:rPr>
                <w:sz w:val="22"/>
                <w:szCs w:val="22"/>
              </w:rPr>
            </w:pPr>
          </w:p>
        </w:tc>
      </w:tr>
      <w:tr w:rsidR="009A3C2D" w:rsidRPr="0082484A" w14:paraId="2E99A659" w14:textId="77777777" w:rsidTr="00272145">
        <w:tc>
          <w:tcPr>
            <w:tcW w:w="1962" w:type="dxa"/>
          </w:tcPr>
          <w:p w14:paraId="1A83DFE3" w14:textId="77777777" w:rsidR="009A3C2D" w:rsidRPr="0082484A" w:rsidRDefault="009A3C2D" w:rsidP="00272145">
            <w:pPr>
              <w:spacing w:line="360" w:lineRule="auto"/>
              <w:jc w:val="right"/>
              <w:rPr>
                <w:sz w:val="22"/>
                <w:szCs w:val="22"/>
              </w:rPr>
            </w:pPr>
            <w:r w:rsidRPr="0082484A">
              <w:rPr>
                <w:sz w:val="22"/>
                <w:szCs w:val="22"/>
              </w:rPr>
              <w:t>Stroke</w:t>
            </w:r>
          </w:p>
        </w:tc>
        <w:tc>
          <w:tcPr>
            <w:tcW w:w="1843" w:type="dxa"/>
          </w:tcPr>
          <w:p w14:paraId="5030D70A" w14:textId="77777777" w:rsidR="009A3C2D" w:rsidRPr="0082484A" w:rsidRDefault="009A3C2D" w:rsidP="00272145">
            <w:pPr>
              <w:spacing w:line="360" w:lineRule="auto"/>
              <w:jc w:val="both"/>
              <w:rPr>
                <w:sz w:val="22"/>
                <w:szCs w:val="22"/>
              </w:rPr>
            </w:pPr>
            <w:r w:rsidRPr="0082484A">
              <w:rPr>
                <w:sz w:val="22"/>
                <w:szCs w:val="22"/>
              </w:rPr>
              <w:t>51.7%-70.1%</w:t>
            </w:r>
          </w:p>
        </w:tc>
        <w:tc>
          <w:tcPr>
            <w:tcW w:w="1985" w:type="dxa"/>
          </w:tcPr>
          <w:p w14:paraId="7CB670B9" w14:textId="77777777" w:rsidR="009A3C2D" w:rsidRPr="0082484A" w:rsidRDefault="009A3C2D" w:rsidP="00272145">
            <w:pPr>
              <w:spacing w:line="360" w:lineRule="auto"/>
              <w:jc w:val="both"/>
              <w:rPr>
                <w:sz w:val="22"/>
                <w:szCs w:val="22"/>
              </w:rPr>
            </w:pPr>
            <w:r w:rsidRPr="0082484A">
              <w:rPr>
                <w:sz w:val="22"/>
                <w:szCs w:val="22"/>
              </w:rPr>
              <w:t>Fixed</w:t>
            </w:r>
          </w:p>
        </w:tc>
        <w:tc>
          <w:tcPr>
            <w:tcW w:w="4553" w:type="dxa"/>
          </w:tcPr>
          <w:p w14:paraId="7E0F5E17"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5DEA238B" w14:textId="77777777" w:rsidTr="00272145">
        <w:tc>
          <w:tcPr>
            <w:tcW w:w="1962" w:type="dxa"/>
          </w:tcPr>
          <w:p w14:paraId="578F5FE6" w14:textId="77777777" w:rsidR="009A3C2D" w:rsidRPr="0082484A" w:rsidRDefault="009A3C2D" w:rsidP="00272145">
            <w:pPr>
              <w:spacing w:line="360" w:lineRule="auto"/>
              <w:jc w:val="right"/>
              <w:rPr>
                <w:sz w:val="22"/>
                <w:szCs w:val="22"/>
              </w:rPr>
            </w:pPr>
            <w:r w:rsidRPr="0082484A">
              <w:rPr>
                <w:sz w:val="22"/>
                <w:szCs w:val="22"/>
              </w:rPr>
              <w:t>TIA</w:t>
            </w:r>
          </w:p>
        </w:tc>
        <w:tc>
          <w:tcPr>
            <w:tcW w:w="1843" w:type="dxa"/>
          </w:tcPr>
          <w:p w14:paraId="325EE3E8" w14:textId="77777777" w:rsidR="009A3C2D" w:rsidRPr="0082484A" w:rsidRDefault="009A3C2D" w:rsidP="00272145">
            <w:pPr>
              <w:spacing w:line="360" w:lineRule="auto"/>
              <w:jc w:val="both"/>
              <w:rPr>
                <w:sz w:val="22"/>
                <w:szCs w:val="22"/>
              </w:rPr>
            </w:pPr>
            <w:r w:rsidRPr="0082484A">
              <w:rPr>
                <w:sz w:val="22"/>
                <w:szCs w:val="22"/>
              </w:rPr>
              <w:t>13.4%-36.1%</w:t>
            </w:r>
          </w:p>
        </w:tc>
        <w:tc>
          <w:tcPr>
            <w:tcW w:w="1985" w:type="dxa"/>
          </w:tcPr>
          <w:p w14:paraId="7D59FD97" w14:textId="77777777" w:rsidR="009A3C2D" w:rsidRPr="0082484A" w:rsidRDefault="009A3C2D" w:rsidP="00272145">
            <w:pPr>
              <w:spacing w:line="360" w:lineRule="auto"/>
              <w:jc w:val="both"/>
              <w:rPr>
                <w:sz w:val="22"/>
                <w:szCs w:val="22"/>
              </w:rPr>
            </w:pPr>
            <w:r w:rsidRPr="0082484A">
              <w:rPr>
                <w:sz w:val="22"/>
                <w:szCs w:val="22"/>
              </w:rPr>
              <w:t>Fixed</w:t>
            </w:r>
          </w:p>
        </w:tc>
        <w:tc>
          <w:tcPr>
            <w:tcW w:w="4553" w:type="dxa"/>
          </w:tcPr>
          <w:p w14:paraId="0062808C"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2F76EA88" w14:textId="77777777" w:rsidTr="00272145">
        <w:tc>
          <w:tcPr>
            <w:tcW w:w="10343" w:type="dxa"/>
            <w:gridSpan w:val="4"/>
          </w:tcPr>
          <w:p w14:paraId="7A627D89" w14:textId="77777777" w:rsidR="009A3C2D" w:rsidRPr="0082484A" w:rsidRDefault="009A3C2D" w:rsidP="00272145">
            <w:pPr>
              <w:spacing w:line="360" w:lineRule="auto"/>
              <w:jc w:val="both"/>
              <w:rPr>
                <w:i/>
                <w:sz w:val="22"/>
                <w:szCs w:val="22"/>
              </w:rPr>
            </w:pPr>
            <w:r w:rsidRPr="0082484A">
              <w:rPr>
                <w:i/>
                <w:sz w:val="22"/>
                <w:szCs w:val="22"/>
              </w:rPr>
              <w:t>Mortality risks</w:t>
            </w:r>
          </w:p>
        </w:tc>
      </w:tr>
      <w:tr w:rsidR="009A3C2D" w:rsidRPr="0082484A" w14:paraId="60002559" w14:textId="77777777" w:rsidTr="00272145">
        <w:tc>
          <w:tcPr>
            <w:tcW w:w="1962" w:type="dxa"/>
          </w:tcPr>
          <w:p w14:paraId="00101D54" w14:textId="77777777" w:rsidR="009A3C2D" w:rsidRPr="0082484A" w:rsidRDefault="009A3C2D" w:rsidP="00272145">
            <w:pPr>
              <w:spacing w:line="360" w:lineRule="auto"/>
              <w:jc w:val="right"/>
              <w:rPr>
                <w:sz w:val="22"/>
                <w:szCs w:val="22"/>
              </w:rPr>
            </w:pPr>
            <w:r w:rsidRPr="0082484A">
              <w:rPr>
                <w:sz w:val="22"/>
                <w:szCs w:val="22"/>
              </w:rPr>
              <w:t>Immediate CHD death</w:t>
            </w:r>
          </w:p>
        </w:tc>
        <w:tc>
          <w:tcPr>
            <w:tcW w:w="1843" w:type="dxa"/>
          </w:tcPr>
          <w:p w14:paraId="0541E2A8" w14:textId="77777777" w:rsidR="009A3C2D" w:rsidRPr="0082484A" w:rsidRDefault="009A3C2D" w:rsidP="00272145">
            <w:pPr>
              <w:spacing w:line="360" w:lineRule="auto"/>
              <w:jc w:val="both"/>
              <w:rPr>
                <w:sz w:val="22"/>
                <w:szCs w:val="22"/>
              </w:rPr>
            </w:pPr>
            <w:r w:rsidRPr="0082484A">
              <w:rPr>
                <w:sz w:val="22"/>
                <w:szCs w:val="22"/>
              </w:rPr>
              <w:t xml:space="preserve">6.6%-17.8% </w:t>
            </w:r>
          </w:p>
        </w:tc>
        <w:tc>
          <w:tcPr>
            <w:tcW w:w="1985" w:type="dxa"/>
          </w:tcPr>
          <w:p w14:paraId="4BA0F0EB" w14:textId="77777777" w:rsidR="009A3C2D" w:rsidRPr="0082484A" w:rsidRDefault="009A3C2D" w:rsidP="00272145">
            <w:pPr>
              <w:spacing w:line="360" w:lineRule="auto"/>
              <w:jc w:val="both"/>
              <w:rPr>
                <w:sz w:val="22"/>
                <w:szCs w:val="22"/>
              </w:rPr>
            </w:pPr>
          </w:p>
        </w:tc>
        <w:tc>
          <w:tcPr>
            <w:tcW w:w="4553" w:type="dxa"/>
          </w:tcPr>
          <w:p w14:paraId="78473D1B"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2307D808" w14:textId="77777777" w:rsidTr="00272145">
        <w:tc>
          <w:tcPr>
            <w:tcW w:w="1962" w:type="dxa"/>
          </w:tcPr>
          <w:p w14:paraId="00A5C0F2" w14:textId="77777777" w:rsidR="009A3C2D" w:rsidRPr="0082484A" w:rsidRDefault="009A3C2D" w:rsidP="00272145">
            <w:pPr>
              <w:spacing w:line="360" w:lineRule="auto"/>
              <w:jc w:val="right"/>
              <w:rPr>
                <w:sz w:val="22"/>
                <w:szCs w:val="22"/>
              </w:rPr>
            </w:pPr>
            <w:r w:rsidRPr="0082484A">
              <w:rPr>
                <w:sz w:val="22"/>
                <w:szCs w:val="22"/>
              </w:rPr>
              <w:t>Immediate stroke death</w:t>
            </w:r>
          </w:p>
        </w:tc>
        <w:tc>
          <w:tcPr>
            <w:tcW w:w="1843" w:type="dxa"/>
          </w:tcPr>
          <w:p w14:paraId="71E7AFD2" w14:textId="77777777" w:rsidR="009A3C2D" w:rsidRPr="0082484A" w:rsidRDefault="009A3C2D" w:rsidP="00272145">
            <w:pPr>
              <w:spacing w:line="360" w:lineRule="auto"/>
              <w:jc w:val="both"/>
              <w:rPr>
                <w:sz w:val="22"/>
                <w:szCs w:val="22"/>
              </w:rPr>
            </w:pPr>
            <w:r w:rsidRPr="0082484A">
              <w:rPr>
                <w:sz w:val="22"/>
                <w:szCs w:val="22"/>
              </w:rPr>
              <w:t xml:space="preserve">12.2%-16.5% </w:t>
            </w:r>
          </w:p>
        </w:tc>
        <w:tc>
          <w:tcPr>
            <w:tcW w:w="1985" w:type="dxa"/>
          </w:tcPr>
          <w:p w14:paraId="6050F610" w14:textId="77777777" w:rsidR="009A3C2D" w:rsidRPr="0082484A" w:rsidRDefault="009A3C2D" w:rsidP="00272145">
            <w:pPr>
              <w:spacing w:line="360" w:lineRule="auto"/>
              <w:jc w:val="both"/>
              <w:rPr>
                <w:sz w:val="22"/>
                <w:szCs w:val="22"/>
              </w:rPr>
            </w:pPr>
          </w:p>
        </w:tc>
        <w:tc>
          <w:tcPr>
            <w:tcW w:w="4553" w:type="dxa"/>
          </w:tcPr>
          <w:p w14:paraId="1CFCA30C" w14:textId="77777777" w:rsidR="009A3C2D" w:rsidRPr="0082484A" w:rsidRDefault="009A3C2D" w:rsidP="00272145">
            <w:pPr>
              <w:spacing w:line="360" w:lineRule="auto"/>
              <w:jc w:val="both"/>
              <w:rPr>
                <w:sz w:val="22"/>
                <w:szCs w:val="22"/>
              </w:rPr>
            </w:pPr>
            <w:r w:rsidRPr="0082484A">
              <w:rPr>
                <w:sz w:val="22"/>
                <w:szCs w:val="22"/>
              </w:rPr>
              <w:t>(age and gender dependent)</w:t>
            </w:r>
          </w:p>
        </w:tc>
      </w:tr>
      <w:tr w:rsidR="009A3C2D" w:rsidRPr="0082484A" w14:paraId="4C819154" w14:textId="77777777" w:rsidTr="00272145">
        <w:tc>
          <w:tcPr>
            <w:tcW w:w="1962" w:type="dxa"/>
          </w:tcPr>
          <w:p w14:paraId="7EF7681F" w14:textId="77777777" w:rsidR="009A3C2D" w:rsidRPr="0082484A" w:rsidRDefault="009A3C2D" w:rsidP="00272145">
            <w:pPr>
              <w:spacing w:line="360" w:lineRule="auto"/>
              <w:jc w:val="right"/>
              <w:rPr>
                <w:sz w:val="22"/>
                <w:szCs w:val="22"/>
              </w:rPr>
            </w:pPr>
            <w:r w:rsidRPr="0082484A">
              <w:rPr>
                <w:sz w:val="22"/>
                <w:szCs w:val="22"/>
              </w:rPr>
              <w:t>Mortality rate – post MI</w:t>
            </w:r>
          </w:p>
        </w:tc>
        <w:tc>
          <w:tcPr>
            <w:tcW w:w="1843" w:type="dxa"/>
          </w:tcPr>
          <w:p w14:paraId="74625675" w14:textId="77777777" w:rsidR="009A3C2D" w:rsidRPr="0082484A" w:rsidRDefault="009A3C2D" w:rsidP="00272145">
            <w:pPr>
              <w:pStyle w:val="Default"/>
              <w:jc w:val="both"/>
              <w:rPr>
                <w:sz w:val="22"/>
                <w:szCs w:val="22"/>
              </w:rPr>
            </w:pPr>
            <w:r w:rsidRPr="0082484A">
              <w:rPr>
                <w:sz w:val="22"/>
                <w:szCs w:val="22"/>
              </w:rPr>
              <w:t xml:space="preserve">2.68 </w:t>
            </w:r>
          </w:p>
        </w:tc>
        <w:tc>
          <w:tcPr>
            <w:tcW w:w="1985" w:type="dxa"/>
          </w:tcPr>
          <w:p w14:paraId="7B9BC79A" w14:textId="77777777" w:rsidR="009A3C2D" w:rsidRPr="0082484A" w:rsidRDefault="009A3C2D" w:rsidP="00272145">
            <w:pPr>
              <w:spacing w:line="360" w:lineRule="auto"/>
              <w:rPr>
                <w:sz w:val="22"/>
                <w:szCs w:val="22"/>
              </w:rPr>
            </w:pPr>
            <w:r w:rsidRPr="0082484A">
              <w:rPr>
                <w:sz w:val="22"/>
                <w:szCs w:val="22"/>
              </w:rPr>
              <w:t>(95% CI: 2.48, 2.91)</w:t>
            </w:r>
          </w:p>
        </w:tc>
        <w:tc>
          <w:tcPr>
            <w:tcW w:w="4553" w:type="dxa"/>
          </w:tcPr>
          <w:p w14:paraId="22455DF3" w14:textId="014FC37D" w:rsidR="009A3C2D" w:rsidRPr="0082484A" w:rsidRDefault="009A3C2D" w:rsidP="00272145">
            <w:pPr>
              <w:pStyle w:val="Default"/>
              <w:jc w:val="both"/>
              <w:rPr>
                <w:sz w:val="22"/>
                <w:szCs w:val="22"/>
              </w:rPr>
            </w:pPr>
            <w:r w:rsidRPr="0082484A">
              <w:rPr>
                <w:sz w:val="22"/>
                <w:szCs w:val="22"/>
              </w:rPr>
              <w:t xml:space="preserve">Bronnum-Hansen </w:t>
            </w:r>
            <w:r w:rsidRPr="0082484A">
              <w:rPr>
                <w:i/>
                <w:sz w:val="22"/>
                <w:szCs w:val="22"/>
              </w:rPr>
              <w:t>et al</w:t>
            </w:r>
            <w:r w:rsidRPr="0082484A">
              <w:rPr>
                <w:sz w:val="22"/>
                <w:szCs w:val="22"/>
              </w:rPr>
              <w:t>.</w:t>
            </w:r>
            <w:r w:rsidRPr="0082484A">
              <w:rPr>
                <w:sz w:val="22"/>
                <w:szCs w:val="22"/>
              </w:rPr>
              <w:fldChar w:fldCharType="begin">
                <w:fldData xml:space="preserve">PEVuZE5vdGU+PENpdGU+PEF1dGhvcj5Ccm9ubnVtLUhhbnNlbjwvQXV0aG9yPjxZZWFyPjIwMDE8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PEVuZE5vdGU+PENpdGU+PEF1dGhvcj5Ccm9ubnVtLUhhbnNlbjwvQXV0aG9yPjxZZWFyPjIwMDE8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17</w:t>
            </w:r>
            <w:r w:rsidRPr="0082484A">
              <w:rPr>
                <w:sz w:val="22"/>
                <w:szCs w:val="22"/>
              </w:rPr>
              <w:fldChar w:fldCharType="end"/>
            </w:r>
            <w:r w:rsidRPr="0082484A">
              <w:rPr>
                <w:sz w:val="22"/>
                <w:szCs w:val="22"/>
              </w:rPr>
              <w:t xml:space="preserve"> </w:t>
            </w:r>
          </w:p>
          <w:p w14:paraId="5A32089F" w14:textId="77777777" w:rsidR="009A3C2D" w:rsidRPr="0082484A" w:rsidRDefault="009A3C2D" w:rsidP="00272145">
            <w:pPr>
              <w:spacing w:line="360" w:lineRule="auto"/>
              <w:jc w:val="both"/>
              <w:rPr>
                <w:sz w:val="22"/>
                <w:szCs w:val="22"/>
              </w:rPr>
            </w:pPr>
          </w:p>
        </w:tc>
      </w:tr>
      <w:tr w:rsidR="009A3C2D" w:rsidRPr="0082484A" w14:paraId="776AFB7A" w14:textId="77777777" w:rsidTr="00272145">
        <w:tc>
          <w:tcPr>
            <w:tcW w:w="1962" w:type="dxa"/>
          </w:tcPr>
          <w:p w14:paraId="21B12DFE" w14:textId="77777777" w:rsidR="009A3C2D" w:rsidRPr="0082484A" w:rsidRDefault="009A3C2D" w:rsidP="00272145">
            <w:pPr>
              <w:spacing w:line="360" w:lineRule="auto"/>
              <w:jc w:val="right"/>
              <w:rPr>
                <w:sz w:val="22"/>
                <w:szCs w:val="22"/>
              </w:rPr>
            </w:pPr>
            <w:r w:rsidRPr="0082484A">
              <w:rPr>
                <w:sz w:val="22"/>
                <w:szCs w:val="22"/>
              </w:rPr>
              <w:t>Mortality rate – post UA</w:t>
            </w:r>
          </w:p>
        </w:tc>
        <w:tc>
          <w:tcPr>
            <w:tcW w:w="1843" w:type="dxa"/>
          </w:tcPr>
          <w:p w14:paraId="253E2106" w14:textId="77777777" w:rsidR="009A3C2D" w:rsidRPr="0082484A" w:rsidRDefault="009A3C2D" w:rsidP="00272145">
            <w:pPr>
              <w:pStyle w:val="Default"/>
              <w:jc w:val="both"/>
              <w:rPr>
                <w:sz w:val="22"/>
                <w:szCs w:val="22"/>
              </w:rPr>
            </w:pPr>
            <w:r w:rsidRPr="0082484A">
              <w:rPr>
                <w:sz w:val="22"/>
                <w:szCs w:val="22"/>
              </w:rPr>
              <w:t xml:space="preserve">2.19 </w:t>
            </w:r>
          </w:p>
        </w:tc>
        <w:tc>
          <w:tcPr>
            <w:tcW w:w="1985" w:type="dxa"/>
          </w:tcPr>
          <w:p w14:paraId="5B859C0D" w14:textId="77777777" w:rsidR="009A3C2D" w:rsidRPr="0082484A" w:rsidRDefault="009A3C2D" w:rsidP="00272145">
            <w:pPr>
              <w:spacing w:line="360" w:lineRule="auto"/>
              <w:rPr>
                <w:sz w:val="22"/>
                <w:szCs w:val="22"/>
              </w:rPr>
            </w:pPr>
            <w:r w:rsidRPr="0082484A">
              <w:rPr>
                <w:sz w:val="22"/>
                <w:szCs w:val="22"/>
              </w:rPr>
              <w:t>(95% CI: 2.05, 2.33)</w:t>
            </w:r>
          </w:p>
        </w:tc>
        <w:tc>
          <w:tcPr>
            <w:tcW w:w="4553" w:type="dxa"/>
          </w:tcPr>
          <w:p w14:paraId="2FC07365" w14:textId="398415A5" w:rsidR="009A3C2D" w:rsidRPr="0082484A" w:rsidRDefault="009A3C2D" w:rsidP="00272145">
            <w:pPr>
              <w:pStyle w:val="Default"/>
              <w:jc w:val="both"/>
              <w:rPr>
                <w:sz w:val="22"/>
                <w:szCs w:val="22"/>
              </w:rPr>
            </w:pPr>
            <w:r w:rsidRPr="0082484A">
              <w:rPr>
                <w:sz w:val="22"/>
                <w:szCs w:val="22"/>
              </w:rPr>
              <w:t>UA/NSTEMI NICE guideline 423</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 (NICE)&lt;/Author&gt;&lt;Year&gt;2010&lt;/Year&gt;&lt;RecNum&gt;3332&lt;/RecNum&gt;&lt;DisplayText&gt;&lt;style face="superscript"&gt;18&lt;/style&gt;&lt;/DisplayText&gt;&lt;record&gt;&lt;rec-number&gt;3332&lt;/rec-number&gt;&lt;foreign-keys&gt;&lt;key app="EN" db-id="5srzarxr5dr9r5es2r7xst9lr9t2rewrpffr" timestamp="1516094222"&gt;3332&lt;/key&gt;&lt;/foreign-keys&gt;&lt;ref-type name="Report"&gt;27&lt;/ref-type&gt;&lt;contributors&gt;&lt;authors&gt;&lt;author&gt;National Institute for Health and Clinical Excellence (NICE),&lt;/author&gt;&lt;/authors&gt;&lt;/contributors&gt;&lt;titles&gt;&lt;title&gt;Unstable angina and NSTEMI: early management [CG94]&lt;/title&gt;&lt;/titles&gt;&lt;dates&gt;&lt;year&gt;2010&lt;/year&gt;&lt;/dates&gt;&lt;urls&gt;&lt;/urls&gt;&lt;/record&gt;&lt;/Cite&gt;&lt;/EndNote&gt;</w:instrText>
            </w:r>
            <w:r w:rsidRPr="0082484A">
              <w:rPr>
                <w:sz w:val="22"/>
                <w:szCs w:val="22"/>
              </w:rPr>
              <w:fldChar w:fldCharType="separate"/>
            </w:r>
            <w:r w:rsidR="00952E85" w:rsidRPr="0082484A">
              <w:rPr>
                <w:noProof/>
                <w:sz w:val="22"/>
                <w:szCs w:val="22"/>
                <w:vertAlign w:val="superscript"/>
              </w:rPr>
              <w:t>18</w:t>
            </w:r>
            <w:r w:rsidRPr="0082484A">
              <w:rPr>
                <w:sz w:val="22"/>
                <w:szCs w:val="22"/>
              </w:rPr>
              <w:fldChar w:fldCharType="end"/>
            </w:r>
            <w:r w:rsidRPr="0082484A">
              <w:rPr>
                <w:sz w:val="22"/>
                <w:szCs w:val="22"/>
              </w:rPr>
              <w:t xml:space="preserve"> </w:t>
            </w:r>
          </w:p>
          <w:p w14:paraId="0517A6E9" w14:textId="77777777" w:rsidR="009A3C2D" w:rsidRPr="0082484A" w:rsidRDefault="009A3C2D" w:rsidP="00272145">
            <w:pPr>
              <w:spacing w:line="360" w:lineRule="auto"/>
              <w:jc w:val="both"/>
              <w:rPr>
                <w:sz w:val="22"/>
                <w:szCs w:val="22"/>
              </w:rPr>
            </w:pPr>
          </w:p>
        </w:tc>
      </w:tr>
      <w:tr w:rsidR="009A3C2D" w:rsidRPr="0082484A" w14:paraId="0F06D918" w14:textId="77777777" w:rsidTr="00272145">
        <w:tc>
          <w:tcPr>
            <w:tcW w:w="1962" w:type="dxa"/>
          </w:tcPr>
          <w:p w14:paraId="5E3E786C" w14:textId="77777777" w:rsidR="009A3C2D" w:rsidRPr="0082484A" w:rsidRDefault="009A3C2D" w:rsidP="00272145">
            <w:pPr>
              <w:spacing w:line="360" w:lineRule="auto"/>
              <w:jc w:val="right"/>
              <w:rPr>
                <w:sz w:val="22"/>
                <w:szCs w:val="22"/>
              </w:rPr>
            </w:pPr>
            <w:r w:rsidRPr="0082484A">
              <w:rPr>
                <w:sz w:val="22"/>
                <w:szCs w:val="22"/>
              </w:rPr>
              <w:t>Mortality rate – post SA</w:t>
            </w:r>
          </w:p>
        </w:tc>
        <w:tc>
          <w:tcPr>
            <w:tcW w:w="1843" w:type="dxa"/>
          </w:tcPr>
          <w:p w14:paraId="1D9E9FE1" w14:textId="77777777" w:rsidR="009A3C2D" w:rsidRPr="0082484A" w:rsidRDefault="009A3C2D" w:rsidP="00272145">
            <w:pPr>
              <w:pStyle w:val="Default"/>
              <w:jc w:val="both"/>
              <w:rPr>
                <w:sz w:val="22"/>
                <w:szCs w:val="22"/>
              </w:rPr>
            </w:pPr>
            <w:r w:rsidRPr="0082484A">
              <w:rPr>
                <w:sz w:val="22"/>
                <w:szCs w:val="22"/>
              </w:rPr>
              <w:t xml:space="preserve">1.95 </w:t>
            </w:r>
          </w:p>
          <w:p w14:paraId="696829A4" w14:textId="77777777" w:rsidR="009A3C2D" w:rsidRPr="0082484A" w:rsidRDefault="009A3C2D" w:rsidP="00272145">
            <w:pPr>
              <w:spacing w:line="360" w:lineRule="auto"/>
              <w:jc w:val="both"/>
              <w:rPr>
                <w:sz w:val="22"/>
                <w:szCs w:val="22"/>
              </w:rPr>
            </w:pPr>
          </w:p>
        </w:tc>
        <w:tc>
          <w:tcPr>
            <w:tcW w:w="1985" w:type="dxa"/>
          </w:tcPr>
          <w:p w14:paraId="5C126D8A" w14:textId="77777777" w:rsidR="009A3C2D" w:rsidRPr="0082484A" w:rsidRDefault="009A3C2D" w:rsidP="00272145">
            <w:pPr>
              <w:spacing w:line="360" w:lineRule="auto"/>
              <w:rPr>
                <w:sz w:val="22"/>
                <w:szCs w:val="22"/>
              </w:rPr>
            </w:pPr>
            <w:r w:rsidRPr="0082484A">
              <w:rPr>
                <w:sz w:val="22"/>
                <w:szCs w:val="22"/>
              </w:rPr>
              <w:t>(95% CI: 1.65, 2.31)</w:t>
            </w:r>
          </w:p>
        </w:tc>
        <w:tc>
          <w:tcPr>
            <w:tcW w:w="4553" w:type="dxa"/>
          </w:tcPr>
          <w:p w14:paraId="4A0135BA" w14:textId="412CEEC8" w:rsidR="009A3C2D" w:rsidRPr="0082484A" w:rsidRDefault="009A3C2D" w:rsidP="00272145">
            <w:pPr>
              <w:pStyle w:val="Default"/>
              <w:jc w:val="both"/>
              <w:rPr>
                <w:sz w:val="22"/>
                <w:szCs w:val="22"/>
              </w:rPr>
            </w:pPr>
            <w:r w:rsidRPr="0082484A">
              <w:rPr>
                <w:sz w:val="22"/>
                <w:szCs w:val="22"/>
              </w:rPr>
              <w:t xml:space="preserve">Rosengren </w:t>
            </w:r>
            <w:r w:rsidRPr="0082484A">
              <w:rPr>
                <w:i/>
                <w:sz w:val="22"/>
                <w:szCs w:val="22"/>
              </w:rPr>
              <w:t>et al</w:t>
            </w:r>
            <w:r w:rsidRPr="0082484A">
              <w:rPr>
                <w:sz w:val="22"/>
                <w:szCs w:val="22"/>
              </w:rPr>
              <w:t>.</w:t>
            </w:r>
            <w:r w:rsidRPr="0082484A">
              <w:rPr>
                <w:sz w:val="22"/>
                <w:szCs w:val="22"/>
              </w:rPr>
              <w:fldChar w:fldCharType="begin"/>
            </w:r>
            <w:r w:rsidR="00952E85" w:rsidRPr="0082484A">
              <w:rPr>
                <w:sz w:val="22"/>
                <w:szCs w:val="22"/>
              </w:rPr>
              <w:instrText xml:space="preserve"> ADDIN EN.CITE &lt;EndNote&gt;&lt;Cite&gt;&lt;Author&gt;Rosengren&lt;/Author&gt;&lt;Year&gt;1998&lt;/Year&gt;&lt;RecNum&gt;3334&lt;/RecNum&gt;&lt;DisplayText&gt;&lt;style face="superscript"&gt;19&lt;/style&gt;&lt;/DisplayText&gt;&lt;record&gt;&lt;rec-number&gt;3334&lt;/rec-number&gt;&lt;foreign-keys&gt;&lt;key app="EN" db-id="5srzarxr5dr9r5es2r7xst9lr9t2rewrpffr" timestamp="1516094500"&gt;3334&lt;/key&gt;&lt;/foreign-keys&gt;&lt;ref-type name="Journal Article"&gt;17&lt;/ref-type&gt;&lt;contributors&gt;&lt;authors&gt;&lt;author&gt;Rosengren, A.&lt;/author&gt;&lt;author&gt;Wilhelmsen, L.&lt;/author&gt;&lt;author&gt;Hagman, M.&lt;/author&gt;&lt;author&gt;Wedel, H.&lt;/author&gt;&lt;/authors&gt;&lt;/contributors&gt;&lt;auth-address&gt;Ostra Univ Hosp, Dept Med, Sect Prevent Cardiol, S-41685 Gothenburg, Sweden&amp;#xD;Kungalv Hosp, Dept Med, Kungalv, Sweden&amp;#xD;Nord Sch Publ Hlth, Gothenburg, Sweden&lt;/auth-address&gt;&lt;titles&gt;&lt;title&gt;Natural history of myocardial infarction and angina pectoris in a general population sample of middle-aged men: a 16-year follow-up of the primary prevention study, Goteborg, Sweden&lt;/title&gt;&lt;secondary-title&gt;Journal of Internal Medicine&lt;/secondary-title&gt;&lt;alt-title&gt;J Intern Med&lt;/alt-title&gt;&lt;/titles&gt;&lt;periodical&gt;&lt;full-title&gt;Journal of Internal Medicine&lt;/full-title&gt;&lt;/periodical&gt;&lt;pages&gt;495-505&lt;/pages&gt;&lt;volume&gt;244&lt;/volume&gt;&lt;number&gt;6&lt;/number&gt;&lt;keywords&gt;&lt;keyword&gt;cardiovascular risk factors&lt;/keyword&gt;&lt;keyword&gt;coronary disease&lt;/keyword&gt;&lt;keyword&gt;myocardial infarction &amp;amp; population studies&lt;/keyword&gt;&lt;keyword&gt;long-term prognosis&lt;/keyword&gt;&lt;keyword&gt;coronary heart-disease&lt;/keyword&gt;&lt;keyword&gt;10-year mortality&lt;/keyword&gt;&lt;keyword&gt;serum-cholesterol&lt;/keyword&gt;&lt;keyword&gt;risk-factors&lt;/keyword&gt;&lt;keyword&gt;survival&lt;/keyword&gt;&lt;keyword&gt;framingham&lt;/keyword&gt;&lt;keyword&gt;recovery&lt;/keyword&gt;&lt;keyword&gt;prevalence&lt;/keyword&gt;&lt;keyword&gt;community&lt;/keyword&gt;&lt;/keywords&gt;&lt;dates&gt;&lt;year&gt;1998&lt;/year&gt;&lt;pub-dates&gt;&lt;date&gt;Dec&lt;/date&gt;&lt;/pub-dates&gt;&lt;/dates&gt;&lt;isbn&gt;0954-6820&lt;/isbn&gt;&lt;accession-num&gt;WOS:000077837000008&lt;/accession-num&gt;&lt;urls&gt;&lt;related-urls&gt;&lt;url&gt;&amp;lt;Go to ISI&amp;gt;://WOS:000077837000008&lt;/url&gt;&lt;/related-urls&gt;&lt;/urls&gt;&lt;electronic-resource-num&gt;DOI 10.1111/j.1365-2796.1998.00394.x&lt;/electronic-resource-num&gt;&lt;language&gt;English&lt;/language&gt;&lt;/record&gt;&lt;/Cite&gt;&lt;/EndNote&gt;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19</w:t>
            </w:r>
            <w:r w:rsidRPr="0082484A">
              <w:rPr>
                <w:sz w:val="22"/>
                <w:szCs w:val="22"/>
              </w:rPr>
              <w:fldChar w:fldCharType="end"/>
            </w:r>
          </w:p>
          <w:p w14:paraId="2B76FE4F" w14:textId="77777777" w:rsidR="009A3C2D" w:rsidRPr="0082484A" w:rsidRDefault="009A3C2D" w:rsidP="00272145">
            <w:pPr>
              <w:spacing w:line="360" w:lineRule="auto"/>
              <w:jc w:val="both"/>
              <w:rPr>
                <w:sz w:val="22"/>
                <w:szCs w:val="22"/>
              </w:rPr>
            </w:pPr>
          </w:p>
        </w:tc>
      </w:tr>
      <w:tr w:rsidR="009A3C2D" w:rsidRPr="0082484A" w14:paraId="5F8685F2" w14:textId="77777777" w:rsidTr="00272145">
        <w:tc>
          <w:tcPr>
            <w:tcW w:w="1962" w:type="dxa"/>
          </w:tcPr>
          <w:p w14:paraId="14C330A2" w14:textId="77777777" w:rsidR="009A3C2D" w:rsidRPr="0082484A" w:rsidRDefault="009A3C2D" w:rsidP="00272145">
            <w:pPr>
              <w:spacing w:line="360" w:lineRule="auto"/>
              <w:jc w:val="right"/>
              <w:rPr>
                <w:sz w:val="22"/>
                <w:szCs w:val="22"/>
              </w:rPr>
            </w:pPr>
            <w:r w:rsidRPr="0082484A">
              <w:rPr>
                <w:sz w:val="22"/>
                <w:szCs w:val="22"/>
              </w:rPr>
              <w:t>Mortality rate – post stroke</w:t>
            </w:r>
          </w:p>
        </w:tc>
        <w:tc>
          <w:tcPr>
            <w:tcW w:w="1843" w:type="dxa"/>
          </w:tcPr>
          <w:p w14:paraId="1F2D7232" w14:textId="77777777" w:rsidR="009A3C2D" w:rsidRPr="0082484A" w:rsidRDefault="009A3C2D" w:rsidP="00272145">
            <w:pPr>
              <w:pStyle w:val="Default"/>
              <w:jc w:val="both"/>
              <w:rPr>
                <w:sz w:val="22"/>
                <w:szCs w:val="22"/>
              </w:rPr>
            </w:pPr>
            <w:r w:rsidRPr="0082484A">
              <w:rPr>
                <w:sz w:val="22"/>
                <w:szCs w:val="22"/>
              </w:rPr>
              <w:t xml:space="preserve">2.72 </w:t>
            </w:r>
          </w:p>
          <w:p w14:paraId="2D82BC9C" w14:textId="77777777" w:rsidR="009A3C2D" w:rsidRPr="0082484A" w:rsidRDefault="009A3C2D" w:rsidP="00272145">
            <w:pPr>
              <w:spacing w:line="360" w:lineRule="auto"/>
              <w:jc w:val="both"/>
              <w:rPr>
                <w:sz w:val="22"/>
                <w:szCs w:val="22"/>
              </w:rPr>
            </w:pPr>
          </w:p>
        </w:tc>
        <w:tc>
          <w:tcPr>
            <w:tcW w:w="1985" w:type="dxa"/>
          </w:tcPr>
          <w:p w14:paraId="0B8A7B5A" w14:textId="77777777" w:rsidR="009A3C2D" w:rsidRPr="0082484A" w:rsidRDefault="009A3C2D" w:rsidP="00272145">
            <w:pPr>
              <w:spacing w:line="360" w:lineRule="auto"/>
              <w:rPr>
                <w:sz w:val="22"/>
                <w:szCs w:val="22"/>
              </w:rPr>
            </w:pPr>
            <w:r w:rsidRPr="0082484A">
              <w:rPr>
                <w:sz w:val="22"/>
                <w:szCs w:val="22"/>
              </w:rPr>
              <w:t>(95% CI: 2.59, 2.85)</w:t>
            </w:r>
          </w:p>
        </w:tc>
        <w:tc>
          <w:tcPr>
            <w:tcW w:w="4553" w:type="dxa"/>
          </w:tcPr>
          <w:p w14:paraId="5AAAD488" w14:textId="5B3475D0" w:rsidR="009A3C2D" w:rsidRPr="0082484A" w:rsidRDefault="009A3C2D" w:rsidP="00272145">
            <w:pPr>
              <w:pStyle w:val="Default"/>
              <w:jc w:val="both"/>
              <w:rPr>
                <w:sz w:val="22"/>
                <w:szCs w:val="22"/>
              </w:rPr>
            </w:pPr>
            <w:r w:rsidRPr="0082484A">
              <w:rPr>
                <w:sz w:val="22"/>
                <w:szCs w:val="22"/>
              </w:rPr>
              <w:t xml:space="preserve">Bronnum-Hansen </w:t>
            </w:r>
            <w:r w:rsidRPr="0082484A">
              <w:rPr>
                <w:i/>
                <w:sz w:val="22"/>
                <w:szCs w:val="22"/>
              </w:rPr>
              <w:t>et al.</w:t>
            </w:r>
            <w:r w:rsidRPr="0082484A">
              <w:rPr>
                <w:sz w:val="22"/>
                <w:szCs w:val="22"/>
              </w:rPr>
              <w:fldChar w:fldCharType="begin"/>
            </w:r>
            <w:r w:rsidR="00952E85" w:rsidRPr="0082484A">
              <w:rPr>
                <w:sz w:val="22"/>
                <w:szCs w:val="22"/>
              </w:rPr>
              <w:instrText xml:space="preserve"> ADDIN EN.CITE &lt;EndNote&gt;&lt;Cite&gt;&lt;Author&gt;Bronnum-Hansen&lt;/Author&gt;&lt;Year&gt;2001&lt;/Year&gt;&lt;RecNum&gt;3333&lt;/RecNum&gt;&lt;DisplayText&gt;&lt;style face="superscript"&gt;20&lt;/style&gt;&lt;/DisplayText&gt;&lt;record&gt;&lt;rec-number&gt;3333&lt;/rec-number&gt;&lt;foreign-keys&gt;&lt;key app="EN" db-id="5srzarxr5dr9r5es2r7xst9lr9t2rewrpffr" timestamp="1516094350"&gt;3333&lt;/key&gt;&lt;/foreign-keys&gt;&lt;ref-type name="Journal Article"&gt;17&lt;/ref-type&gt;&lt;contributors&gt;&lt;authors&gt;&lt;author&gt;Bronnum-Hansen, H.&lt;/author&gt;&lt;author&gt;Davidsen, M.&lt;/author&gt;&lt;author&gt;Thorvaldsen, P.&lt;/author&gt;&lt;author&gt;Danish MONICA Study Grp&lt;/author&gt;&lt;/authors&gt;&lt;/contributors&gt;&lt;auth-address&gt;Natl Inst Publ Hlth, DK-2100 Copenhagen 0, Denmark&amp;#xD;Glostrup Univ, Glostrup Populat Studies, Ctr Prevent Med, Glostrup, Denmark&amp;#xD;Gentofte Univ Hosp, Dept Neurol, Hellerup, Denmark&lt;/auth-address&gt;&lt;titles&gt;&lt;title&gt;Long-term survival and causes of death after stroke&lt;/title&gt;&lt;secondary-title&gt;Stroke&lt;/secondary-title&gt;&lt;alt-title&gt;Stroke&lt;/alt-title&gt;&lt;/titles&gt;&lt;periodical&gt;&lt;full-title&gt;Stroke&lt;/full-title&gt;&lt;/periodical&gt;&lt;alt-periodical&gt;&lt;full-title&gt;Stroke&lt;/full-title&gt;&lt;/alt-periodical&gt;&lt;pages&gt;2131-2136&lt;/pages&gt;&lt;volume&gt;32&lt;/volume&gt;&lt;number&gt;9&lt;/number&gt;&lt;keywords&gt;&lt;keyword&gt;cause of death&lt;/keyword&gt;&lt;keyword&gt;cerebrovascular disorders&lt;/keyword&gt;&lt;keyword&gt;denmark&lt;/keyword&gt;&lt;keyword&gt;epidemiology&lt;/keyword&gt;&lt;keyword&gt;survival&lt;/keyword&gt;&lt;keyword&gt;community stroke&lt;/keyword&gt;&lt;keyword&gt;monica project&lt;/keyword&gt;&lt;keyword&gt;recurrence&lt;/keyword&gt;&lt;keyword&gt;population&lt;/keyword&gt;&lt;keyword&gt;trends&lt;/keyword&gt;&lt;keyword&gt;determinants&lt;/keyword&gt;&lt;keyword&gt;infarction&lt;/keyword&gt;&lt;keyword&gt;mortality&lt;/keyword&gt;&lt;keyword&gt;rochester&lt;/keyword&gt;&lt;keyword&gt;minnesota&lt;/keyword&gt;&lt;/keywords&gt;&lt;dates&gt;&lt;year&gt;2001&lt;/year&gt;&lt;pub-dates&gt;&lt;date&gt;Sep&lt;/date&gt;&lt;/pub-dates&gt;&lt;/dates&gt;&lt;isbn&gt;0039-2499&lt;/isbn&gt;&lt;accession-num&gt;WOS:000170929500039&lt;/accession-num&gt;&lt;urls&gt;&lt;related-urls&gt;&lt;url&gt;&amp;lt;Go to ISI&amp;gt;://WOS:000170929500039&lt;/url&gt;&lt;/related-urls&gt;&lt;/urls&gt;&lt;electronic-resource-num&gt;DOI 10.1161/hs0901.094253&lt;/electronic-resource-num&gt;&lt;language&gt;English&lt;/language&gt;&lt;/record&gt;&lt;/Cite&gt;&lt;/EndNote&gt;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20</w:t>
            </w:r>
            <w:r w:rsidRPr="0082484A">
              <w:rPr>
                <w:sz w:val="22"/>
                <w:szCs w:val="22"/>
              </w:rPr>
              <w:fldChar w:fldCharType="end"/>
            </w:r>
          </w:p>
          <w:p w14:paraId="66A83F05" w14:textId="77777777" w:rsidR="009A3C2D" w:rsidRPr="0082484A" w:rsidRDefault="009A3C2D" w:rsidP="00272145">
            <w:pPr>
              <w:spacing w:line="360" w:lineRule="auto"/>
              <w:jc w:val="both"/>
              <w:rPr>
                <w:sz w:val="22"/>
                <w:szCs w:val="22"/>
              </w:rPr>
            </w:pPr>
          </w:p>
        </w:tc>
      </w:tr>
      <w:tr w:rsidR="009A3C2D" w:rsidRPr="0082484A" w14:paraId="364E6B8B" w14:textId="77777777" w:rsidTr="00272145">
        <w:tc>
          <w:tcPr>
            <w:tcW w:w="1962" w:type="dxa"/>
          </w:tcPr>
          <w:p w14:paraId="46CD7AAB" w14:textId="77777777" w:rsidR="009A3C2D" w:rsidRPr="0082484A" w:rsidRDefault="009A3C2D" w:rsidP="00272145">
            <w:pPr>
              <w:spacing w:line="360" w:lineRule="auto"/>
              <w:jc w:val="right"/>
              <w:rPr>
                <w:sz w:val="22"/>
                <w:szCs w:val="22"/>
              </w:rPr>
            </w:pPr>
            <w:r w:rsidRPr="0082484A">
              <w:rPr>
                <w:sz w:val="22"/>
                <w:szCs w:val="22"/>
              </w:rPr>
              <w:t>Mortality rate – post TIA</w:t>
            </w:r>
          </w:p>
        </w:tc>
        <w:tc>
          <w:tcPr>
            <w:tcW w:w="1843" w:type="dxa"/>
          </w:tcPr>
          <w:p w14:paraId="53E7BF39" w14:textId="77777777" w:rsidR="009A3C2D" w:rsidRPr="0082484A" w:rsidRDefault="009A3C2D" w:rsidP="00272145">
            <w:pPr>
              <w:pStyle w:val="Default"/>
              <w:jc w:val="both"/>
              <w:rPr>
                <w:sz w:val="22"/>
                <w:szCs w:val="22"/>
              </w:rPr>
            </w:pPr>
            <w:r w:rsidRPr="0082484A">
              <w:rPr>
                <w:sz w:val="22"/>
                <w:szCs w:val="22"/>
              </w:rPr>
              <w:t xml:space="preserve">1.4 </w:t>
            </w:r>
          </w:p>
          <w:p w14:paraId="7C9FC405" w14:textId="77777777" w:rsidR="009A3C2D" w:rsidRPr="0082484A" w:rsidRDefault="009A3C2D" w:rsidP="00272145">
            <w:pPr>
              <w:spacing w:line="360" w:lineRule="auto"/>
              <w:jc w:val="both"/>
              <w:rPr>
                <w:sz w:val="22"/>
                <w:szCs w:val="22"/>
              </w:rPr>
            </w:pPr>
          </w:p>
        </w:tc>
        <w:tc>
          <w:tcPr>
            <w:tcW w:w="1985" w:type="dxa"/>
          </w:tcPr>
          <w:p w14:paraId="182FFD9D" w14:textId="77777777" w:rsidR="009A3C2D" w:rsidRPr="0082484A" w:rsidRDefault="009A3C2D" w:rsidP="00272145">
            <w:pPr>
              <w:spacing w:line="360" w:lineRule="auto"/>
              <w:jc w:val="both"/>
              <w:rPr>
                <w:sz w:val="22"/>
                <w:szCs w:val="22"/>
              </w:rPr>
            </w:pPr>
            <w:r w:rsidRPr="0082484A">
              <w:rPr>
                <w:sz w:val="22"/>
                <w:szCs w:val="22"/>
              </w:rPr>
              <w:t>(95% CI: 1.1, 1.8)</w:t>
            </w:r>
          </w:p>
        </w:tc>
        <w:tc>
          <w:tcPr>
            <w:tcW w:w="4553" w:type="dxa"/>
          </w:tcPr>
          <w:p w14:paraId="04212503" w14:textId="115C939B" w:rsidR="009A3C2D" w:rsidRPr="0082484A" w:rsidRDefault="009A3C2D" w:rsidP="00272145">
            <w:pPr>
              <w:pStyle w:val="Default"/>
              <w:jc w:val="both"/>
              <w:rPr>
                <w:sz w:val="22"/>
                <w:szCs w:val="22"/>
              </w:rPr>
            </w:pPr>
            <w:r w:rsidRPr="0082484A">
              <w:rPr>
                <w:sz w:val="22"/>
                <w:szCs w:val="22"/>
              </w:rPr>
              <w:t>Oxfordshire Community Stroke Project</w:t>
            </w:r>
            <w:r w:rsidRPr="0082484A">
              <w:rPr>
                <w:sz w:val="22"/>
                <w:szCs w:val="22"/>
              </w:rPr>
              <w:fldChar w:fldCharType="begin"/>
            </w:r>
            <w:r w:rsidR="00952E85" w:rsidRPr="0082484A">
              <w:rPr>
                <w:sz w:val="22"/>
                <w:szCs w:val="22"/>
              </w:rPr>
              <w:instrText xml:space="preserve"> ADDIN EN.CITE &lt;EndNote&gt;&lt;Cite&gt;&lt;Author&gt;Dennis&lt;/Author&gt;&lt;Year&gt;1990&lt;/Year&gt;&lt;RecNum&gt;3335&lt;/RecNum&gt;&lt;DisplayText&gt;&lt;style face="superscript"&gt;21&lt;/style&gt;&lt;/DisplayText&gt;&lt;record&gt;&lt;rec-number&gt;3335&lt;/rec-number&gt;&lt;foreign-keys&gt;&lt;key app="EN" db-id="5srzarxr5dr9r5es2r7xst9lr9t2rewrpffr" timestamp="1516094687"&gt;3335&lt;/key&gt;&lt;/foreign-keys&gt;&lt;ref-type name="Journal Article"&gt;17&lt;/ref-type&gt;&lt;contributors&gt;&lt;authors&gt;&lt;author&gt;Dennis, M.&lt;/author&gt;&lt;author&gt;Bamford, J.&lt;/author&gt;&lt;author&gt;Sandercock, P.&lt;/author&gt;&lt;author&gt;Warlow, C.&lt;/author&gt;&lt;/authors&gt;&lt;/contributors&gt;&lt;auth-address&gt;Univ Oxford,Radcliffe Infirm,Dept Clin Neurol,Oxford Ox2 6he,England&lt;/auth-address&gt;&lt;titles&gt;&lt;title&gt;Prognosis of Transient Ischemic Attacks in the Oxfordshire-Community-Stroke-Project&lt;/title&gt;&lt;secondary-title&gt;Stroke&lt;/secondary-title&gt;&lt;alt-title&gt;Stroke&lt;/alt-title&gt;&lt;/titles&gt;&lt;periodical&gt;&lt;full-title&gt;Stroke&lt;/full-title&gt;&lt;/periodical&gt;&lt;alt-periodical&gt;&lt;full-title&gt;Stroke&lt;/full-title&gt;&lt;/alt-periodical&gt;&lt;pages&gt;848-853&lt;/pages&gt;&lt;volume&gt;21&lt;/volume&gt;&lt;number&gt;6&lt;/number&gt;&lt;dates&gt;&lt;year&gt;1990&lt;/year&gt;&lt;pub-dates&gt;&lt;date&gt;Jun&lt;/date&gt;&lt;/pub-dates&gt;&lt;/dates&gt;&lt;isbn&gt;0039-2499&lt;/isbn&gt;&lt;accession-num&gt;WOS:A1990DJ39100003&lt;/accession-num&gt;&lt;urls&gt;&lt;related-urls&gt;&lt;url&gt;&amp;lt;Go to ISI&amp;gt;://WOS:A1990DJ39100003&lt;/url&gt;&lt;/related-urls&gt;&lt;/urls&gt;&lt;electronic-resource-num&gt;Doi 10.1161/01.Str.21.6.848&lt;/electronic-resource-num&gt;&lt;language&gt;English&lt;/language&gt;&lt;/record&gt;&lt;/Cite&gt;&lt;/EndNote&gt;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21</w:t>
            </w:r>
            <w:r w:rsidRPr="0082484A">
              <w:rPr>
                <w:sz w:val="22"/>
                <w:szCs w:val="22"/>
              </w:rPr>
              <w:fldChar w:fldCharType="end"/>
            </w:r>
            <w:r w:rsidRPr="0082484A">
              <w:rPr>
                <w:sz w:val="22"/>
                <w:szCs w:val="22"/>
              </w:rPr>
              <w:t xml:space="preserve"> </w:t>
            </w:r>
          </w:p>
          <w:p w14:paraId="0695A7AE" w14:textId="77777777" w:rsidR="009A3C2D" w:rsidRPr="0082484A" w:rsidRDefault="009A3C2D" w:rsidP="00272145">
            <w:pPr>
              <w:spacing w:line="360" w:lineRule="auto"/>
              <w:jc w:val="both"/>
              <w:rPr>
                <w:sz w:val="22"/>
                <w:szCs w:val="22"/>
              </w:rPr>
            </w:pPr>
          </w:p>
        </w:tc>
      </w:tr>
      <w:tr w:rsidR="009A3C2D" w:rsidRPr="0082484A" w14:paraId="729D7080" w14:textId="77777777" w:rsidTr="00272145">
        <w:tc>
          <w:tcPr>
            <w:tcW w:w="1962" w:type="dxa"/>
          </w:tcPr>
          <w:p w14:paraId="79808936" w14:textId="77777777" w:rsidR="009A3C2D" w:rsidRPr="0082484A" w:rsidRDefault="009A3C2D" w:rsidP="00272145">
            <w:pPr>
              <w:spacing w:line="360" w:lineRule="auto"/>
              <w:jc w:val="right"/>
              <w:rPr>
                <w:sz w:val="22"/>
                <w:szCs w:val="22"/>
              </w:rPr>
            </w:pPr>
            <w:r w:rsidRPr="0082484A">
              <w:rPr>
                <w:sz w:val="22"/>
                <w:szCs w:val="22"/>
              </w:rPr>
              <w:t>Background mortality</w:t>
            </w:r>
          </w:p>
        </w:tc>
        <w:tc>
          <w:tcPr>
            <w:tcW w:w="1843" w:type="dxa"/>
          </w:tcPr>
          <w:p w14:paraId="531CD507" w14:textId="77777777" w:rsidR="009A3C2D" w:rsidRPr="0082484A" w:rsidRDefault="009A3C2D" w:rsidP="00272145">
            <w:pPr>
              <w:spacing w:line="360" w:lineRule="auto"/>
              <w:jc w:val="both"/>
              <w:rPr>
                <w:sz w:val="22"/>
                <w:szCs w:val="22"/>
              </w:rPr>
            </w:pPr>
            <w:r w:rsidRPr="0082484A">
              <w:rPr>
                <w:sz w:val="22"/>
                <w:szCs w:val="22"/>
              </w:rPr>
              <w:t>Not shown</w:t>
            </w:r>
          </w:p>
        </w:tc>
        <w:tc>
          <w:tcPr>
            <w:tcW w:w="1985" w:type="dxa"/>
          </w:tcPr>
          <w:p w14:paraId="1425437D" w14:textId="77777777" w:rsidR="009A3C2D" w:rsidRPr="0082484A" w:rsidRDefault="009A3C2D" w:rsidP="00272145">
            <w:pPr>
              <w:spacing w:line="360" w:lineRule="auto"/>
              <w:jc w:val="both"/>
              <w:rPr>
                <w:sz w:val="22"/>
                <w:szCs w:val="22"/>
              </w:rPr>
            </w:pPr>
            <w:r w:rsidRPr="0082484A">
              <w:rPr>
                <w:sz w:val="22"/>
                <w:szCs w:val="22"/>
              </w:rPr>
              <w:t>Not shown</w:t>
            </w:r>
          </w:p>
        </w:tc>
        <w:tc>
          <w:tcPr>
            <w:tcW w:w="4553" w:type="dxa"/>
          </w:tcPr>
          <w:p w14:paraId="749AD2FF" w14:textId="77777777" w:rsidR="009A3C2D" w:rsidRPr="0082484A" w:rsidRDefault="009A3C2D" w:rsidP="00272145">
            <w:pPr>
              <w:spacing w:line="360" w:lineRule="auto"/>
              <w:jc w:val="both"/>
              <w:rPr>
                <w:sz w:val="22"/>
                <w:szCs w:val="22"/>
              </w:rPr>
            </w:pPr>
            <w:r w:rsidRPr="0082484A">
              <w:rPr>
                <w:sz w:val="22"/>
                <w:szCs w:val="22"/>
              </w:rPr>
              <w:t>UK life tables</w:t>
            </w:r>
          </w:p>
        </w:tc>
      </w:tr>
      <w:tr w:rsidR="009A3C2D" w:rsidRPr="0082484A" w14:paraId="2FC44E04" w14:textId="77777777" w:rsidTr="00272145">
        <w:tc>
          <w:tcPr>
            <w:tcW w:w="1962" w:type="dxa"/>
          </w:tcPr>
          <w:p w14:paraId="1CF1E60C" w14:textId="77777777" w:rsidR="009A3C2D" w:rsidRPr="0082484A" w:rsidRDefault="009A3C2D" w:rsidP="00272145">
            <w:pPr>
              <w:spacing w:line="360" w:lineRule="auto"/>
              <w:jc w:val="right"/>
              <w:rPr>
                <w:sz w:val="22"/>
                <w:szCs w:val="22"/>
              </w:rPr>
            </w:pPr>
          </w:p>
        </w:tc>
        <w:tc>
          <w:tcPr>
            <w:tcW w:w="1843" w:type="dxa"/>
          </w:tcPr>
          <w:p w14:paraId="07132478" w14:textId="77777777" w:rsidR="009A3C2D" w:rsidRPr="0082484A" w:rsidRDefault="009A3C2D" w:rsidP="00272145">
            <w:pPr>
              <w:spacing w:line="360" w:lineRule="auto"/>
              <w:jc w:val="both"/>
              <w:rPr>
                <w:sz w:val="22"/>
                <w:szCs w:val="22"/>
                <w:highlight w:val="yellow"/>
              </w:rPr>
            </w:pPr>
          </w:p>
        </w:tc>
        <w:tc>
          <w:tcPr>
            <w:tcW w:w="1985" w:type="dxa"/>
          </w:tcPr>
          <w:p w14:paraId="046AB55D" w14:textId="77777777" w:rsidR="009A3C2D" w:rsidRPr="0082484A" w:rsidRDefault="009A3C2D" w:rsidP="00272145">
            <w:pPr>
              <w:spacing w:line="360" w:lineRule="auto"/>
              <w:jc w:val="both"/>
              <w:rPr>
                <w:sz w:val="22"/>
                <w:szCs w:val="22"/>
              </w:rPr>
            </w:pPr>
          </w:p>
        </w:tc>
        <w:tc>
          <w:tcPr>
            <w:tcW w:w="4553" w:type="dxa"/>
          </w:tcPr>
          <w:p w14:paraId="0CBC52E2" w14:textId="77777777" w:rsidR="009A3C2D" w:rsidRPr="0082484A" w:rsidRDefault="009A3C2D" w:rsidP="00272145">
            <w:pPr>
              <w:spacing w:line="360" w:lineRule="auto"/>
              <w:jc w:val="both"/>
              <w:rPr>
                <w:sz w:val="22"/>
                <w:szCs w:val="22"/>
              </w:rPr>
            </w:pPr>
          </w:p>
        </w:tc>
      </w:tr>
      <w:tr w:rsidR="009A3C2D" w:rsidRPr="0082484A" w14:paraId="0E3FD9DF" w14:textId="77777777" w:rsidTr="00272145">
        <w:tc>
          <w:tcPr>
            <w:tcW w:w="10343" w:type="dxa"/>
            <w:gridSpan w:val="4"/>
          </w:tcPr>
          <w:p w14:paraId="18F1C5D9" w14:textId="77777777" w:rsidR="009A3C2D" w:rsidRPr="0082484A" w:rsidRDefault="009A3C2D" w:rsidP="00272145">
            <w:pPr>
              <w:spacing w:line="360" w:lineRule="auto"/>
              <w:jc w:val="both"/>
              <w:rPr>
                <w:sz w:val="22"/>
                <w:szCs w:val="22"/>
              </w:rPr>
            </w:pPr>
            <w:r w:rsidRPr="0082484A">
              <w:rPr>
                <w:i/>
                <w:sz w:val="22"/>
                <w:szCs w:val="22"/>
              </w:rPr>
              <w:t>Risk reduction/increase due to treatment/no treatment</w:t>
            </w:r>
          </w:p>
        </w:tc>
      </w:tr>
      <w:tr w:rsidR="009A3C2D" w:rsidRPr="0082484A" w14:paraId="29519873" w14:textId="77777777" w:rsidTr="00272145">
        <w:tc>
          <w:tcPr>
            <w:tcW w:w="1962" w:type="dxa"/>
          </w:tcPr>
          <w:p w14:paraId="4295F0CA" w14:textId="77777777" w:rsidR="009A3C2D" w:rsidRPr="0082484A" w:rsidRDefault="009A3C2D" w:rsidP="00272145">
            <w:pPr>
              <w:spacing w:line="360" w:lineRule="auto"/>
              <w:jc w:val="right"/>
              <w:rPr>
                <w:sz w:val="22"/>
                <w:szCs w:val="22"/>
              </w:rPr>
            </w:pPr>
            <w:r w:rsidRPr="0082484A">
              <w:rPr>
                <w:sz w:val="22"/>
                <w:szCs w:val="22"/>
              </w:rPr>
              <w:t>CHD risk reduction</w:t>
            </w:r>
          </w:p>
        </w:tc>
        <w:tc>
          <w:tcPr>
            <w:tcW w:w="1843" w:type="dxa"/>
          </w:tcPr>
          <w:p w14:paraId="0D4358BE" w14:textId="27AB6649" w:rsidR="009A3C2D" w:rsidRPr="0082484A" w:rsidRDefault="00644054" w:rsidP="00272145">
            <w:pPr>
              <w:pStyle w:val="Default"/>
              <w:jc w:val="both"/>
              <w:rPr>
                <w:sz w:val="22"/>
                <w:szCs w:val="22"/>
                <w:lang w:val="es-MX"/>
              </w:rPr>
            </w:pPr>
            <m:oMathPara>
              <m:oMath>
                <m:sSub>
                  <m:sSubPr>
                    <m:ctrlPr>
                      <w:rPr>
                        <w:rFonts w:ascii="Cambria Math" w:hAnsi="Cambria Math"/>
                        <w:i/>
                        <w:sz w:val="22"/>
                        <w:szCs w:val="22"/>
                        <w:lang w:val="es-MX"/>
                      </w:rPr>
                    </m:ctrlPr>
                  </m:sSubPr>
                  <m:e>
                    <m:r>
                      <w:rPr>
                        <w:rFonts w:ascii="Cambria Math" w:hAnsi="Cambria Math"/>
                        <w:sz w:val="22"/>
                        <w:szCs w:val="22"/>
                        <w:lang w:val="es-MX"/>
                      </w:rPr>
                      <m:t>x</m:t>
                    </m:r>
                  </m:e>
                  <m:sub>
                    <m:r>
                      <w:rPr>
                        <w:rFonts w:ascii="Cambria Math" w:hAnsi="Cambria Math"/>
                        <w:sz w:val="22"/>
                        <w:szCs w:val="22"/>
                        <w:lang w:val="es-MX"/>
                      </w:rPr>
                      <m:t>i</m:t>
                    </m:r>
                  </m:sub>
                </m:sSub>
                <m:sSup>
                  <m:sSupPr>
                    <m:ctrlPr>
                      <w:rPr>
                        <w:rFonts w:ascii="Cambria Math" w:hAnsi="Cambria Math"/>
                        <w:i/>
                        <w:sz w:val="22"/>
                        <w:szCs w:val="22"/>
                        <w:lang w:val="es-MX"/>
                      </w:rPr>
                    </m:ctrlPr>
                  </m:sSupPr>
                  <m:e>
                    <m:r>
                      <w:rPr>
                        <w:rFonts w:ascii="Cambria Math" w:hAnsi="Cambria Math"/>
                        <w:sz w:val="22"/>
                        <w:szCs w:val="22"/>
                        <w:lang w:val="es-MX"/>
                      </w:rPr>
                      <m:t>e</m:t>
                    </m:r>
                  </m:e>
                  <m:sup>
                    <m:sSub>
                      <m:sSubPr>
                        <m:ctrlPr>
                          <w:rPr>
                            <w:rFonts w:ascii="Cambria Math" w:hAnsi="Cambria Math"/>
                            <w:i/>
                            <w:sz w:val="22"/>
                            <w:szCs w:val="22"/>
                            <w:lang w:val="es-MX"/>
                          </w:rPr>
                        </m:ctrlPr>
                      </m:sSubPr>
                      <m:e>
                        <m:r>
                          <w:rPr>
                            <w:rFonts w:ascii="Cambria Math" w:hAnsi="Cambria Math"/>
                            <w:sz w:val="22"/>
                            <w:szCs w:val="22"/>
                            <w:lang w:val="es-MX"/>
                          </w:rPr>
                          <m:t>z</m:t>
                        </m:r>
                      </m:e>
                      <m:sub>
                        <m:r>
                          <w:rPr>
                            <w:rFonts w:ascii="Cambria Math" w:hAnsi="Cambria Math"/>
                            <w:sz w:val="22"/>
                            <w:szCs w:val="22"/>
                            <w:lang w:val="es-MX"/>
                          </w:rPr>
                          <m:t>i</m:t>
                        </m:r>
                      </m:sub>
                    </m:sSub>
                    <m:r>
                      <w:rPr>
                        <w:rFonts w:ascii="Cambria Math" w:hAnsi="Cambria Math"/>
                        <w:sz w:val="22"/>
                        <w:szCs w:val="22"/>
                        <w:lang w:val="es-MX"/>
                      </w:rPr>
                      <m:t>*RBP</m:t>
                    </m:r>
                  </m:sup>
                </m:sSup>
              </m:oMath>
            </m:oMathPara>
          </w:p>
          <w:p w14:paraId="6BB01EF4" w14:textId="0103533A" w:rsidR="009A3C2D" w:rsidRPr="0082484A" w:rsidRDefault="00644054" w:rsidP="00272145">
            <w:pPr>
              <w:pStyle w:val="Default"/>
              <w:jc w:val="both"/>
              <w:rPr>
                <w:i/>
                <w:sz w:val="22"/>
                <w:szCs w:val="22"/>
              </w:rPr>
            </w:pPr>
            <m:oMath>
              <m:sSub>
                <m:sSubPr>
                  <m:ctrlPr>
                    <w:rPr>
                      <w:rFonts w:ascii="Cambria Math" w:hAnsi="Cambria Math"/>
                      <w:i/>
                      <w:sz w:val="22"/>
                      <w:szCs w:val="22"/>
                      <w:lang w:val="es-MX"/>
                    </w:rPr>
                  </m:ctrlPr>
                </m:sSubPr>
                <m:e>
                  <m:r>
                    <w:rPr>
                      <w:rFonts w:ascii="Cambria Math" w:hAnsi="Cambria Math"/>
                      <w:sz w:val="22"/>
                      <w:szCs w:val="22"/>
                      <w:lang w:val="es-MX"/>
                    </w:rPr>
                    <m:t>x</m:t>
                  </m:r>
                </m:e>
                <m:sub>
                  <m:r>
                    <w:rPr>
                      <w:rFonts w:ascii="Cambria Math" w:hAnsi="Cambria Math"/>
                      <w:sz w:val="22"/>
                      <w:szCs w:val="22"/>
                      <w:lang w:val="es-MX"/>
                    </w:rPr>
                    <m:t>i</m:t>
                  </m:r>
                </m:sub>
              </m:sSub>
            </m:oMath>
            <w:r w:rsidR="009A3C2D" w:rsidRPr="0082484A">
              <w:rPr>
                <w:i/>
                <w:sz w:val="22"/>
                <w:szCs w:val="22"/>
              </w:rPr>
              <w:t xml:space="preserve"> If aged: </w:t>
            </w:r>
          </w:p>
          <w:p w14:paraId="5EA05DBE" w14:textId="77777777" w:rsidR="009A3C2D" w:rsidRPr="0082484A" w:rsidRDefault="009A3C2D" w:rsidP="00272145">
            <w:pPr>
              <w:pStyle w:val="Default"/>
              <w:jc w:val="both"/>
              <w:rPr>
                <w:sz w:val="22"/>
                <w:szCs w:val="22"/>
              </w:rPr>
            </w:pPr>
            <w:r w:rsidRPr="0082484A">
              <w:rPr>
                <w:sz w:val="22"/>
                <w:szCs w:val="22"/>
              </w:rPr>
              <w:t>60-69y: 0.998</w:t>
            </w:r>
          </w:p>
          <w:p w14:paraId="49391977" w14:textId="77777777" w:rsidR="009A3C2D" w:rsidRPr="0082484A" w:rsidRDefault="009A3C2D" w:rsidP="00272145">
            <w:pPr>
              <w:pStyle w:val="Default"/>
              <w:jc w:val="both"/>
              <w:rPr>
                <w:sz w:val="22"/>
                <w:szCs w:val="22"/>
              </w:rPr>
            </w:pPr>
            <w:r w:rsidRPr="0082484A">
              <w:rPr>
                <w:sz w:val="22"/>
                <w:szCs w:val="22"/>
              </w:rPr>
              <w:t>70-79y: 0.996</w:t>
            </w:r>
          </w:p>
          <w:p w14:paraId="2E92C319" w14:textId="77777777" w:rsidR="009A3C2D" w:rsidRPr="0082484A" w:rsidRDefault="009A3C2D" w:rsidP="00272145">
            <w:pPr>
              <w:pStyle w:val="Default"/>
              <w:jc w:val="both"/>
              <w:rPr>
                <w:sz w:val="22"/>
                <w:szCs w:val="22"/>
              </w:rPr>
            </w:pPr>
            <w:r w:rsidRPr="0082484A">
              <w:rPr>
                <w:sz w:val="22"/>
                <w:szCs w:val="22"/>
              </w:rPr>
              <w:t>80+:       0.999</w:t>
            </w:r>
          </w:p>
          <w:p w14:paraId="4F5359E4" w14:textId="0CDF21CA" w:rsidR="009A3C2D" w:rsidRPr="0082484A" w:rsidRDefault="00644054" w:rsidP="00272145">
            <w:pPr>
              <w:pStyle w:val="Default"/>
              <w:jc w:val="both"/>
              <w:rPr>
                <w:sz w:val="22"/>
                <w:szCs w:val="22"/>
              </w:rPr>
            </w:pPr>
            <m:oMath>
              <m:sSub>
                <m:sSubPr>
                  <m:ctrlPr>
                    <w:rPr>
                      <w:rFonts w:ascii="Cambria Math" w:hAnsi="Cambria Math"/>
                      <w:i/>
                      <w:sz w:val="22"/>
                      <w:szCs w:val="22"/>
                      <w:lang w:val="es-MX"/>
                    </w:rPr>
                  </m:ctrlPr>
                </m:sSubPr>
                <m:e>
                  <m:r>
                    <w:rPr>
                      <w:rFonts w:ascii="Cambria Math" w:hAnsi="Cambria Math"/>
                      <w:sz w:val="22"/>
                      <w:szCs w:val="22"/>
                      <w:lang w:val="es-MX"/>
                    </w:rPr>
                    <m:t>z</m:t>
                  </m:r>
                </m:e>
                <m:sub>
                  <m:r>
                    <w:rPr>
                      <w:rFonts w:ascii="Cambria Math" w:hAnsi="Cambria Math"/>
                      <w:sz w:val="22"/>
                      <w:szCs w:val="22"/>
                      <w:lang w:val="es-MX"/>
                    </w:rPr>
                    <m:t>i</m:t>
                  </m:r>
                </m:sub>
              </m:sSub>
            </m:oMath>
            <w:r w:rsidR="009A3C2D" w:rsidRPr="0082484A">
              <w:rPr>
                <w:rFonts w:eastAsiaTheme="minorEastAsia"/>
                <w:sz w:val="22"/>
                <w:szCs w:val="22"/>
              </w:rPr>
              <w:t xml:space="preserve"> </w:t>
            </w:r>
            <w:r w:rsidR="009A3C2D" w:rsidRPr="0082484A">
              <w:rPr>
                <w:i/>
                <w:sz w:val="22"/>
                <w:szCs w:val="22"/>
              </w:rPr>
              <w:t>If aged:</w:t>
            </w:r>
          </w:p>
          <w:p w14:paraId="4BAC686D" w14:textId="77777777" w:rsidR="009A3C2D" w:rsidRPr="0082484A" w:rsidRDefault="009A3C2D" w:rsidP="00272145">
            <w:pPr>
              <w:pStyle w:val="Default"/>
              <w:jc w:val="both"/>
              <w:rPr>
                <w:sz w:val="22"/>
                <w:szCs w:val="22"/>
              </w:rPr>
            </w:pPr>
            <w:r w:rsidRPr="0082484A">
              <w:rPr>
                <w:sz w:val="22"/>
                <w:szCs w:val="22"/>
              </w:rPr>
              <w:t>60-69y: -0.031</w:t>
            </w:r>
          </w:p>
          <w:p w14:paraId="302F0D51" w14:textId="77777777" w:rsidR="009A3C2D" w:rsidRPr="0082484A" w:rsidRDefault="009A3C2D" w:rsidP="00272145">
            <w:pPr>
              <w:pStyle w:val="Default"/>
              <w:jc w:val="both"/>
              <w:rPr>
                <w:sz w:val="22"/>
                <w:szCs w:val="22"/>
              </w:rPr>
            </w:pPr>
            <w:r w:rsidRPr="0082484A">
              <w:rPr>
                <w:sz w:val="22"/>
                <w:szCs w:val="22"/>
              </w:rPr>
              <w:t>70-79y: -0.026</w:t>
            </w:r>
          </w:p>
          <w:p w14:paraId="181EAF99" w14:textId="77777777" w:rsidR="009A3C2D" w:rsidRPr="0082484A" w:rsidRDefault="009A3C2D" w:rsidP="00272145">
            <w:pPr>
              <w:pStyle w:val="Default"/>
              <w:jc w:val="both"/>
              <w:rPr>
                <w:sz w:val="22"/>
                <w:szCs w:val="22"/>
                <w:highlight w:val="yellow"/>
              </w:rPr>
            </w:pPr>
            <w:r w:rsidRPr="0082484A">
              <w:rPr>
                <w:sz w:val="22"/>
                <w:szCs w:val="22"/>
              </w:rPr>
              <w:t>80+:       -0.02</w:t>
            </w:r>
          </w:p>
        </w:tc>
        <w:tc>
          <w:tcPr>
            <w:tcW w:w="1985" w:type="dxa"/>
          </w:tcPr>
          <w:p w14:paraId="6C434BE2" w14:textId="77777777" w:rsidR="009A3C2D" w:rsidRPr="0082484A" w:rsidRDefault="009A3C2D" w:rsidP="00272145">
            <w:pPr>
              <w:spacing w:line="360" w:lineRule="auto"/>
              <w:jc w:val="both"/>
              <w:rPr>
                <w:sz w:val="22"/>
                <w:szCs w:val="22"/>
              </w:rPr>
            </w:pPr>
            <w:r w:rsidRPr="0082484A">
              <w:rPr>
                <w:sz w:val="22"/>
                <w:szCs w:val="22"/>
              </w:rPr>
              <w:t>N/A</w:t>
            </w:r>
          </w:p>
        </w:tc>
        <w:tc>
          <w:tcPr>
            <w:tcW w:w="4553" w:type="dxa"/>
            <w:vMerge w:val="restart"/>
          </w:tcPr>
          <w:p w14:paraId="6CC30BFE" w14:textId="6E17A2BB" w:rsidR="009A3C2D" w:rsidRPr="0082484A" w:rsidRDefault="009A3C2D" w:rsidP="00272145">
            <w:pPr>
              <w:pStyle w:val="Default"/>
              <w:jc w:val="both"/>
              <w:rPr>
                <w:sz w:val="22"/>
                <w:szCs w:val="22"/>
              </w:rPr>
            </w:pPr>
            <w:r w:rsidRPr="0082484A">
              <w:rPr>
                <w:sz w:val="22"/>
                <w:szCs w:val="22"/>
              </w:rPr>
              <w:t xml:space="preserve">Estimated from risk reduction data based on reduction in systolic BP reported in Law MR </w:t>
            </w:r>
            <w:r w:rsidRPr="0082484A">
              <w:rPr>
                <w:i/>
                <w:sz w:val="22"/>
                <w:szCs w:val="22"/>
              </w:rPr>
              <w:t>et al</w:t>
            </w:r>
            <w:r w:rsidRPr="0082484A">
              <w:rPr>
                <w:sz w:val="22"/>
                <w:szCs w:val="22"/>
              </w:rPr>
              <w:t xml:space="preserve"> (2009).</w:t>
            </w:r>
            <w:r w:rsidRPr="0082484A">
              <w:rPr>
                <w:sz w:val="22"/>
                <w:szCs w:val="22"/>
              </w:rPr>
              <w:fldChar w:fldCharType="begin"/>
            </w:r>
            <w:r w:rsidR="00952E85" w:rsidRPr="0082484A">
              <w:rPr>
                <w:sz w:val="22"/>
                <w:szCs w:val="22"/>
              </w:rPr>
              <w:instrText xml:space="preserve"> ADDIN EN.CITE &lt;EndNote&gt;&lt;Cite&gt;&lt;Author&gt;Law&lt;/Author&gt;&lt;Year&gt;2009&lt;/Year&gt;&lt;RecNum&gt;3312&lt;/RecNum&gt;&lt;DisplayText&gt;&lt;style face="superscript"&gt;22&lt;/style&gt;&lt;/DisplayText&gt;&lt;record&gt;&lt;rec-number&gt;3312&lt;/rec-number&gt;&lt;foreign-keys&gt;&lt;key app="EN" db-id="5srzarxr5dr9r5es2r7xst9lr9t2rewrpffr" timestamp="1516019301"&gt;3312&lt;/key&gt;&lt;/foreign-keys&gt;&lt;ref-type name="Journal Article"&gt;17&lt;/ref-type&gt;&lt;contributors&gt;&lt;authors&gt;&lt;author&gt;Law, M. R.&lt;/author&gt;&lt;author&gt;Morris, J. K.&lt;/author&gt;&lt;author&gt;Wald, N. J.&lt;/author&gt;&lt;/authors&gt;&lt;/contributors&gt;&lt;auth-address&gt;Queen Mary Univ London, Barts &amp;amp; London Sch Med, Wolfson Inst Prevent Med, Ctr Environm &amp;amp; Prevent Med, London EC1M 6BQ, England&lt;/auth-address&gt;&lt;titles&gt;&lt;title&gt;Use of blood pressure lowering drugs in the prevention of cardiovascular disease: meta-analysis of 147 randomised trials in the context of expectations from prospective epidemiological studies&lt;/title&gt;&lt;secondary-title&gt;British Medical Journal&lt;/secondary-title&gt;&lt;alt-title&gt;Bmj-Brit Med J&lt;/alt-title&gt;&lt;/titles&gt;&lt;periodical&gt;&lt;full-title&gt;British Medical Journal&lt;/full-title&gt;&lt;abbr-1&gt;BMJ&lt;/abbr-1&gt;&lt;/periodical&gt;&lt;alt-periodical&gt;&lt;full-title&gt;Bmj-British Medical Journal&lt;/full-title&gt;&lt;abbr-1&gt;Bmj-Brit Med J&lt;/abbr-1&gt;&lt;/alt-periodical&gt;&lt;volume&gt;338&lt;/volume&gt;&lt;keywords&gt;&lt;keyword&gt;acute myocardial-infarction&lt;/keyword&gt;&lt;keyword&gt;placebo-controlled trial&lt;/keyword&gt;&lt;keyword&gt;chronic heart-failure&lt;/keyword&gt;&lt;keyword&gt;converting-enzyme-inhibition&lt;/keyword&gt;&lt;keyword&gt;coronary-artery-disease&lt;/keyword&gt;&lt;keyword&gt;left-ventricular dysfunction&lt;/keyword&gt;&lt;keyword&gt;isolated systolic hypertension&lt;/keyword&gt;&lt;keyword&gt;calcium-channel blocker&lt;/keyword&gt;&lt;keyword&gt;high-risk patients&lt;/keyword&gt;&lt;keyword&gt;sudden cardiac death&lt;/keyword&gt;&lt;/keywords&gt;&lt;dates&gt;&lt;year&gt;2009&lt;/year&gt;&lt;pub-dates&gt;&lt;date&gt;May 19&lt;/date&gt;&lt;/pub-dates&gt;&lt;/dates&gt;&lt;isbn&gt;1756-1833&lt;/isbn&gt;&lt;accession-num&gt;WOS:000266269800001&lt;/accession-num&gt;&lt;urls&gt;&lt;related-urls&gt;&lt;url&gt;&amp;lt;Go to ISI&amp;gt;://WOS:000266269800001&lt;/url&gt;&lt;/related-urls&gt;&lt;/urls&gt;&lt;electronic-resource-num&gt;ARTN b1665&amp;#xD;10.1136/bmj.b1665&lt;/electronic-resource-num&gt;&lt;language&gt;English&lt;/language&gt;&lt;/record&gt;&lt;/Cite&gt;&lt;/EndNote&gt;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22</w:t>
            </w:r>
            <w:r w:rsidRPr="0082484A">
              <w:rPr>
                <w:sz w:val="22"/>
                <w:szCs w:val="22"/>
              </w:rPr>
              <w:fldChar w:fldCharType="end"/>
            </w:r>
            <w:r w:rsidRPr="0082484A">
              <w:rPr>
                <w:sz w:val="22"/>
                <w:szCs w:val="22"/>
              </w:rPr>
              <w:t xml:space="preserve"> The estimation was made via an exponential approximation using the stated formula based on age. RBP refers to reduction in systolic BP</w:t>
            </w:r>
          </w:p>
          <w:p w14:paraId="11B008E3" w14:textId="77777777" w:rsidR="009A3C2D" w:rsidRPr="0082484A" w:rsidRDefault="009A3C2D" w:rsidP="00272145">
            <w:pPr>
              <w:pStyle w:val="Default"/>
              <w:jc w:val="both"/>
              <w:rPr>
                <w:sz w:val="22"/>
                <w:szCs w:val="22"/>
              </w:rPr>
            </w:pPr>
          </w:p>
        </w:tc>
      </w:tr>
      <w:tr w:rsidR="009A3C2D" w:rsidRPr="0082484A" w14:paraId="4C33087B" w14:textId="77777777" w:rsidTr="00272145">
        <w:tc>
          <w:tcPr>
            <w:tcW w:w="1962" w:type="dxa"/>
          </w:tcPr>
          <w:p w14:paraId="3A523F28" w14:textId="77777777" w:rsidR="009A3C2D" w:rsidRPr="0082484A" w:rsidRDefault="009A3C2D" w:rsidP="00272145">
            <w:pPr>
              <w:spacing w:line="360" w:lineRule="auto"/>
              <w:jc w:val="right"/>
              <w:rPr>
                <w:sz w:val="22"/>
                <w:szCs w:val="22"/>
              </w:rPr>
            </w:pPr>
            <w:r w:rsidRPr="0082484A">
              <w:rPr>
                <w:sz w:val="22"/>
                <w:szCs w:val="22"/>
              </w:rPr>
              <w:t>Stroke risk reduction</w:t>
            </w:r>
          </w:p>
        </w:tc>
        <w:tc>
          <w:tcPr>
            <w:tcW w:w="1843" w:type="dxa"/>
          </w:tcPr>
          <w:p w14:paraId="004DB109" w14:textId="1902875F" w:rsidR="009A3C2D" w:rsidRPr="0082484A" w:rsidRDefault="00644054" w:rsidP="00272145">
            <w:pPr>
              <w:pStyle w:val="Default"/>
              <w:jc w:val="both"/>
              <w:rPr>
                <w:sz w:val="22"/>
                <w:szCs w:val="22"/>
                <w:lang w:val="es-MX"/>
              </w:rPr>
            </w:pPr>
            <m:oMathPara>
              <m:oMath>
                <m:sSub>
                  <m:sSubPr>
                    <m:ctrlPr>
                      <w:rPr>
                        <w:rFonts w:ascii="Cambria Math" w:hAnsi="Cambria Math"/>
                        <w:i/>
                        <w:sz w:val="22"/>
                        <w:szCs w:val="22"/>
                        <w:lang w:val="es-MX"/>
                      </w:rPr>
                    </m:ctrlPr>
                  </m:sSubPr>
                  <m:e>
                    <m:r>
                      <w:rPr>
                        <w:rFonts w:ascii="Cambria Math" w:hAnsi="Cambria Math"/>
                        <w:sz w:val="22"/>
                        <w:szCs w:val="22"/>
                        <w:lang w:val="es-MX"/>
                      </w:rPr>
                      <m:t>x</m:t>
                    </m:r>
                  </m:e>
                  <m:sub>
                    <m:r>
                      <w:rPr>
                        <w:rFonts w:ascii="Cambria Math" w:hAnsi="Cambria Math"/>
                        <w:sz w:val="22"/>
                        <w:szCs w:val="22"/>
                        <w:lang w:val="es-MX"/>
                      </w:rPr>
                      <m:t>i</m:t>
                    </m:r>
                  </m:sub>
                </m:sSub>
                <m:sSup>
                  <m:sSupPr>
                    <m:ctrlPr>
                      <w:rPr>
                        <w:rFonts w:ascii="Cambria Math" w:hAnsi="Cambria Math"/>
                        <w:i/>
                        <w:sz w:val="22"/>
                        <w:szCs w:val="22"/>
                        <w:lang w:val="es-MX"/>
                      </w:rPr>
                    </m:ctrlPr>
                  </m:sSupPr>
                  <m:e>
                    <m:r>
                      <w:rPr>
                        <w:rFonts w:ascii="Cambria Math" w:hAnsi="Cambria Math"/>
                        <w:sz w:val="22"/>
                        <w:szCs w:val="22"/>
                        <w:lang w:val="es-MX"/>
                      </w:rPr>
                      <m:t>e</m:t>
                    </m:r>
                  </m:e>
                  <m:sup>
                    <m:sSub>
                      <m:sSubPr>
                        <m:ctrlPr>
                          <w:rPr>
                            <w:rFonts w:ascii="Cambria Math" w:hAnsi="Cambria Math"/>
                            <w:i/>
                            <w:sz w:val="22"/>
                            <w:szCs w:val="22"/>
                            <w:lang w:val="es-MX"/>
                          </w:rPr>
                        </m:ctrlPr>
                      </m:sSubPr>
                      <m:e>
                        <m:r>
                          <w:rPr>
                            <w:rFonts w:ascii="Cambria Math" w:hAnsi="Cambria Math"/>
                            <w:sz w:val="22"/>
                            <w:szCs w:val="22"/>
                            <w:lang w:val="es-MX"/>
                          </w:rPr>
                          <m:t>z</m:t>
                        </m:r>
                      </m:e>
                      <m:sub>
                        <m:r>
                          <w:rPr>
                            <w:rFonts w:ascii="Cambria Math" w:hAnsi="Cambria Math"/>
                            <w:sz w:val="22"/>
                            <w:szCs w:val="22"/>
                            <w:lang w:val="es-MX"/>
                          </w:rPr>
                          <m:t>i</m:t>
                        </m:r>
                      </m:sub>
                    </m:sSub>
                    <m:r>
                      <w:rPr>
                        <w:rFonts w:ascii="Cambria Math" w:hAnsi="Cambria Math"/>
                        <w:sz w:val="22"/>
                        <w:szCs w:val="22"/>
                        <w:lang w:val="es-MX"/>
                      </w:rPr>
                      <m:t>*RBP</m:t>
                    </m:r>
                  </m:sup>
                </m:sSup>
              </m:oMath>
            </m:oMathPara>
          </w:p>
          <w:p w14:paraId="3F8D4F08" w14:textId="3AFB075B" w:rsidR="009A3C2D" w:rsidRPr="0082484A" w:rsidRDefault="00644054" w:rsidP="00272145">
            <w:pPr>
              <w:pStyle w:val="Default"/>
              <w:jc w:val="both"/>
              <w:rPr>
                <w:i/>
                <w:sz w:val="22"/>
                <w:szCs w:val="22"/>
              </w:rPr>
            </w:pPr>
            <m:oMath>
              <m:sSub>
                <m:sSubPr>
                  <m:ctrlPr>
                    <w:rPr>
                      <w:rFonts w:ascii="Cambria Math" w:hAnsi="Cambria Math"/>
                      <w:i/>
                      <w:sz w:val="22"/>
                      <w:szCs w:val="22"/>
                      <w:lang w:val="es-MX"/>
                    </w:rPr>
                  </m:ctrlPr>
                </m:sSubPr>
                <m:e>
                  <m:r>
                    <w:rPr>
                      <w:rFonts w:ascii="Cambria Math" w:hAnsi="Cambria Math"/>
                      <w:sz w:val="22"/>
                      <w:szCs w:val="22"/>
                      <w:lang w:val="es-MX"/>
                    </w:rPr>
                    <m:t>x</m:t>
                  </m:r>
                </m:e>
                <m:sub>
                  <m:r>
                    <w:rPr>
                      <w:rFonts w:ascii="Cambria Math" w:hAnsi="Cambria Math"/>
                      <w:sz w:val="22"/>
                      <w:szCs w:val="22"/>
                      <w:lang w:val="es-MX"/>
                    </w:rPr>
                    <m:t>i</m:t>
                  </m:r>
                </m:sub>
              </m:sSub>
            </m:oMath>
            <w:r w:rsidR="009A3C2D" w:rsidRPr="0082484A">
              <w:rPr>
                <w:i/>
                <w:sz w:val="22"/>
                <w:szCs w:val="22"/>
              </w:rPr>
              <w:t xml:space="preserve"> If aged:</w:t>
            </w:r>
          </w:p>
          <w:p w14:paraId="2B1DB88E" w14:textId="77777777" w:rsidR="009A3C2D" w:rsidRPr="0082484A" w:rsidRDefault="009A3C2D" w:rsidP="00272145">
            <w:pPr>
              <w:pStyle w:val="Default"/>
              <w:jc w:val="both"/>
              <w:rPr>
                <w:sz w:val="22"/>
                <w:szCs w:val="22"/>
              </w:rPr>
            </w:pPr>
            <w:r w:rsidRPr="0082484A">
              <w:rPr>
                <w:sz w:val="22"/>
                <w:szCs w:val="22"/>
              </w:rPr>
              <w:t>60-69y: 1.002</w:t>
            </w:r>
          </w:p>
          <w:p w14:paraId="2E3DEEDD" w14:textId="77777777" w:rsidR="009A3C2D" w:rsidRPr="0082484A" w:rsidRDefault="009A3C2D" w:rsidP="00272145">
            <w:pPr>
              <w:pStyle w:val="Default"/>
              <w:jc w:val="both"/>
              <w:rPr>
                <w:sz w:val="22"/>
                <w:szCs w:val="22"/>
              </w:rPr>
            </w:pPr>
            <w:r w:rsidRPr="0082484A">
              <w:rPr>
                <w:sz w:val="22"/>
                <w:szCs w:val="22"/>
              </w:rPr>
              <w:t>70-79y: 0.998</w:t>
            </w:r>
          </w:p>
          <w:p w14:paraId="19014E82" w14:textId="77777777" w:rsidR="009A3C2D" w:rsidRPr="0082484A" w:rsidRDefault="009A3C2D" w:rsidP="00272145">
            <w:pPr>
              <w:pStyle w:val="Default"/>
              <w:jc w:val="both"/>
              <w:rPr>
                <w:sz w:val="22"/>
                <w:szCs w:val="22"/>
              </w:rPr>
            </w:pPr>
            <w:r w:rsidRPr="0082484A">
              <w:rPr>
                <w:sz w:val="22"/>
                <w:szCs w:val="22"/>
              </w:rPr>
              <w:t>80+:       0.999</w:t>
            </w:r>
          </w:p>
          <w:p w14:paraId="622D89DF" w14:textId="02086F5F" w:rsidR="009A3C2D" w:rsidRPr="0082484A" w:rsidRDefault="00644054" w:rsidP="00272145">
            <w:pPr>
              <w:pStyle w:val="Default"/>
              <w:jc w:val="both"/>
              <w:rPr>
                <w:i/>
                <w:sz w:val="22"/>
                <w:szCs w:val="22"/>
              </w:rPr>
            </w:pPr>
            <m:oMath>
              <m:sSub>
                <m:sSubPr>
                  <m:ctrlPr>
                    <w:rPr>
                      <w:rFonts w:ascii="Cambria Math" w:hAnsi="Cambria Math"/>
                      <w:i/>
                      <w:sz w:val="22"/>
                      <w:szCs w:val="22"/>
                      <w:lang w:val="es-MX"/>
                    </w:rPr>
                  </m:ctrlPr>
                </m:sSubPr>
                <m:e>
                  <m:r>
                    <w:rPr>
                      <w:rFonts w:ascii="Cambria Math" w:hAnsi="Cambria Math"/>
                      <w:sz w:val="22"/>
                      <w:szCs w:val="22"/>
                      <w:lang w:val="es-MX"/>
                    </w:rPr>
                    <m:t>z</m:t>
                  </m:r>
                </m:e>
                <m:sub>
                  <m:r>
                    <w:rPr>
                      <w:rFonts w:ascii="Cambria Math" w:hAnsi="Cambria Math"/>
                      <w:sz w:val="22"/>
                      <w:szCs w:val="22"/>
                      <w:lang w:val="es-MX"/>
                    </w:rPr>
                    <m:t>i</m:t>
                  </m:r>
                </m:sub>
              </m:sSub>
            </m:oMath>
            <w:r w:rsidR="009A3C2D" w:rsidRPr="0082484A">
              <w:rPr>
                <w:rFonts w:eastAsiaTheme="minorEastAsia"/>
                <w:i/>
                <w:sz w:val="22"/>
                <w:szCs w:val="22"/>
              </w:rPr>
              <w:t xml:space="preserve"> if </w:t>
            </w:r>
            <w:r w:rsidR="009A3C2D" w:rsidRPr="0082484A">
              <w:rPr>
                <w:i/>
                <w:sz w:val="22"/>
                <w:szCs w:val="22"/>
              </w:rPr>
              <w:t>aged:</w:t>
            </w:r>
          </w:p>
          <w:p w14:paraId="080F1625" w14:textId="77777777" w:rsidR="009A3C2D" w:rsidRPr="0082484A" w:rsidRDefault="009A3C2D" w:rsidP="00272145">
            <w:pPr>
              <w:pStyle w:val="Default"/>
              <w:jc w:val="both"/>
              <w:rPr>
                <w:sz w:val="22"/>
                <w:szCs w:val="22"/>
              </w:rPr>
            </w:pPr>
            <w:r w:rsidRPr="0082484A">
              <w:rPr>
                <w:sz w:val="22"/>
                <w:szCs w:val="22"/>
              </w:rPr>
              <w:t>60-69y: -0.043</w:t>
            </w:r>
          </w:p>
          <w:p w14:paraId="45D12CA8" w14:textId="77777777" w:rsidR="009A3C2D" w:rsidRPr="0082484A" w:rsidRDefault="009A3C2D" w:rsidP="00272145">
            <w:pPr>
              <w:pStyle w:val="Default"/>
              <w:jc w:val="both"/>
              <w:rPr>
                <w:sz w:val="22"/>
                <w:szCs w:val="22"/>
              </w:rPr>
            </w:pPr>
            <w:r w:rsidRPr="0082484A">
              <w:rPr>
                <w:sz w:val="22"/>
                <w:szCs w:val="22"/>
              </w:rPr>
              <w:t>70-79y: -0.035</w:t>
            </w:r>
          </w:p>
          <w:p w14:paraId="04AB111C" w14:textId="77777777" w:rsidR="009A3C2D" w:rsidRPr="0082484A" w:rsidRDefault="009A3C2D" w:rsidP="00272145">
            <w:pPr>
              <w:pStyle w:val="Default"/>
              <w:jc w:val="both"/>
              <w:rPr>
                <w:sz w:val="22"/>
                <w:szCs w:val="22"/>
              </w:rPr>
            </w:pPr>
            <w:r w:rsidRPr="0082484A">
              <w:rPr>
                <w:sz w:val="22"/>
                <w:szCs w:val="22"/>
              </w:rPr>
              <w:t>80+:       -0.02</w:t>
            </w:r>
          </w:p>
        </w:tc>
        <w:tc>
          <w:tcPr>
            <w:tcW w:w="1985" w:type="dxa"/>
          </w:tcPr>
          <w:p w14:paraId="31BC1E1D" w14:textId="77777777" w:rsidR="009A3C2D" w:rsidRPr="0082484A" w:rsidRDefault="009A3C2D" w:rsidP="00272145">
            <w:pPr>
              <w:spacing w:line="360" w:lineRule="auto"/>
              <w:jc w:val="both"/>
              <w:rPr>
                <w:sz w:val="22"/>
                <w:szCs w:val="22"/>
              </w:rPr>
            </w:pPr>
            <w:r w:rsidRPr="0082484A">
              <w:rPr>
                <w:sz w:val="22"/>
                <w:szCs w:val="22"/>
              </w:rPr>
              <w:t>N/A</w:t>
            </w:r>
          </w:p>
        </w:tc>
        <w:tc>
          <w:tcPr>
            <w:tcW w:w="4553" w:type="dxa"/>
            <w:vMerge/>
          </w:tcPr>
          <w:p w14:paraId="18DC0831" w14:textId="77777777" w:rsidR="009A3C2D" w:rsidRPr="0082484A" w:rsidRDefault="009A3C2D" w:rsidP="00272145">
            <w:pPr>
              <w:spacing w:line="360" w:lineRule="auto"/>
              <w:jc w:val="both"/>
              <w:rPr>
                <w:sz w:val="22"/>
                <w:szCs w:val="22"/>
              </w:rPr>
            </w:pPr>
          </w:p>
        </w:tc>
      </w:tr>
    </w:tbl>
    <w:p w14:paraId="5CD937DD" w14:textId="77777777" w:rsidR="009A3C2D" w:rsidRPr="0082484A" w:rsidRDefault="009A3C2D" w:rsidP="009A3C2D">
      <w:pPr>
        <w:rPr>
          <w:sz w:val="22"/>
          <w:szCs w:val="22"/>
        </w:rPr>
      </w:pPr>
      <w:bookmarkStart w:id="360" w:name="_Ref501111195"/>
      <w:bookmarkStart w:id="361" w:name="_Ref491890775"/>
      <w:r w:rsidRPr="0082484A">
        <w:rPr>
          <w:sz w:val="22"/>
          <w:szCs w:val="22"/>
        </w:rPr>
        <w:t>*Unless stated otherwise, SD assumed as a quarter of the mean</w:t>
      </w:r>
    </w:p>
    <w:p w14:paraId="144109AE" w14:textId="77777777" w:rsidR="009A3C2D" w:rsidRPr="0082484A" w:rsidRDefault="009A3C2D" w:rsidP="009A3C2D">
      <w:pPr>
        <w:rPr>
          <w:sz w:val="22"/>
          <w:szCs w:val="22"/>
        </w:rPr>
      </w:pPr>
    </w:p>
    <w:p w14:paraId="1E1D1D5F" w14:textId="77777777" w:rsidR="009A3C2D" w:rsidRPr="0082484A" w:rsidRDefault="009A3C2D" w:rsidP="009A3C2D">
      <w:pPr>
        <w:rPr>
          <w:sz w:val="22"/>
          <w:szCs w:val="22"/>
        </w:rPr>
      </w:pPr>
    </w:p>
    <w:p w14:paraId="5DFC9216" w14:textId="77777777" w:rsidR="009A3C2D" w:rsidRPr="0082484A" w:rsidRDefault="009A3C2D" w:rsidP="009A3C2D">
      <w:pPr>
        <w:pStyle w:val="Caption"/>
        <w:rPr>
          <w:b w:val="0"/>
          <w:sz w:val="22"/>
          <w:szCs w:val="22"/>
        </w:rPr>
      </w:pPr>
    </w:p>
    <w:p w14:paraId="4FC99A73" w14:textId="77777777" w:rsidR="001D1443" w:rsidRPr="0082484A" w:rsidRDefault="001D1443">
      <w:pPr>
        <w:spacing w:before="0" w:after="200"/>
        <w:rPr>
          <w:bCs/>
          <w:sz w:val="22"/>
          <w:szCs w:val="22"/>
        </w:rPr>
      </w:pPr>
      <w:bookmarkStart w:id="362" w:name="_Ref505066972"/>
      <w:bookmarkStart w:id="363" w:name="_Toc8728180"/>
      <w:r w:rsidRPr="0082484A">
        <w:rPr>
          <w:b/>
          <w:sz w:val="22"/>
          <w:szCs w:val="22"/>
        </w:rPr>
        <w:br w:type="page"/>
      </w:r>
    </w:p>
    <w:p w14:paraId="3D7D4842" w14:textId="5A06F790" w:rsidR="009A3C2D" w:rsidRPr="0082484A" w:rsidRDefault="009A3C2D" w:rsidP="009A3C2D">
      <w:pPr>
        <w:pStyle w:val="Caption"/>
        <w:rPr>
          <w:b w:val="0"/>
          <w:sz w:val="22"/>
          <w:szCs w:val="22"/>
        </w:rPr>
      </w:pPr>
      <w:bookmarkStart w:id="364" w:name="_Toc19526827"/>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98</w:t>
      </w:r>
      <w:r w:rsidRPr="0082484A">
        <w:rPr>
          <w:b w:val="0"/>
          <w:noProof/>
          <w:sz w:val="22"/>
          <w:szCs w:val="22"/>
        </w:rPr>
        <w:fldChar w:fldCharType="end"/>
      </w:r>
      <w:bookmarkEnd w:id="360"/>
      <w:bookmarkEnd w:id="362"/>
      <w:r w:rsidRPr="0082484A">
        <w:rPr>
          <w:b w:val="0"/>
          <w:sz w:val="22"/>
          <w:szCs w:val="22"/>
        </w:rPr>
        <w:t xml:space="preserve">: </w:t>
      </w:r>
      <w:bookmarkEnd w:id="361"/>
      <w:r w:rsidRPr="0082484A">
        <w:rPr>
          <w:b w:val="0"/>
          <w:sz w:val="22"/>
          <w:szCs w:val="22"/>
        </w:rPr>
        <w:t>Blood pressure control model - costs</w:t>
      </w:r>
      <w:bookmarkEnd w:id="363"/>
      <w:bookmarkEnd w:id="364"/>
    </w:p>
    <w:tbl>
      <w:tblPr>
        <w:tblStyle w:val="TableGrid"/>
        <w:tblW w:w="8188" w:type="dxa"/>
        <w:tblLayout w:type="fixed"/>
        <w:tblLook w:val="04A0" w:firstRow="1" w:lastRow="0" w:firstColumn="1" w:lastColumn="0" w:noHBand="0" w:noVBand="1"/>
      </w:tblPr>
      <w:tblGrid>
        <w:gridCol w:w="3369"/>
        <w:gridCol w:w="1417"/>
        <w:gridCol w:w="3402"/>
      </w:tblGrid>
      <w:tr w:rsidR="009A3C2D" w:rsidRPr="0082484A" w14:paraId="0360DCC6" w14:textId="77777777" w:rsidTr="00272145">
        <w:tc>
          <w:tcPr>
            <w:tcW w:w="3369" w:type="dxa"/>
          </w:tcPr>
          <w:p w14:paraId="0A49E5E5" w14:textId="77777777" w:rsidR="009A3C2D" w:rsidRPr="0082484A" w:rsidRDefault="009A3C2D" w:rsidP="00272145">
            <w:pPr>
              <w:jc w:val="center"/>
              <w:rPr>
                <w:sz w:val="22"/>
                <w:szCs w:val="22"/>
              </w:rPr>
            </w:pPr>
            <w:r w:rsidRPr="0082484A">
              <w:rPr>
                <w:sz w:val="22"/>
                <w:szCs w:val="22"/>
              </w:rPr>
              <w:t>Parameter</w:t>
            </w:r>
          </w:p>
          <w:p w14:paraId="50053478" w14:textId="77777777" w:rsidR="009A3C2D" w:rsidRPr="0082484A" w:rsidRDefault="009A3C2D" w:rsidP="00272145">
            <w:pPr>
              <w:jc w:val="center"/>
              <w:rPr>
                <w:sz w:val="22"/>
                <w:szCs w:val="22"/>
              </w:rPr>
            </w:pPr>
          </w:p>
        </w:tc>
        <w:tc>
          <w:tcPr>
            <w:tcW w:w="1417" w:type="dxa"/>
          </w:tcPr>
          <w:p w14:paraId="72BAB4DC" w14:textId="77777777" w:rsidR="009A3C2D" w:rsidRPr="0082484A" w:rsidRDefault="009A3C2D" w:rsidP="00272145">
            <w:pPr>
              <w:jc w:val="center"/>
              <w:rPr>
                <w:sz w:val="22"/>
                <w:szCs w:val="22"/>
              </w:rPr>
            </w:pPr>
            <w:r w:rsidRPr="0082484A">
              <w:rPr>
                <w:sz w:val="22"/>
                <w:szCs w:val="22"/>
              </w:rPr>
              <w:t>Mean Cost*</w:t>
            </w:r>
          </w:p>
        </w:tc>
        <w:tc>
          <w:tcPr>
            <w:tcW w:w="3402" w:type="dxa"/>
          </w:tcPr>
          <w:p w14:paraId="7FB950E2" w14:textId="77777777" w:rsidR="009A3C2D" w:rsidRPr="0082484A" w:rsidRDefault="009A3C2D" w:rsidP="00272145">
            <w:pPr>
              <w:jc w:val="center"/>
              <w:rPr>
                <w:sz w:val="22"/>
                <w:szCs w:val="22"/>
              </w:rPr>
            </w:pPr>
            <w:r w:rsidRPr="0082484A">
              <w:rPr>
                <w:sz w:val="22"/>
                <w:szCs w:val="22"/>
              </w:rPr>
              <w:t>Source</w:t>
            </w:r>
          </w:p>
        </w:tc>
      </w:tr>
      <w:tr w:rsidR="009A3C2D" w:rsidRPr="0082484A" w14:paraId="175FB23D" w14:textId="77777777" w:rsidTr="00272145">
        <w:tc>
          <w:tcPr>
            <w:tcW w:w="3369" w:type="dxa"/>
          </w:tcPr>
          <w:p w14:paraId="36025659" w14:textId="77777777" w:rsidR="009A3C2D" w:rsidRPr="0082484A" w:rsidRDefault="009A3C2D" w:rsidP="00272145">
            <w:pPr>
              <w:rPr>
                <w:sz w:val="22"/>
                <w:szCs w:val="22"/>
              </w:rPr>
            </w:pPr>
            <w:r w:rsidRPr="0082484A">
              <w:rPr>
                <w:sz w:val="22"/>
                <w:szCs w:val="22"/>
              </w:rPr>
              <w:t>Intervention costs</w:t>
            </w:r>
          </w:p>
        </w:tc>
        <w:tc>
          <w:tcPr>
            <w:tcW w:w="1417" w:type="dxa"/>
          </w:tcPr>
          <w:p w14:paraId="12B75393" w14:textId="77777777" w:rsidR="009A3C2D" w:rsidRPr="0082484A" w:rsidRDefault="009A3C2D" w:rsidP="00272145">
            <w:pPr>
              <w:pStyle w:val="Default"/>
              <w:jc w:val="right"/>
              <w:rPr>
                <w:sz w:val="22"/>
                <w:szCs w:val="22"/>
              </w:rPr>
            </w:pPr>
            <w:r w:rsidRPr="0082484A">
              <w:rPr>
                <w:sz w:val="22"/>
                <w:szCs w:val="22"/>
              </w:rPr>
              <w:t>£0.28</w:t>
            </w:r>
          </w:p>
        </w:tc>
        <w:tc>
          <w:tcPr>
            <w:tcW w:w="3402" w:type="dxa"/>
          </w:tcPr>
          <w:p w14:paraId="1E0DED92" w14:textId="77777777" w:rsidR="009A3C2D" w:rsidRPr="0082484A" w:rsidRDefault="009A3C2D" w:rsidP="00272145">
            <w:pPr>
              <w:pStyle w:val="Default"/>
              <w:rPr>
                <w:sz w:val="22"/>
                <w:szCs w:val="22"/>
              </w:rPr>
            </w:pPr>
            <w:r w:rsidRPr="0082484A">
              <w:rPr>
                <w:sz w:val="22"/>
                <w:szCs w:val="22"/>
              </w:rPr>
              <w:t>Practice cost (£1,973)/practice n (=7,130)</w:t>
            </w:r>
          </w:p>
        </w:tc>
      </w:tr>
      <w:tr w:rsidR="009A3C2D" w:rsidRPr="0082484A" w14:paraId="285613C9" w14:textId="77777777" w:rsidTr="00272145">
        <w:tc>
          <w:tcPr>
            <w:tcW w:w="3369" w:type="dxa"/>
          </w:tcPr>
          <w:p w14:paraId="4D458A7A" w14:textId="77777777" w:rsidR="009A3C2D" w:rsidRPr="0082484A" w:rsidRDefault="009A3C2D" w:rsidP="00272145">
            <w:pPr>
              <w:rPr>
                <w:sz w:val="22"/>
                <w:szCs w:val="22"/>
              </w:rPr>
            </w:pPr>
            <w:r w:rsidRPr="0082484A">
              <w:rPr>
                <w:sz w:val="22"/>
                <w:szCs w:val="22"/>
              </w:rPr>
              <w:t>One-off costs</w:t>
            </w:r>
          </w:p>
        </w:tc>
        <w:tc>
          <w:tcPr>
            <w:tcW w:w="1417" w:type="dxa"/>
          </w:tcPr>
          <w:p w14:paraId="7FDE4C9F" w14:textId="77777777" w:rsidR="009A3C2D" w:rsidRPr="0082484A" w:rsidRDefault="009A3C2D" w:rsidP="00272145">
            <w:pPr>
              <w:pStyle w:val="Default"/>
              <w:jc w:val="right"/>
              <w:rPr>
                <w:sz w:val="22"/>
                <w:szCs w:val="22"/>
              </w:rPr>
            </w:pPr>
          </w:p>
        </w:tc>
        <w:tc>
          <w:tcPr>
            <w:tcW w:w="3402" w:type="dxa"/>
          </w:tcPr>
          <w:p w14:paraId="0E2E7BF5" w14:textId="77777777" w:rsidR="009A3C2D" w:rsidRPr="0082484A" w:rsidRDefault="009A3C2D" w:rsidP="00272145">
            <w:pPr>
              <w:pStyle w:val="Default"/>
              <w:rPr>
                <w:sz w:val="22"/>
                <w:szCs w:val="22"/>
              </w:rPr>
            </w:pPr>
          </w:p>
        </w:tc>
      </w:tr>
      <w:tr w:rsidR="009A3C2D" w:rsidRPr="0082484A" w14:paraId="7E0602FC" w14:textId="77777777" w:rsidTr="00272145">
        <w:tc>
          <w:tcPr>
            <w:tcW w:w="3369" w:type="dxa"/>
          </w:tcPr>
          <w:p w14:paraId="0941DF30" w14:textId="77777777" w:rsidR="009A3C2D" w:rsidRPr="0082484A" w:rsidRDefault="009A3C2D" w:rsidP="00272145">
            <w:pPr>
              <w:rPr>
                <w:sz w:val="22"/>
                <w:szCs w:val="22"/>
              </w:rPr>
            </w:pPr>
            <w:r w:rsidRPr="0082484A">
              <w:rPr>
                <w:sz w:val="22"/>
                <w:szCs w:val="22"/>
              </w:rPr>
              <w:t>Blood test for those increasing anti-hypertensives if on ACE inhibitors</w:t>
            </w:r>
          </w:p>
        </w:tc>
        <w:tc>
          <w:tcPr>
            <w:tcW w:w="1417" w:type="dxa"/>
          </w:tcPr>
          <w:p w14:paraId="3F1BEDC2" w14:textId="77777777" w:rsidR="009A3C2D" w:rsidRPr="0082484A" w:rsidRDefault="009A3C2D" w:rsidP="00272145">
            <w:pPr>
              <w:jc w:val="right"/>
              <w:rPr>
                <w:color w:val="000000"/>
                <w:sz w:val="22"/>
                <w:szCs w:val="22"/>
              </w:rPr>
            </w:pPr>
            <w:r w:rsidRPr="0082484A">
              <w:rPr>
                <w:color w:val="000000"/>
                <w:sz w:val="22"/>
                <w:szCs w:val="22"/>
              </w:rPr>
              <w:t>£27.30</w:t>
            </w:r>
          </w:p>
          <w:p w14:paraId="2D7D0398" w14:textId="77777777" w:rsidR="009A3C2D" w:rsidRPr="0082484A" w:rsidRDefault="009A3C2D" w:rsidP="00272145">
            <w:pPr>
              <w:pStyle w:val="Default"/>
              <w:jc w:val="right"/>
              <w:rPr>
                <w:sz w:val="22"/>
                <w:szCs w:val="22"/>
              </w:rPr>
            </w:pPr>
          </w:p>
        </w:tc>
        <w:tc>
          <w:tcPr>
            <w:tcW w:w="3402" w:type="dxa"/>
          </w:tcPr>
          <w:p w14:paraId="2FFFA913" w14:textId="77777777" w:rsidR="009A3C2D" w:rsidRPr="0082484A" w:rsidRDefault="009A3C2D" w:rsidP="00272145">
            <w:pPr>
              <w:rPr>
                <w:sz w:val="22"/>
                <w:szCs w:val="22"/>
              </w:rPr>
            </w:pPr>
            <w:r w:rsidRPr="0082484A">
              <w:rPr>
                <w:sz w:val="22"/>
                <w:szCs w:val="22"/>
              </w:rPr>
              <w:t>Assumes practice nurse cost (£41.37) X proportion on ACE-I (66%) taken from  NICE CG127</w:t>
            </w:r>
          </w:p>
        </w:tc>
      </w:tr>
      <w:tr w:rsidR="009A3C2D" w:rsidRPr="0082484A" w14:paraId="1039631A" w14:textId="77777777" w:rsidTr="00272145">
        <w:tc>
          <w:tcPr>
            <w:tcW w:w="3369" w:type="dxa"/>
          </w:tcPr>
          <w:p w14:paraId="47AD6985" w14:textId="77777777" w:rsidR="009A3C2D" w:rsidRPr="0082484A" w:rsidRDefault="009A3C2D" w:rsidP="00272145">
            <w:pPr>
              <w:rPr>
                <w:sz w:val="22"/>
                <w:szCs w:val="22"/>
              </w:rPr>
            </w:pPr>
            <w:r w:rsidRPr="0082484A">
              <w:rPr>
                <w:sz w:val="22"/>
                <w:szCs w:val="22"/>
              </w:rPr>
              <w:t>Additional GP consultations for those on ACE inhibitors in 1</w:t>
            </w:r>
            <w:r w:rsidRPr="0082484A">
              <w:rPr>
                <w:sz w:val="22"/>
                <w:szCs w:val="22"/>
                <w:vertAlign w:val="superscript"/>
              </w:rPr>
              <w:t>st</w:t>
            </w:r>
            <w:r w:rsidRPr="0082484A">
              <w:rPr>
                <w:sz w:val="22"/>
                <w:szCs w:val="22"/>
              </w:rPr>
              <w:t xml:space="preserve"> year</w:t>
            </w:r>
          </w:p>
        </w:tc>
        <w:tc>
          <w:tcPr>
            <w:tcW w:w="1417" w:type="dxa"/>
          </w:tcPr>
          <w:p w14:paraId="62B5E36A" w14:textId="77777777" w:rsidR="009A3C2D" w:rsidRPr="0082484A" w:rsidRDefault="009A3C2D" w:rsidP="00272145">
            <w:pPr>
              <w:jc w:val="right"/>
              <w:rPr>
                <w:color w:val="000000"/>
                <w:sz w:val="22"/>
                <w:szCs w:val="22"/>
              </w:rPr>
            </w:pPr>
            <w:r w:rsidRPr="0082484A">
              <w:rPr>
                <w:color w:val="000000"/>
                <w:sz w:val="22"/>
                <w:szCs w:val="22"/>
              </w:rPr>
              <w:t>£51.98</w:t>
            </w:r>
          </w:p>
          <w:p w14:paraId="76E23A03" w14:textId="77777777" w:rsidR="009A3C2D" w:rsidRPr="0082484A" w:rsidRDefault="009A3C2D" w:rsidP="00272145">
            <w:pPr>
              <w:pStyle w:val="Default"/>
              <w:jc w:val="right"/>
              <w:rPr>
                <w:sz w:val="22"/>
                <w:szCs w:val="22"/>
              </w:rPr>
            </w:pPr>
          </w:p>
        </w:tc>
        <w:tc>
          <w:tcPr>
            <w:tcW w:w="3402" w:type="dxa"/>
          </w:tcPr>
          <w:p w14:paraId="5FD8837E" w14:textId="77777777" w:rsidR="009A3C2D" w:rsidRPr="0082484A" w:rsidRDefault="009A3C2D" w:rsidP="00272145">
            <w:pPr>
              <w:rPr>
                <w:sz w:val="22"/>
                <w:szCs w:val="22"/>
              </w:rPr>
            </w:pPr>
            <w:r w:rsidRPr="0082484A">
              <w:rPr>
                <w:sz w:val="22"/>
                <w:szCs w:val="22"/>
              </w:rPr>
              <w:t>Assumes £45 visit. 50% = 1 visit, 25% = 2 visits, 25% = 3 visits (weight = 1.75 ) = £78.75 X proportion on ACE-I (66%) taken from NICE CG127</w:t>
            </w:r>
          </w:p>
        </w:tc>
      </w:tr>
      <w:tr w:rsidR="009A3C2D" w:rsidRPr="0082484A" w14:paraId="7BB7010D" w14:textId="77777777" w:rsidTr="00272145">
        <w:tc>
          <w:tcPr>
            <w:tcW w:w="3369" w:type="dxa"/>
          </w:tcPr>
          <w:p w14:paraId="049B8642" w14:textId="77777777" w:rsidR="009A3C2D" w:rsidRPr="0082484A" w:rsidRDefault="009A3C2D" w:rsidP="00272145">
            <w:pPr>
              <w:rPr>
                <w:sz w:val="22"/>
                <w:szCs w:val="22"/>
              </w:rPr>
            </w:pPr>
            <w:r w:rsidRPr="0082484A">
              <w:rPr>
                <w:sz w:val="22"/>
                <w:szCs w:val="22"/>
              </w:rPr>
              <w:t>Cost per patient</w:t>
            </w:r>
          </w:p>
        </w:tc>
        <w:tc>
          <w:tcPr>
            <w:tcW w:w="1417" w:type="dxa"/>
          </w:tcPr>
          <w:p w14:paraId="5D7A5316" w14:textId="77777777" w:rsidR="009A3C2D" w:rsidRPr="0082484A" w:rsidRDefault="009A3C2D" w:rsidP="00272145">
            <w:pPr>
              <w:jc w:val="right"/>
              <w:rPr>
                <w:color w:val="000000"/>
                <w:sz w:val="22"/>
                <w:szCs w:val="22"/>
              </w:rPr>
            </w:pPr>
            <w:r w:rsidRPr="0082484A">
              <w:rPr>
                <w:color w:val="000000"/>
                <w:sz w:val="22"/>
                <w:szCs w:val="22"/>
              </w:rPr>
              <w:t>£2.77</w:t>
            </w:r>
          </w:p>
        </w:tc>
        <w:tc>
          <w:tcPr>
            <w:tcW w:w="3402" w:type="dxa"/>
          </w:tcPr>
          <w:p w14:paraId="38D26D47" w14:textId="77777777" w:rsidR="009A3C2D" w:rsidRPr="0082484A" w:rsidRDefault="009A3C2D" w:rsidP="00272145">
            <w:pPr>
              <w:rPr>
                <w:color w:val="000000"/>
                <w:sz w:val="22"/>
                <w:szCs w:val="22"/>
              </w:rPr>
            </w:pPr>
            <w:r w:rsidRPr="0082484A">
              <w:rPr>
                <w:sz w:val="22"/>
                <w:szCs w:val="22"/>
              </w:rPr>
              <w:t xml:space="preserve">Sum of </w:t>
            </w:r>
            <w:r w:rsidRPr="0082484A">
              <w:rPr>
                <w:color w:val="000000"/>
                <w:sz w:val="22"/>
                <w:szCs w:val="22"/>
              </w:rPr>
              <w:t>£27.30 and £51.98 multiplied by % change in practice. Assumed equal to OR for BP control achieved (5.33%)</w:t>
            </w:r>
          </w:p>
        </w:tc>
      </w:tr>
      <w:tr w:rsidR="009A3C2D" w:rsidRPr="0082484A" w14:paraId="07C38078" w14:textId="77777777" w:rsidTr="00272145">
        <w:tc>
          <w:tcPr>
            <w:tcW w:w="3369" w:type="dxa"/>
          </w:tcPr>
          <w:p w14:paraId="36B03BC5" w14:textId="77777777" w:rsidR="009A3C2D" w:rsidRPr="0082484A" w:rsidRDefault="009A3C2D" w:rsidP="00272145">
            <w:pPr>
              <w:rPr>
                <w:sz w:val="22"/>
                <w:szCs w:val="22"/>
              </w:rPr>
            </w:pPr>
            <w:r w:rsidRPr="0082484A">
              <w:rPr>
                <w:sz w:val="22"/>
                <w:szCs w:val="22"/>
              </w:rPr>
              <w:t>On-going costs</w:t>
            </w:r>
          </w:p>
        </w:tc>
        <w:tc>
          <w:tcPr>
            <w:tcW w:w="1417" w:type="dxa"/>
          </w:tcPr>
          <w:p w14:paraId="21F1CBB6" w14:textId="77777777" w:rsidR="009A3C2D" w:rsidRPr="0082484A" w:rsidRDefault="009A3C2D" w:rsidP="00272145">
            <w:pPr>
              <w:jc w:val="right"/>
              <w:rPr>
                <w:color w:val="000000"/>
                <w:sz w:val="22"/>
                <w:szCs w:val="22"/>
              </w:rPr>
            </w:pPr>
          </w:p>
        </w:tc>
        <w:tc>
          <w:tcPr>
            <w:tcW w:w="3402" w:type="dxa"/>
          </w:tcPr>
          <w:p w14:paraId="5420C21C" w14:textId="77777777" w:rsidR="009A3C2D" w:rsidRPr="0082484A" w:rsidRDefault="009A3C2D" w:rsidP="00272145">
            <w:pPr>
              <w:rPr>
                <w:sz w:val="22"/>
                <w:szCs w:val="22"/>
              </w:rPr>
            </w:pPr>
          </w:p>
        </w:tc>
      </w:tr>
      <w:tr w:rsidR="009A3C2D" w:rsidRPr="0082484A" w14:paraId="2BEFBD34" w14:textId="77777777" w:rsidTr="00272145">
        <w:tc>
          <w:tcPr>
            <w:tcW w:w="3369" w:type="dxa"/>
          </w:tcPr>
          <w:p w14:paraId="72243C54" w14:textId="77777777" w:rsidR="009A3C2D" w:rsidRPr="0082484A" w:rsidRDefault="009A3C2D" w:rsidP="00272145">
            <w:pPr>
              <w:rPr>
                <w:sz w:val="22"/>
                <w:szCs w:val="22"/>
              </w:rPr>
            </w:pPr>
            <w:r w:rsidRPr="0082484A">
              <w:rPr>
                <w:sz w:val="22"/>
                <w:szCs w:val="22"/>
              </w:rPr>
              <w:t>Annual blood pressure medication costs</w:t>
            </w:r>
          </w:p>
        </w:tc>
        <w:tc>
          <w:tcPr>
            <w:tcW w:w="1417" w:type="dxa"/>
          </w:tcPr>
          <w:p w14:paraId="732B6051" w14:textId="77777777" w:rsidR="009A3C2D" w:rsidRPr="0082484A" w:rsidRDefault="009A3C2D" w:rsidP="00272145">
            <w:pPr>
              <w:jc w:val="right"/>
              <w:rPr>
                <w:color w:val="000000"/>
                <w:sz w:val="22"/>
                <w:szCs w:val="22"/>
              </w:rPr>
            </w:pPr>
            <w:r w:rsidRPr="0082484A">
              <w:rPr>
                <w:color w:val="000000"/>
                <w:sz w:val="22"/>
                <w:szCs w:val="22"/>
              </w:rPr>
              <w:t>£64.57</w:t>
            </w:r>
          </w:p>
          <w:p w14:paraId="621B02BA" w14:textId="77777777" w:rsidR="009A3C2D" w:rsidRPr="0082484A" w:rsidRDefault="009A3C2D" w:rsidP="00272145">
            <w:pPr>
              <w:jc w:val="right"/>
              <w:rPr>
                <w:color w:val="000000"/>
                <w:sz w:val="22"/>
                <w:szCs w:val="22"/>
              </w:rPr>
            </w:pPr>
          </w:p>
        </w:tc>
        <w:tc>
          <w:tcPr>
            <w:tcW w:w="3402" w:type="dxa"/>
          </w:tcPr>
          <w:p w14:paraId="41448ACA" w14:textId="77777777" w:rsidR="009A3C2D" w:rsidRPr="0082484A" w:rsidRDefault="009A3C2D" w:rsidP="00272145">
            <w:pPr>
              <w:pStyle w:val="Default"/>
              <w:rPr>
                <w:sz w:val="22"/>
                <w:szCs w:val="22"/>
              </w:rPr>
            </w:pPr>
            <w:r w:rsidRPr="0082484A">
              <w:rPr>
                <w:sz w:val="22"/>
                <w:szCs w:val="22"/>
              </w:rPr>
              <w:t>Average taken from NICE CG127 across medication types.</w:t>
            </w:r>
          </w:p>
          <w:p w14:paraId="7D8D2C77" w14:textId="77777777" w:rsidR="009A3C2D" w:rsidRPr="0082484A" w:rsidRDefault="009A3C2D" w:rsidP="00272145">
            <w:pPr>
              <w:pStyle w:val="Default"/>
              <w:rPr>
                <w:sz w:val="22"/>
                <w:szCs w:val="22"/>
              </w:rPr>
            </w:pPr>
          </w:p>
        </w:tc>
      </w:tr>
      <w:tr w:rsidR="009A3C2D" w:rsidRPr="0082484A" w14:paraId="4F6B1DE5" w14:textId="77777777" w:rsidTr="00272145">
        <w:tc>
          <w:tcPr>
            <w:tcW w:w="3369" w:type="dxa"/>
          </w:tcPr>
          <w:p w14:paraId="273A43FE" w14:textId="77777777" w:rsidR="009A3C2D" w:rsidRPr="0082484A" w:rsidRDefault="009A3C2D" w:rsidP="00272145">
            <w:pPr>
              <w:rPr>
                <w:sz w:val="22"/>
                <w:szCs w:val="22"/>
              </w:rPr>
            </w:pPr>
            <w:r w:rsidRPr="0082484A">
              <w:rPr>
                <w:sz w:val="22"/>
                <w:szCs w:val="22"/>
              </w:rPr>
              <w:t>Blood pressure monitoring (every 12 months)</w:t>
            </w:r>
          </w:p>
        </w:tc>
        <w:tc>
          <w:tcPr>
            <w:tcW w:w="1417" w:type="dxa"/>
          </w:tcPr>
          <w:p w14:paraId="014F216C" w14:textId="77777777" w:rsidR="009A3C2D" w:rsidRPr="0082484A" w:rsidRDefault="009A3C2D" w:rsidP="00272145">
            <w:pPr>
              <w:jc w:val="right"/>
              <w:rPr>
                <w:color w:val="000000"/>
                <w:sz w:val="22"/>
                <w:szCs w:val="22"/>
              </w:rPr>
            </w:pPr>
            <w:r w:rsidRPr="0082484A">
              <w:rPr>
                <w:sz w:val="22"/>
                <w:szCs w:val="22"/>
              </w:rPr>
              <w:t>£45.00</w:t>
            </w:r>
          </w:p>
        </w:tc>
        <w:tc>
          <w:tcPr>
            <w:tcW w:w="3402" w:type="dxa"/>
          </w:tcPr>
          <w:p w14:paraId="53C1DDE9" w14:textId="77777777" w:rsidR="009A3C2D" w:rsidRPr="0082484A" w:rsidRDefault="009A3C2D" w:rsidP="00272145">
            <w:pPr>
              <w:pStyle w:val="Default"/>
              <w:rPr>
                <w:sz w:val="22"/>
                <w:szCs w:val="22"/>
              </w:rPr>
            </w:pPr>
            <w:r w:rsidRPr="0082484A">
              <w:rPr>
                <w:sz w:val="22"/>
                <w:szCs w:val="22"/>
              </w:rPr>
              <w:t>GP visit</w:t>
            </w:r>
          </w:p>
        </w:tc>
      </w:tr>
      <w:tr w:rsidR="009A3C2D" w:rsidRPr="0082484A" w14:paraId="3ADB61C4" w14:textId="77777777" w:rsidTr="00272145">
        <w:tc>
          <w:tcPr>
            <w:tcW w:w="3369" w:type="dxa"/>
          </w:tcPr>
          <w:p w14:paraId="5B66AEDC" w14:textId="77777777" w:rsidR="009A3C2D" w:rsidRPr="0082484A" w:rsidRDefault="009A3C2D" w:rsidP="00272145">
            <w:pPr>
              <w:rPr>
                <w:sz w:val="22"/>
                <w:szCs w:val="22"/>
              </w:rPr>
            </w:pPr>
            <w:r w:rsidRPr="0082484A">
              <w:rPr>
                <w:sz w:val="22"/>
                <w:szCs w:val="22"/>
              </w:rPr>
              <w:t>Cost per patient per year</w:t>
            </w:r>
          </w:p>
        </w:tc>
        <w:tc>
          <w:tcPr>
            <w:tcW w:w="1417" w:type="dxa"/>
          </w:tcPr>
          <w:p w14:paraId="0D4F1181" w14:textId="77777777" w:rsidR="009A3C2D" w:rsidRPr="0082484A" w:rsidRDefault="009A3C2D" w:rsidP="00272145">
            <w:pPr>
              <w:jc w:val="right"/>
              <w:rPr>
                <w:sz w:val="22"/>
                <w:szCs w:val="22"/>
              </w:rPr>
            </w:pPr>
            <w:r w:rsidRPr="0082484A">
              <w:rPr>
                <w:color w:val="000000"/>
                <w:sz w:val="22"/>
                <w:szCs w:val="22"/>
              </w:rPr>
              <w:t>£2.40</w:t>
            </w:r>
          </w:p>
        </w:tc>
        <w:tc>
          <w:tcPr>
            <w:tcW w:w="3402" w:type="dxa"/>
          </w:tcPr>
          <w:p w14:paraId="2D5F44B3" w14:textId="77777777" w:rsidR="009A3C2D" w:rsidRPr="0082484A" w:rsidRDefault="009A3C2D" w:rsidP="00272145">
            <w:pPr>
              <w:pStyle w:val="Default"/>
              <w:rPr>
                <w:sz w:val="22"/>
                <w:szCs w:val="22"/>
              </w:rPr>
            </w:pPr>
            <w:r w:rsidRPr="0082484A">
              <w:rPr>
                <w:sz w:val="22"/>
                <w:szCs w:val="22"/>
              </w:rPr>
              <w:t>Sum of £64.57 and £45.00 multiplied by % change in practice. Assumed equal to OR for BP control achieved (5.33%)</w:t>
            </w:r>
          </w:p>
        </w:tc>
      </w:tr>
      <w:tr w:rsidR="009A3C2D" w:rsidRPr="0082484A" w14:paraId="7C675D8B" w14:textId="77777777" w:rsidTr="00272145">
        <w:tc>
          <w:tcPr>
            <w:tcW w:w="3369" w:type="dxa"/>
          </w:tcPr>
          <w:p w14:paraId="0D4274C6" w14:textId="77777777" w:rsidR="009A3C2D" w:rsidRPr="0082484A" w:rsidRDefault="009A3C2D" w:rsidP="00272145">
            <w:pPr>
              <w:rPr>
                <w:sz w:val="22"/>
                <w:szCs w:val="22"/>
              </w:rPr>
            </w:pPr>
            <w:r w:rsidRPr="0082484A">
              <w:rPr>
                <w:sz w:val="22"/>
                <w:szCs w:val="22"/>
              </w:rPr>
              <w:t xml:space="preserve">Health event costs </w:t>
            </w:r>
          </w:p>
          <w:p w14:paraId="498677DE" w14:textId="77777777" w:rsidR="009A3C2D" w:rsidRPr="0082484A" w:rsidRDefault="009A3C2D" w:rsidP="00272145">
            <w:pPr>
              <w:rPr>
                <w:sz w:val="22"/>
                <w:szCs w:val="22"/>
              </w:rPr>
            </w:pPr>
            <w:r w:rsidRPr="0082484A">
              <w:rPr>
                <w:sz w:val="22"/>
                <w:szCs w:val="22"/>
              </w:rPr>
              <w:t>(3 month costs unless otherwise stated)</w:t>
            </w:r>
          </w:p>
        </w:tc>
        <w:tc>
          <w:tcPr>
            <w:tcW w:w="1417" w:type="dxa"/>
          </w:tcPr>
          <w:p w14:paraId="46B1525F" w14:textId="77777777" w:rsidR="009A3C2D" w:rsidRPr="0082484A" w:rsidRDefault="009A3C2D" w:rsidP="00272145">
            <w:pPr>
              <w:jc w:val="right"/>
              <w:rPr>
                <w:color w:val="000000"/>
                <w:sz w:val="22"/>
                <w:szCs w:val="22"/>
              </w:rPr>
            </w:pPr>
          </w:p>
        </w:tc>
        <w:tc>
          <w:tcPr>
            <w:tcW w:w="3402" w:type="dxa"/>
            <w:vMerge w:val="restart"/>
          </w:tcPr>
          <w:p w14:paraId="1BB1CE5F" w14:textId="77777777" w:rsidR="009A3C2D" w:rsidRPr="0082484A" w:rsidRDefault="009A3C2D" w:rsidP="00272145">
            <w:pPr>
              <w:rPr>
                <w:sz w:val="22"/>
                <w:szCs w:val="22"/>
              </w:rPr>
            </w:pPr>
          </w:p>
          <w:p w14:paraId="0F46CD69" w14:textId="77777777" w:rsidR="009A3C2D" w:rsidRPr="0082484A" w:rsidRDefault="009A3C2D" w:rsidP="00272145">
            <w:pPr>
              <w:rPr>
                <w:sz w:val="22"/>
                <w:szCs w:val="22"/>
              </w:rPr>
            </w:pPr>
          </w:p>
          <w:p w14:paraId="2A42DFC8" w14:textId="77777777" w:rsidR="009A3C2D" w:rsidRPr="0082484A" w:rsidRDefault="009A3C2D" w:rsidP="00272145">
            <w:pPr>
              <w:rPr>
                <w:sz w:val="22"/>
                <w:szCs w:val="22"/>
              </w:rPr>
            </w:pPr>
          </w:p>
          <w:p w14:paraId="628FBCB1" w14:textId="77777777" w:rsidR="009A3C2D" w:rsidRPr="0082484A" w:rsidRDefault="009A3C2D" w:rsidP="00272145">
            <w:pPr>
              <w:rPr>
                <w:sz w:val="22"/>
                <w:szCs w:val="22"/>
              </w:rPr>
            </w:pPr>
          </w:p>
          <w:p w14:paraId="3F46C59E" w14:textId="77777777" w:rsidR="009A3C2D" w:rsidRPr="0082484A" w:rsidRDefault="009A3C2D" w:rsidP="00272145">
            <w:pPr>
              <w:rPr>
                <w:sz w:val="22"/>
                <w:szCs w:val="22"/>
              </w:rPr>
            </w:pPr>
          </w:p>
          <w:p w14:paraId="191806C8" w14:textId="77777777" w:rsidR="009A3C2D" w:rsidRPr="0082484A" w:rsidRDefault="009A3C2D" w:rsidP="00272145">
            <w:pPr>
              <w:rPr>
                <w:sz w:val="22"/>
                <w:szCs w:val="22"/>
              </w:rPr>
            </w:pPr>
          </w:p>
          <w:p w14:paraId="49C8EBF7" w14:textId="06E860DE" w:rsidR="009A3C2D" w:rsidRPr="0082484A" w:rsidRDefault="009A3C2D" w:rsidP="00272145">
            <w:pPr>
              <w:rPr>
                <w:sz w:val="22"/>
                <w:szCs w:val="22"/>
              </w:rPr>
            </w:pPr>
            <w:r w:rsidRPr="0082484A">
              <w:rPr>
                <w:sz w:val="22"/>
                <w:szCs w:val="22"/>
              </w:rPr>
              <w:t>NICE CG127</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 (NICE)&lt;/Author&gt;&lt;Year&gt;2011&lt;/Year&gt;&lt;RecNum&gt;108&lt;/RecNum&gt;&lt;DisplayText&gt;&lt;style face="superscript"&gt;13&lt;/style&gt;&lt;/DisplayText&gt;&lt;record&gt;&lt;rec-number&gt;108&lt;/rec-number&gt;&lt;foreign-keys&gt;&lt;key app="EN" db-id="5srzarxr5dr9r5es2r7xst9lr9t2rewrpffr" timestamp="1500279090"&gt;108&lt;/key&gt;&lt;/foreign-keys&gt;&lt;ref-type name="Report"&gt;27&lt;/ref-type&gt;&lt;contributors&gt;&lt;authors&gt;&lt;author&gt;National Institute for Health and Clinical Excellence (NICE),&lt;/author&gt;&lt;/authors&gt;&lt;secondary-authors&gt;&lt;author&gt;National Institute for Health and Clinical Excellence,&lt;/author&gt;&lt;/secondary-authors&gt;&lt;/contributors&gt;&lt;titles&gt;&lt;title&gt;Hypertension: the clinical management of primary hypertension in adults [CG127]&lt;/title&gt;&lt;/titles&gt;&lt;dates&gt;&lt;year&gt;2011&lt;/year&gt;&lt;/dates&gt;&lt;pub-location&gt;London&lt;/pub-location&gt;&lt;publisher&gt;Royal College of Physicians&lt;/publisher&gt;&lt;urls&gt;&lt;/urls&gt;&lt;/record&gt;&lt;/Cite&gt;&lt;/EndNote&gt;</w:instrText>
            </w:r>
            <w:r w:rsidRPr="0082484A">
              <w:rPr>
                <w:sz w:val="22"/>
                <w:szCs w:val="22"/>
              </w:rPr>
              <w:fldChar w:fldCharType="separate"/>
            </w:r>
            <w:r w:rsidR="00952E85" w:rsidRPr="0082484A">
              <w:rPr>
                <w:noProof/>
                <w:sz w:val="22"/>
                <w:szCs w:val="22"/>
                <w:vertAlign w:val="superscript"/>
              </w:rPr>
              <w:t>13</w:t>
            </w:r>
            <w:r w:rsidRPr="0082484A">
              <w:rPr>
                <w:sz w:val="22"/>
                <w:szCs w:val="22"/>
              </w:rPr>
              <w:fldChar w:fldCharType="end"/>
            </w:r>
          </w:p>
          <w:p w14:paraId="3C113D3F" w14:textId="77777777" w:rsidR="009A3C2D" w:rsidRPr="0082484A" w:rsidRDefault="009A3C2D" w:rsidP="00272145">
            <w:pPr>
              <w:rPr>
                <w:sz w:val="22"/>
                <w:szCs w:val="22"/>
                <w:highlight w:val="yellow"/>
              </w:rPr>
            </w:pPr>
          </w:p>
        </w:tc>
      </w:tr>
      <w:tr w:rsidR="009A3C2D" w:rsidRPr="0082484A" w14:paraId="472D6E1C" w14:textId="77777777" w:rsidTr="00272145">
        <w:tc>
          <w:tcPr>
            <w:tcW w:w="3369" w:type="dxa"/>
          </w:tcPr>
          <w:p w14:paraId="247C9E86" w14:textId="77777777" w:rsidR="009A3C2D" w:rsidRPr="0082484A" w:rsidRDefault="009A3C2D" w:rsidP="00272145">
            <w:pPr>
              <w:jc w:val="right"/>
              <w:rPr>
                <w:sz w:val="22"/>
                <w:szCs w:val="22"/>
              </w:rPr>
            </w:pPr>
            <w:r w:rsidRPr="0082484A">
              <w:rPr>
                <w:sz w:val="22"/>
                <w:szCs w:val="22"/>
              </w:rPr>
              <w:t>Initial MI cost</w:t>
            </w:r>
          </w:p>
        </w:tc>
        <w:tc>
          <w:tcPr>
            <w:tcW w:w="1417" w:type="dxa"/>
          </w:tcPr>
          <w:p w14:paraId="5BDA4C6D" w14:textId="77777777" w:rsidR="009A3C2D" w:rsidRPr="0082484A" w:rsidRDefault="009A3C2D" w:rsidP="00272145">
            <w:pPr>
              <w:pStyle w:val="Default"/>
              <w:jc w:val="right"/>
              <w:rPr>
                <w:sz w:val="22"/>
                <w:szCs w:val="22"/>
              </w:rPr>
            </w:pPr>
            <w:r w:rsidRPr="0082484A">
              <w:rPr>
                <w:sz w:val="22"/>
                <w:szCs w:val="22"/>
              </w:rPr>
              <w:t>£5,831.00</w:t>
            </w:r>
          </w:p>
        </w:tc>
        <w:tc>
          <w:tcPr>
            <w:tcW w:w="3402" w:type="dxa"/>
            <w:vMerge/>
          </w:tcPr>
          <w:p w14:paraId="60B2D1F4" w14:textId="77777777" w:rsidR="009A3C2D" w:rsidRPr="0082484A" w:rsidRDefault="009A3C2D" w:rsidP="00272145">
            <w:pPr>
              <w:rPr>
                <w:sz w:val="22"/>
                <w:szCs w:val="22"/>
              </w:rPr>
            </w:pPr>
          </w:p>
        </w:tc>
      </w:tr>
      <w:tr w:rsidR="009A3C2D" w:rsidRPr="0082484A" w14:paraId="012948B5" w14:textId="77777777" w:rsidTr="00272145">
        <w:tc>
          <w:tcPr>
            <w:tcW w:w="3369" w:type="dxa"/>
          </w:tcPr>
          <w:p w14:paraId="34E5F44D" w14:textId="77777777" w:rsidR="009A3C2D" w:rsidRPr="0082484A" w:rsidRDefault="009A3C2D" w:rsidP="00272145">
            <w:pPr>
              <w:jc w:val="right"/>
              <w:rPr>
                <w:sz w:val="22"/>
                <w:szCs w:val="22"/>
              </w:rPr>
            </w:pPr>
            <w:r w:rsidRPr="0082484A">
              <w:rPr>
                <w:sz w:val="22"/>
                <w:szCs w:val="22"/>
              </w:rPr>
              <w:t>Post MI cost</w:t>
            </w:r>
          </w:p>
        </w:tc>
        <w:tc>
          <w:tcPr>
            <w:tcW w:w="1417" w:type="dxa"/>
          </w:tcPr>
          <w:p w14:paraId="74D9F66D" w14:textId="77777777" w:rsidR="009A3C2D" w:rsidRPr="0082484A" w:rsidRDefault="009A3C2D" w:rsidP="00272145">
            <w:pPr>
              <w:pStyle w:val="Default"/>
              <w:jc w:val="right"/>
              <w:rPr>
                <w:sz w:val="22"/>
                <w:szCs w:val="22"/>
              </w:rPr>
            </w:pPr>
            <w:r w:rsidRPr="0082484A">
              <w:rPr>
                <w:sz w:val="22"/>
                <w:szCs w:val="22"/>
              </w:rPr>
              <w:t>£172.00</w:t>
            </w:r>
          </w:p>
        </w:tc>
        <w:tc>
          <w:tcPr>
            <w:tcW w:w="3402" w:type="dxa"/>
            <w:vMerge/>
          </w:tcPr>
          <w:p w14:paraId="68CFA63C" w14:textId="77777777" w:rsidR="009A3C2D" w:rsidRPr="0082484A" w:rsidRDefault="009A3C2D" w:rsidP="00272145">
            <w:pPr>
              <w:rPr>
                <w:sz w:val="22"/>
                <w:szCs w:val="22"/>
              </w:rPr>
            </w:pPr>
          </w:p>
        </w:tc>
      </w:tr>
      <w:tr w:rsidR="009A3C2D" w:rsidRPr="0082484A" w14:paraId="0EB392A7" w14:textId="77777777" w:rsidTr="00272145">
        <w:tc>
          <w:tcPr>
            <w:tcW w:w="3369" w:type="dxa"/>
          </w:tcPr>
          <w:p w14:paraId="27D6F35D" w14:textId="77777777" w:rsidR="009A3C2D" w:rsidRPr="0082484A" w:rsidRDefault="009A3C2D" w:rsidP="00272145">
            <w:pPr>
              <w:jc w:val="right"/>
              <w:rPr>
                <w:sz w:val="22"/>
                <w:szCs w:val="22"/>
              </w:rPr>
            </w:pPr>
            <w:r w:rsidRPr="0082484A">
              <w:rPr>
                <w:sz w:val="22"/>
                <w:szCs w:val="22"/>
              </w:rPr>
              <w:t>Initial UA cost</w:t>
            </w:r>
          </w:p>
        </w:tc>
        <w:tc>
          <w:tcPr>
            <w:tcW w:w="1417" w:type="dxa"/>
          </w:tcPr>
          <w:p w14:paraId="7C4305AF" w14:textId="77777777" w:rsidR="009A3C2D" w:rsidRPr="0082484A" w:rsidRDefault="009A3C2D" w:rsidP="00272145">
            <w:pPr>
              <w:pStyle w:val="Default"/>
              <w:jc w:val="right"/>
              <w:rPr>
                <w:sz w:val="22"/>
                <w:szCs w:val="22"/>
              </w:rPr>
            </w:pPr>
            <w:r w:rsidRPr="0082484A">
              <w:rPr>
                <w:sz w:val="22"/>
                <w:szCs w:val="22"/>
              </w:rPr>
              <w:t>£3,498.00</w:t>
            </w:r>
          </w:p>
        </w:tc>
        <w:tc>
          <w:tcPr>
            <w:tcW w:w="3402" w:type="dxa"/>
            <w:vMerge/>
          </w:tcPr>
          <w:p w14:paraId="323DFA2E" w14:textId="77777777" w:rsidR="009A3C2D" w:rsidRPr="0082484A" w:rsidRDefault="009A3C2D" w:rsidP="00272145">
            <w:pPr>
              <w:rPr>
                <w:sz w:val="22"/>
                <w:szCs w:val="22"/>
              </w:rPr>
            </w:pPr>
          </w:p>
        </w:tc>
      </w:tr>
      <w:tr w:rsidR="009A3C2D" w:rsidRPr="0082484A" w14:paraId="29CD9B25" w14:textId="77777777" w:rsidTr="00272145">
        <w:tc>
          <w:tcPr>
            <w:tcW w:w="3369" w:type="dxa"/>
          </w:tcPr>
          <w:p w14:paraId="1A0DBF47" w14:textId="77777777" w:rsidR="009A3C2D" w:rsidRPr="0082484A" w:rsidRDefault="009A3C2D" w:rsidP="00272145">
            <w:pPr>
              <w:jc w:val="right"/>
              <w:rPr>
                <w:sz w:val="22"/>
                <w:szCs w:val="22"/>
              </w:rPr>
            </w:pPr>
            <w:r w:rsidRPr="0082484A">
              <w:rPr>
                <w:sz w:val="22"/>
                <w:szCs w:val="22"/>
              </w:rPr>
              <w:t>Post UA cost</w:t>
            </w:r>
          </w:p>
        </w:tc>
        <w:tc>
          <w:tcPr>
            <w:tcW w:w="1417" w:type="dxa"/>
          </w:tcPr>
          <w:p w14:paraId="1C6FB986" w14:textId="77777777" w:rsidR="009A3C2D" w:rsidRPr="0082484A" w:rsidRDefault="009A3C2D" w:rsidP="00272145">
            <w:pPr>
              <w:pStyle w:val="Default"/>
              <w:jc w:val="right"/>
              <w:rPr>
                <w:sz w:val="22"/>
                <w:szCs w:val="22"/>
              </w:rPr>
            </w:pPr>
            <w:r w:rsidRPr="0082484A">
              <w:rPr>
                <w:sz w:val="22"/>
                <w:szCs w:val="22"/>
              </w:rPr>
              <w:t>£103.00</w:t>
            </w:r>
          </w:p>
        </w:tc>
        <w:tc>
          <w:tcPr>
            <w:tcW w:w="3402" w:type="dxa"/>
            <w:vMerge/>
          </w:tcPr>
          <w:p w14:paraId="052CFC09" w14:textId="77777777" w:rsidR="009A3C2D" w:rsidRPr="0082484A" w:rsidRDefault="009A3C2D" w:rsidP="00272145">
            <w:pPr>
              <w:rPr>
                <w:sz w:val="22"/>
                <w:szCs w:val="22"/>
              </w:rPr>
            </w:pPr>
          </w:p>
        </w:tc>
      </w:tr>
      <w:tr w:rsidR="009A3C2D" w:rsidRPr="0082484A" w14:paraId="2D1DC771" w14:textId="77777777" w:rsidTr="00272145">
        <w:tc>
          <w:tcPr>
            <w:tcW w:w="3369" w:type="dxa"/>
          </w:tcPr>
          <w:p w14:paraId="4FC5A4EB" w14:textId="77777777" w:rsidR="009A3C2D" w:rsidRPr="0082484A" w:rsidRDefault="009A3C2D" w:rsidP="00272145">
            <w:pPr>
              <w:jc w:val="right"/>
              <w:rPr>
                <w:sz w:val="22"/>
                <w:szCs w:val="22"/>
              </w:rPr>
            </w:pPr>
            <w:r w:rsidRPr="0082484A">
              <w:rPr>
                <w:sz w:val="22"/>
                <w:szCs w:val="22"/>
              </w:rPr>
              <w:t>Initial SA cost</w:t>
            </w:r>
          </w:p>
        </w:tc>
        <w:tc>
          <w:tcPr>
            <w:tcW w:w="1417" w:type="dxa"/>
          </w:tcPr>
          <w:p w14:paraId="6C54BA56" w14:textId="77777777" w:rsidR="009A3C2D" w:rsidRPr="0082484A" w:rsidRDefault="009A3C2D" w:rsidP="00272145">
            <w:pPr>
              <w:pStyle w:val="Default"/>
              <w:jc w:val="right"/>
              <w:rPr>
                <w:sz w:val="22"/>
                <w:szCs w:val="22"/>
              </w:rPr>
            </w:pPr>
            <w:r w:rsidRPr="0082484A">
              <w:rPr>
                <w:sz w:val="22"/>
                <w:szCs w:val="22"/>
              </w:rPr>
              <w:t>£487.00</w:t>
            </w:r>
          </w:p>
        </w:tc>
        <w:tc>
          <w:tcPr>
            <w:tcW w:w="3402" w:type="dxa"/>
            <w:vMerge/>
          </w:tcPr>
          <w:p w14:paraId="097D75D3" w14:textId="77777777" w:rsidR="009A3C2D" w:rsidRPr="0082484A" w:rsidRDefault="009A3C2D" w:rsidP="00272145">
            <w:pPr>
              <w:rPr>
                <w:sz w:val="22"/>
                <w:szCs w:val="22"/>
              </w:rPr>
            </w:pPr>
          </w:p>
        </w:tc>
      </w:tr>
      <w:tr w:rsidR="009A3C2D" w:rsidRPr="0082484A" w14:paraId="783CB613" w14:textId="77777777" w:rsidTr="00272145">
        <w:tc>
          <w:tcPr>
            <w:tcW w:w="3369" w:type="dxa"/>
          </w:tcPr>
          <w:p w14:paraId="6A78FED5" w14:textId="77777777" w:rsidR="009A3C2D" w:rsidRPr="0082484A" w:rsidRDefault="009A3C2D" w:rsidP="00272145">
            <w:pPr>
              <w:jc w:val="right"/>
              <w:rPr>
                <w:sz w:val="22"/>
                <w:szCs w:val="22"/>
              </w:rPr>
            </w:pPr>
            <w:r w:rsidRPr="0082484A">
              <w:rPr>
                <w:sz w:val="22"/>
                <w:szCs w:val="22"/>
              </w:rPr>
              <w:t>Post SA cost</w:t>
            </w:r>
          </w:p>
        </w:tc>
        <w:tc>
          <w:tcPr>
            <w:tcW w:w="1417" w:type="dxa"/>
          </w:tcPr>
          <w:p w14:paraId="3ED527D7" w14:textId="77777777" w:rsidR="009A3C2D" w:rsidRPr="0082484A" w:rsidRDefault="009A3C2D" w:rsidP="00272145">
            <w:pPr>
              <w:pStyle w:val="Default"/>
              <w:jc w:val="right"/>
              <w:rPr>
                <w:sz w:val="22"/>
                <w:szCs w:val="22"/>
              </w:rPr>
            </w:pPr>
            <w:r w:rsidRPr="0082484A">
              <w:rPr>
                <w:sz w:val="22"/>
                <w:szCs w:val="22"/>
              </w:rPr>
              <w:t>£7</w:t>
            </w:r>
          </w:p>
        </w:tc>
        <w:tc>
          <w:tcPr>
            <w:tcW w:w="3402" w:type="dxa"/>
            <w:vMerge/>
          </w:tcPr>
          <w:p w14:paraId="1266439E" w14:textId="77777777" w:rsidR="009A3C2D" w:rsidRPr="0082484A" w:rsidRDefault="009A3C2D" w:rsidP="00272145">
            <w:pPr>
              <w:rPr>
                <w:sz w:val="22"/>
                <w:szCs w:val="22"/>
              </w:rPr>
            </w:pPr>
          </w:p>
        </w:tc>
      </w:tr>
      <w:tr w:rsidR="009A3C2D" w:rsidRPr="0082484A" w14:paraId="615A2F7F" w14:textId="77777777" w:rsidTr="00272145">
        <w:tc>
          <w:tcPr>
            <w:tcW w:w="3369" w:type="dxa"/>
          </w:tcPr>
          <w:p w14:paraId="4C21E126" w14:textId="77777777" w:rsidR="009A3C2D" w:rsidRPr="0082484A" w:rsidRDefault="009A3C2D" w:rsidP="00272145">
            <w:pPr>
              <w:jc w:val="right"/>
              <w:rPr>
                <w:sz w:val="22"/>
                <w:szCs w:val="22"/>
              </w:rPr>
            </w:pPr>
            <w:r w:rsidRPr="0082484A">
              <w:rPr>
                <w:sz w:val="22"/>
                <w:szCs w:val="22"/>
              </w:rPr>
              <w:t>Initial stroke cost</w:t>
            </w:r>
          </w:p>
        </w:tc>
        <w:tc>
          <w:tcPr>
            <w:tcW w:w="1417" w:type="dxa"/>
          </w:tcPr>
          <w:p w14:paraId="4AC75E86" w14:textId="77777777" w:rsidR="009A3C2D" w:rsidRPr="0082484A" w:rsidRDefault="009A3C2D" w:rsidP="00272145">
            <w:pPr>
              <w:pStyle w:val="Default"/>
              <w:jc w:val="right"/>
              <w:rPr>
                <w:sz w:val="22"/>
                <w:szCs w:val="22"/>
              </w:rPr>
            </w:pPr>
            <w:r w:rsidRPr="0082484A">
              <w:rPr>
                <w:sz w:val="22"/>
                <w:szCs w:val="22"/>
              </w:rPr>
              <w:t>£11,718.00</w:t>
            </w:r>
          </w:p>
        </w:tc>
        <w:tc>
          <w:tcPr>
            <w:tcW w:w="3402" w:type="dxa"/>
            <w:vMerge/>
          </w:tcPr>
          <w:p w14:paraId="5D820DD9" w14:textId="77777777" w:rsidR="009A3C2D" w:rsidRPr="0082484A" w:rsidRDefault="009A3C2D" w:rsidP="00272145">
            <w:pPr>
              <w:rPr>
                <w:sz w:val="22"/>
                <w:szCs w:val="22"/>
              </w:rPr>
            </w:pPr>
          </w:p>
        </w:tc>
      </w:tr>
      <w:tr w:rsidR="009A3C2D" w:rsidRPr="0082484A" w14:paraId="01B35D77" w14:textId="77777777" w:rsidTr="00272145">
        <w:tc>
          <w:tcPr>
            <w:tcW w:w="3369" w:type="dxa"/>
          </w:tcPr>
          <w:p w14:paraId="5BDD0A07" w14:textId="77777777" w:rsidR="009A3C2D" w:rsidRPr="0082484A" w:rsidRDefault="009A3C2D" w:rsidP="00272145">
            <w:pPr>
              <w:jc w:val="right"/>
              <w:rPr>
                <w:sz w:val="22"/>
                <w:szCs w:val="22"/>
              </w:rPr>
            </w:pPr>
            <w:r w:rsidRPr="0082484A">
              <w:rPr>
                <w:sz w:val="22"/>
                <w:szCs w:val="22"/>
              </w:rPr>
              <w:t>Post stroke cost</w:t>
            </w:r>
          </w:p>
        </w:tc>
        <w:tc>
          <w:tcPr>
            <w:tcW w:w="1417" w:type="dxa"/>
          </w:tcPr>
          <w:p w14:paraId="49D6A827" w14:textId="77777777" w:rsidR="009A3C2D" w:rsidRPr="0082484A" w:rsidRDefault="009A3C2D" w:rsidP="00272145">
            <w:pPr>
              <w:pStyle w:val="Default"/>
              <w:jc w:val="right"/>
              <w:rPr>
                <w:sz w:val="22"/>
                <w:szCs w:val="22"/>
              </w:rPr>
            </w:pPr>
            <w:r w:rsidRPr="0082484A">
              <w:rPr>
                <w:sz w:val="22"/>
                <w:szCs w:val="22"/>
              </w:rPr>
              <w:t>£680.00</w:t>
            </w:r>
          </w:p>
        </w:tc>
        <w:tc>
          <w:tcPr>
            <w:tcW w:w="3402" w:type="dxa"/>
            <w:vMerge/>
          </w:tcPr>
          <w:p w14:paraId="4AFDB270" w14:textId="77777777" w:rsidR="009A3C2D" w:rsidRPr="0082484A" w:rsidRDefault="009A3C2D" w:rsidP="00272145">
            <w:pPr>
              <w:rPr>
                <w:sz w:val="22"/>
                <w:szCs w:val="22"/>
              </w:rPr>
            </w:pPr>
          </w:p>
        </w:tc>
      </w:tr>
      <w:tr w:rsidR="009A3C2D" w:rsidRPr="0082484A" w14:paraId="0150B39B" w14:textId="77777777" w:rsidTr="00272145">
        <w:tc>
          <w:tcPr>
            <w:tcW w:w="3369" w:type="dxa"/>
          </w:tcPr>
          <w:p w14:paraId="59154B7C" w14:textId="77777777" w:rsidR="009A3C2D" w:rsidRPr="0082484A" w:rsidRDefault="009A3C2D" w:rsidP="00272145">
            <w:pPr>
              <w:jc w:val="right"/>
              <w:rPr>
                <w:sz w:val="22"/>
                <w:szCs w:val="22"/>
              </w:rPr>
            </w:pPr>
            <w:r w:rsidRPr="0082484A">
              <w:rPr>
                <w:sz w:val="22"/>
                <w:szCs w:val="22"/>
              </w:rPr>
              <w:t>Initial TIA cost</w:t>
            </w:r>
          </w:p>
        </w:tc>
        <w:tc>
          <w:tcPr>
            <w:tcW w:w="1417" w:type="dxa"/>
          </w:tcPr>
          <w:p w14:paraId="20FDC92A" w14:textId="77777777" w:rsidR="009A3C2D" w:rsidRPr="0082484A" w:rsidRDefault="009A3C2D" w:rsidP="00272145">
            <w:pPr>
              <w:pStyle w:val="Default"/>
              <w:jc w:val="right"/>
              <w:rPr>
                <w:sz w:val="22"/>
                <w:szCs w:val="22"/>
              </w:rPr>
            </w:pPr>
            <w:r w:rsidRPr="0082484A">
              <w:rPr>
                <w:sz w:val="22"/>
                <w:szCs w:val="22"/>
              </w:rPr>
              <w:t>£1,207.00</w:t>
            </w:r>
          </w:p>
        </w:tc>
        <w:tc>
          <w:tcPr>
            <w:tcW w:w="3402" w:type="dxa"/>
            <w:vMerge/>
          </w:tcPr>
          <w:p w14:paraId="431B1711" w14:textId="77777777" w:rsidR="009A3C2D" w:rsidRPr="0082484A" w:rsidRDefault="009A3C2D" w:rsidP="00272145">
            <w:pPr>
              <w:rPr>
                <w:sz w:val="22"/>
                <w:szCs w:val="22"/>
              </w:rPr>
            </w:pPr>
          </w:p>
        </w:tc>
      </w:tr>
      <w:tr w:rsidR="009A3C2D" w:rsidRPr="0082484A" w14:paraId="12AD242D" w14:textId="77777777" w:rsidTr="00272145">
        <w:tc>
          <w:tcPr>
            <w:tcW w:w="3369" w:type="dxa"/>
          </w:tcPr>
          <w:p w14:paraId="1006FF47" w14:textId="77777777" w:rsidR="009A3C2D" w:rsidRPr="0082484A" w:rsidRDefault="009A3C2D" w:rsidP="00272145">
            <w:pPr>
              <w:jc w:val="right"/>
              <w:rPr>
                <w:sz w:val="22"/>
                <w:szCs w:val="22"/>
              </w:rPr>
            </w:pPr>
            <w:r w:rsidRPr="0082484A">
              <w:rPr>
                <w:sz w:val="22"/>
                <w:szCs w:val="22"/>
              </w:rPr>
              <w:t>Post TIA cost</w:t>
            </w:r>
          </w:p>
        </w:tc>
        <w:tc>
          <w:tcPr>
            <w:tcW w:w="1417" w:type="dxa"/>
          </w:tcPr>
          <w:p w14:paraId="777C0295" w14:textId="77777777" w:rsidR="009A3C2D" w:rsidRPr="0082484A" w:rsidRDefault="009A3C2D" w:rsidP="00272145">
            <w:pPr>
              <w:pStyle w:val="Default"/>
              <w:jc w:val="right"/>
              <w:rPr>
                <w:sz w:val="22"/>
                <w:szCs w:val="22"/>
              </w:rPr>
            </w:pPr>
            <w:r w:rsidRPr="0082484A">
              <w:rPr>
                <w:sz w:val="22"/>
                <w:szCs w:val="22"/>
              </w:rPr>
              <w:t>£32.00</w:t>
            </w:r>
          </w:p>
        </w:tc>
        <w:tc>
          <w:tcPr>
            <w:tcW w:w="3402" w:type="dxa"/>
            <w:vMerge/>
          </w:tcPr>
          <w:p w14:paraId="6B7C17E2" w14:textId="77777777" w:rsidR="009A3C2D" w:rsidRPr="0082484A" w:rsidRDefault="009A3C2D" w:rsidP="00272145">
            <w:pPr>
              <w:rPr>
                <w:sz w:val="22"/>
                <w:szCs w:val="22"/>
              </w:rPr>
            </w:pPr>
          </w:p>
        </w:tc>
      </w:tr>
    </w:tbl>
    <w:p w14:paraId="17519B8E" w14:textId="77777777" w:rsidR="009A3C2D" w:rsidRPr="0082484A" w:rsidRDefault="009A3C2D" w:rsidP="009A3C2D">
      <w:pPr>
        <w:spacing w:line="360" w:lineRule="auto"/>
        <w:jc w:val="both"/>
        <w:rPr>
          <w:sz w:val="22"/>
          <w:szCs w:val="22"/>
        </w:rPr>
      </w:pPr>
    </w:p>
    <w:p w14:paraId="4CD5F976" w14:textId="77777777" w:rsidR="001D1443" w:rsidRPr="0082484A" w:rsidRDefault="001D1443">
      <w:pPr>
        <w:spacing w:before="0" w:after="200"/>
        <w:rPr>
          <w:bCs/>
          <w:sz w:val="22"/>
          <w:szCs w:val="22"/>
        </w:rPr>
      </w:pPr>
      <w:bookmarkStart w:id="365" w:name="_Ref501111222"/>
      <w:bookmarkStart w:id="366" w:name="_Ref491928255"/>
      <w:bookmarkStart w:id="367" w:name="_Toc8728181"/>
      <w:r w:rsidRPr="0082484A">
        <w:rPr>
          <w:b/>
          <w:sz w:val="22"/>
          <w:szCs w:val="22"/>
        </w:rPr>
        <w:br w:type="page"/>
      </w:r>
    </w:p>
    <w:p w14:paraId="30C95BD2" w14:textId="58543CEE" w:rsidR="009A3C2D" w:rsidRPr="0082484A" w:rsidRDefault="009A3C2D" w:rsidP="009A3C2D">
      <w:pPr>
        <w:pStyle w:val="Caption"/>
        <w:rPr>
          <w:b w:val="0"/>
          <w:sz w:val="22"/>
          <w:szCs w:val="22"/>
        </w:rPr>
      </w:pPr>
      <w:bookmarkStart w:id="368" w:name="_Toc19526828"/>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99</w:t>
      </w:r>
      <w:r w:rsidRPr="0082484A">
        <w:rPr>
          <w:b w:val="0"/>
          <w:noProof/>
          <w:sz w:val="22"/>
          <w:szCs w:val="22"/>
        </w:rPr>
        <w:fldChar w:fldCharType="end"/>
      </w:r>
      <w:bookmarkEnd w:id="365"/>
      <w:r w:rsidRPr="0082484A">
        <w:rPr>
          <w:b w:val="0"/>
          <w:noProof/>
          <w:sz w:val="22"/>
          <w:szCs w:val="22"/>
        </w:rPr>
        <w:t>:</w:t>
      </w:r>
      <w:r w:rsidRPr="0082484A">
        <w:rPr>
          <w:b w:val="0"/>
          <w:sz w:val="22"/>
          <w:szCs w:val="22"/>
        </w:rPr>
        <w:t xml:space="preserve"> </w:t>
      </w:r>
      <w:bookmarkEnd w:id="366"/>
      <w:r w:rsidRPr="0082484A">
        <w:rPr>
          <w:b w:val="0"/>
          <w:sz w:val="22"/>
          <w:szCs w:val="22"/>
        </w:rPr>
        <w:t>Blood pressure control model - utility values</w:t>
      </w:r>
      <w:bookmarkEnd w:id="367"/>
      <w:bookmarkEnd w:id="368"/>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560"/>
        <w:gridCol w:w="1729"/>
        <w:gridCol w:w="3019"/>
      </w:tblGrid>
      <w:tr w:rsidR="009A3C2D" w:rsidRPr="0082484A" w14:paraId="47A536A5" w14:textId="77777777" w:rsidTr="00272145">
        <w:trPr>
          <w:trHeight w:val="401"/>
        </w:trPr>
        <w:tc>
          <w:tcPr>
            <w:tcW w:w="2484" w:type="dxa"/>
          </w:tcPr>
          <w:p w14:paraId="37D45AD6"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Parameter</w:t>
            </w:r>
          </w:p>
        </w:tc>
        <w:tc>
          <w:tcPr>
            <w:tcW w:w="1560" w:type="dxa"/>
          </w:tcPr>
          <w:p w14:paraId="68AD8B85"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Mean</w:t>
            </w:r>
          </w:p>
        </w:tc>
        <w:tc>
          <w:tcPr>
            <w:tcW w:w="1729" w:type="dxa"/>
          </w:tcPr>
          <w:p w14:paraId="64CE6DF7"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SD/SE</w:t>
            </w:r>
          </w:p>
        </w:tc>
        <w:tc>
          <w:tcPr>
            <w:tcW w:w="3019" w:type="dxa"/>
          </w:tcPr>
          <w:p w14:paraId="5E5D9836"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Source </w:t>
            </w:r>
          </w:p>
        </w:tc>
      </w:tr>
      <w:tr w:rsidR="009A3C2D" w:rsidRPr="0082484A" w14:paraId="4C5B23CA" w14:textId="77777777" w:rsidTr="00272145">
        <w:trPr>
          <w:trHeight w:val="401"/>
        </w:trPr>
        <w:tc>
          <w:tcPr>
            <w:tcW w:w="2484" w:type="dxa"/>
          </w:tcPr>
          <w:p w14:paraId="282E286B"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No CV event utility </w:t>
            </w:r>
          </w:p>
        </w:tc>
        <w:tc>
          <w:tcPr>
            <w:tcW w:w="1560" w:type="dxa"/>
          </w:tcPr>
          <w:p w14:paraId="0DD1477F"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 xml:space="preserve">Men </w:t>
            </w:r>
          </w:p>
          <w:p w14:paraId="30B09693"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65-74y: 0.804</w:t>
            </w:r>
          </w:p>
          <w:p w14:paraId="018D4B2A"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75y+: 0.751</w:t>
            </w:r>
          </w:p>
          <w:p w14:paraId="248941DB"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 xml:space="preserve">Women </w:t>
            </w:r>
          </w:p>
          <w:p w14:paraId="40B03FDB"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65-74y: 0.780</w:t>
            </w:r>
          </w:p>
          <w:p w14:paraId="448E9CF9"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75y+: 0.704</w:t>
            </w:r>
          </w:p>
        </w:tc>
        <w:tc>
          <w:tcPr>
            <w:tcW w:w="1729" w:type="dxa"/>
          </w:tcPr>
          <w:p w14:paraId="2E28C789"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Men</w:t>
            </w:r>
          </w:p>
          <w:p w14:paraId="6D7BACC2"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65-74y: 0.011</w:t>
            </w:r>
          </w:p>
          <w:p w14:paraId="3C9F6E16"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 xml:space="preserve">75y+: 0.013 </w:t>
            </w:r>
          </w:p>
          <w:p w14:paraId="4B4F1324"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Women</w:t>
            </w:r>
          </w:p>
          <w:p w14:paraId="339E1B0E" w14:textId="77777777" w:rsidR="009A3C2D" w:rsidRPr="0082484A" w:rsidRDefault="009A3C2D" w:rsidP="00272145">
            <w:pPr>
              <w:autoSpaceDE w:val="0"/>
              <w:autoSpaceDN w:val="0"/>
              <w:adjustRightInd w:val="0"/>
              <w:rPr>
                <w:color w:val="000000"/>
                <w:sz w:val="22"/>
                <w:szCs w:val="22"/>
                <w:lang w:val="es-MX"/>
              </w:rPr>
            </w:pPr>
            <w:r w:rsidRPr="0082484A">
              <w:rPr>
                <w:color w:val="000000"/>
                <w:sz w:val="22"/>
                <w:szCs w:val="22"/>
                <w:lang w:val="es-MX"/>
              </w:rPr>
              <w:t>65-74y: 0.010</w:t>
            </w:r>
          </w:p>
          <w:p w14:paraId="5380ACCB"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75y+:0.011 </w:t>
            </w:r>
          </w:p>
        </w:tc>
        <w:tc>
          <w:tcPr>
            <w:tcW w:w="3019" w:type="dxa"/>
          </w:tcPr>
          <w:p w14:paraId="0A71D73E" w14:textId="742D4A80" w:rsidR="009A3C2D" w:rsidRPr="0082484A" w:rsidRDefault="009A3C2D" w:rsidP="00952E85">
            <w:pPr>
              <w:autoSpaceDE w:val="0"/>
              <w:autoSpaceDN w:val="0"/>
              <w:adjustRightInd w:val="0"/>
              <w:rPr>
                <w:color w:val="000000"/>
                <w:sz w:val="22"/>
                <w:szCs w:val="22"/>
              </w:rPr>
            </w:pPr>
            <w:r w:rsidRPr="0082484A">
              <w:rPr>
                <w:color w:val="000000"/>
                <w:sz w:val="22"/>
                <w:szCs w:val="22"/>
              </w:rPr>
              <w:t xml:space="preserve">General population utilities from analysis of EQ5D from HSE 2006422 </w:t>
            </w:r>
            <w:r w:rsidRPr="0082484A">
              <w:rPr>
                <w:sz w:val="22"/>
                <w:szCs w:val="22"/>
              </w:rPr>
              <w:fldChar w:fldCharType="begin"/>
            </w:r>
            <w:r w:rsidR="00952E85" w:rsidRPr="0082484A">
              <w:rPr>
                <w:sz w:val="22"/>
                <w:szCs w:val="22"/>
              </w:rPr>
              <w:instrText xml:space="preserve"> ADDIN EN.CITE &lt;EndNote&gt;&lt;Cite&gt;&lt;Author&gt;National Institute for Health and Clinical Excellence (NICE)&lt;/Author&gt;&lt;Year&gt;2011&lt;/Year&gt;&lt;RecNum&gt;108&lt;/RecNum&gt;&lt;DisplayText&gt;&lt;style face="superscript"&gt;13&lt;/style&gt;&lt;/DisplayText&gt;&lt;record&gt;&lt;rec-number&gt;108&lt;/rec-number&gt;&lt;foreign-keys&gt;&lt;key app="EN" db-id="5srzarxr5dr9r5es2r7xst9lr9t2rewrpffr" timestamp="1500279090"&gt;108&lt;/key&gt;&lt;/foreign-keys&gt;&lt;ref-type name="Report"&gt;27&lt;/ref-type&gt;&lt;contributors&gt;&lt;authors&gt;&lt;author&gt;National Institute for Health and Clinical Excellence (NICE),&lt;/author&gt;&lt;/authors&gt;&lt;secondary-authors&gt;&lt;author&gt;National Institute for Health and Clinical Excellence,&lt;/author&gt;&lt;/secondary-authors&gt;&lt;/contributors&gt;&lt;titles&gt;&lt;title&gt;Hypertension: the clinical management of primary hypertension in adults [CG127]&lt;/title&gt;&lt;/titles&gt;&lt;dates&gt;&lt;year&gt;2011&lt;/year&gt;&lt;/dates&gt;&lt;pub-location&gt;London&lt;/pub-location&gt;&lt;publisher&gt;Royal College of Physicians&lt;/publisher&gt;&lt;urls&gt;&lt;/urls&gt;&lt;/record&gt;&lt;/Cite&gt;&lt;/EndNote&gt;</w:instrText>
            </w:r>
            <w:r w:rsidRPr="0082484A">
              <w:rPr>
                <w:sz w:val="22"/>
                <w:szCs w:val="22"/>
              </w:rPr>
              <w:fldChar w:fldCharType="separate"/>
            </w:r>
            <w:r w:rsidR="00952E85" w:rsidRPr="0082484A">
              <w:rPr>
                <w:noProof/>
                <w:sz w:val="22"/>
                <w:szCs w:val="22"/>
                <w:vertAlign w:val="superscript"/>
              </w:rPr>
              <w:t>13</w:t>
            </w:r>
            <w:r w:rsidRPr="0082484A">
              <w:rPr>
                <w:sz w:val="22"/>
                <w:szCs w:val="22"/>
              </w:rPr>
              <w:fldChar w:fldCharType="end"/>
            </w:r>
          </w:p>
        </w:tc>
      </w:tr>
      <w:tr w:rsidR="009A3C2D" w:rsidRPr="0082484A" w14:paraId="5DB76F6E" w14:textId="77777777" w:rsidTr="00272145">
        <w:trPr>
          <w:trHeight w:val="223"/>
        </w:trPr>
        <w:tc>
          <w:tcPr>
            <w:tcW w:w="2484" w:type="dxa"/>
          </w:tcPr>
          <w:p w14:paraId="5F78D40C"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Stroke utility </w:t>
            </w:r>
          </w:p>
        </w:tc>
        <w:tc>
          <w:tcPr>
            <w:tcW w:w="1560" w:type="dxa"/>
          </w:tcPr>
          <w:p w14:paraId="396BBE21"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0.629 </w:t>
            </w:r>
          </w:p>
        </w:tc>
        <w:tc>
          <w:tcPr>
            <w:tcW w:w="1729" w:type="dxa"/>
          </w:tcPr>
          <w:p w14:paraId="7569D5CC"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0.04</w:t>
            </w:r>
          </w:p>
        </w:tc>
        <w:tc>
          <w:tcPr>
            <w:tcW w:w="3019" w:type="dxa"/>
            <w:vMerge w:val="restart"/>
          </w:tcPr>
          <w:p w14:paraId="783BDCD5" w14:textId="39A9A4B8"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Ward </w:t>
            </w:r>
            <w:r w:rsidRPr="0082484A">
              <w:rPr>
                <w:i/>
                <w:color w:val="000000"/>
                <w:sz w:val="22"/>
                <w:szCs w:val="22"/>
              </w:rPr>
              <w:t>et al</w:t>
            </w:r>
            <w:r w:rsidRPr="0082484A">
              <w:rPr>
                <w:color w:val="000000"/>
                <w:sz w:val="22"/>
                <w:szCs w:val="22"/>
              </w:rPr>
              <w:t>.</w:t>
            </w:r>
            <w:r w:rsidRPr="0082484A">
              <w:rPr>
                <w:color w:val="000000"/>
                <w:sz w:val="22"/>
                <w:szCs w:val="22"/>
              </w:rPr>
              <w:fldChar w:fldCharType="begin"/>
            </w:r>
            <w:r w:rsidR="00952E85" w:rsidRPr="0082484A">
              <w:rPr>
                <w:color w:val="000000"/>
                <w:sz w:val="22"/>
                <w:szCs w:val="22"/>
              </w:rPr>
              <w:instrText xml:space="preserve"> ADDIN EN.CITE &lt;EndNote&gt;&lt;Cite&gt;&lt;Author&gt;Ward&lt;/Author&gt;&lt;Year&gt;2007&lt;/Year&gt;&lt;RecNum&gt;3311&lt;/RecNum&gt;&lt;DisplayText&gt;&lt;style face="superscript"&gt;14&lt;/style&gt;&lt;/DisplayText&gt;&lt;record&gt;&lt;rec-number&gt;3311&lt;/rec-number&gt;&lt;foreign-keys&gt;&lt;key app="EN" db-id="5srzarxr5dr9r5es2r7xst9lr9t2rewrpffr" timestamp="1516019274"&gt;3311&lt;/key&gt;&lt;/foreign-keys&gt;&lt;ref-type name="Journal Article"&gt;17&lt;/ref-type&gt;&lt;contributors&gt;&lt;authors&gt;&lt;author&gt;Ward, S.&lt;/author&gt;&lt;author&gt;Jones, M. L.&lt;/author&gt;&lt;author&gt;Pandor, A.&lt;/author&gt;&lt;author&gt;Holmes, M.&lt;/author&gt;&lt;author&gt;Ara, R.&lt;/author&gt;&lt;author&gt;Ryan, A.&lt;/author&gt;&lt;author&gt;Yeo, W.&lt;/author&gt;&lt;author&gt;Payne, N.&lt;/author&gt;&lt;/authors&gt;&lt;/contributors&gt;&lt;auth-address&gt;Univ Sheffield, Sch Hlth &amp;amp; Related Res, Sheffield S10 2TN, S Yorkshire, England&amp;#xD;Royal Hallamshire Hosp, Dept Clin Pharmacol &amp;amp; Therapeut, Sheffield S10 2JF, S Yorkshire, England&lt;/auth-address&gt;&lt;titles&gt;&lt;title&gt;A systematic review and economic evaluation of statins for the prevention of coronary events&lt;/title&gt;&lt;secondary-title&gt;Health Technology Assessment&lt;/secondary-title&gt;&lt;alt-title&gt;Health Technol Asses&lt;/alt-title&gt;&lt;/titles&gt;&lt;periodical&gt;&lt;full-title&gt;Health Technology Assessment&lt;/full-title&gt;&lt;/periodical&gt;&lt;pages&gt;1-+&lt;/pages&gt;&lt;volume&gt;11&lt;/volume&gt;&lt;number&gt;14&lt;/number&gt;&lt;keywords&gt;&lt;keyword&gt;density-lipoprotein-cholesterol&lt;/keyword&gt;&lt;keyword&gt;placebo-controlled trial&lt;/keyword&gt;&lt;keyword&gt;quality-of-life&lt;/keyword&gt;&lt;keyword&gt;randomized controlled-trial&lt;/keyword&gt;&lt;keyword&gt;c-reactive protein&lt;/keyword&gt;&lt;keyword&gt;scandinavian-simvastatin-survival&lt;/keyword&gt;&lt;keyword&gt;peripheral arterial-disease&lt;/keyword&gt;&lt;keyword&gt;acute myocardial-infarction&lt;/keyword&gt;&lt;keyword&gt;coa reductase inhibitor&lt;/keyword&gt;&lt;keyword&gt;double-blind trial&lt;/keyword&gt;&lt;/keywords&gt;&lt;dates&gt;&lt;year&gt;2007&lt;/year&gt;&lt;pub-dates&gt;&lt;date&gt;Apr&lt;/date&gt;&lt;/pub-dates&gt;&lt;/dates&gt;&lt;isbn&gt;1366-5278&lt;/isbn&gt;&lt;accession-num&gt;WOS:000246025000001&lt;/accession-num&gt;&lt;urls&gt;&lt;related-urls&gt;&lt;url&gt;&amp;lt;Go to ISI&amp;gt;://WOS:000246025000001&lt;/url&gt;&lt;/related-urls&gt;&lt;/urls&gt;&lt;electronic-resource-num&gt;10.3310/hta11140&lt;/electronic-resource-num&gt;&lt;language&gt;English&lt;/language&gt;&lt;/record&gt;&lt;/Cite&gt;&lt;/EndNote&gt;</w:instrText>
            </w:r>
            <w:r w:rsidRPr="0082484A">
              <w:rPr>
                <w:color w:val="000000"/>
                <w:sz w:val="22"/>
                <w:szCs w:val="22"/>
              </w:rPr>
              <w:fldChar w:fldCharType="separate"/>
            </w:r>
            <w:r w:rsidR="00952E85" w:rsidRPr="0082484A">
              <w:rPr>
                <w:noProof/>
                <w:color w:val="000000"/>
                <w:sz w:val="22"/>
                <w:szCs w:val="22"/>
                <w:vertAlign w:val="superscript"/>
              </w:rPr>
              <w:t>14</w:t>
            </w:r>
            <w:r w:rsidRPr="0082484A">
              <w:rPr>
                <w:color w:val="000000"/>
                <w:sz w:val="22"/>
                <w:szCs w:val="22"/>
              </w:rPr>
              <w:fldChar w:fldCharType="end"/>
            </w:r>
            <w:r w:rsidRPr="0082484A">
              <w:rPr>
                <w:color w:val="000000"/>
                <w:sz w:val="22"/>
                <w:szCs w:val="22"/>
              </w:rPr>
              <w:t xml:space="preserve"> 2007 </w:t>
            </w:r>
          </w:p>
          <w:p w14:paraId="2B93BC9C"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Applied multiplicatively to general population age and gender dependant utilities</w:t>
            </w:r>
          </w:p>
        </w:tc>
      </w:tr>
      <w:tr w:rsidR="009A3C2D" w:rsidRPr="0082484A" w14:paraId="7C0D3118" w14:textId="77777777" w:rsidTr="00272145">
        <w:trPr>
          <w:trHeight w:val="156"/>
        </w:trPr>
        <w:tc>
          <w:tcPr>
            <w:tcW w:w="2484" w:type="dxa"/>
          </w:tcPr>
          <w:p w14:paraId="613AC918"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TIA utility </w:t>
            </w:r>
          </w:p>
        </w:tc>
        <w:tc>
          <w:tcPr>
            <w:tcW w:w="1560" w:type="dxa"/>
          </w:tcPr>
          <w:p w14:paraId="27417A68"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1 </w:t>
            </w:r>
          </w:p>
        </w:tc>
        <w:tc>
          <w:tcPr>
            <w:tcW w:w="1729" w:type="dxa"/>
          </w:tcPr>
          <w:p w14:paraId="1601B5B6"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Fixed</w:t>
            </w:r>
          </w:p>
        </w:tc>
        <w:tc>
          <w:tcPr>
            <w:tcW w:w="3019" w:type="dxa"/>
            <w:vMerge/>
          </w:tcPr>
          <w:p w14:paraId="5AA4B6FF" w14:textId="77777777" w:rsidR="009A3C2D" w:rsidRPr="0082484A" w:rsidRDefault="009A3C2D" w:rsidP="00272145">
            <w:pPr>
              <w:autoSpaceDE w:val="0"/>
              <w:autoSpaceDN w:val="0"/>
              <w:adjustRightInd w:val="0"/>
              <w:rPr>
                <w:color w:val="000000"/>
                <w:sz w:val="22"/>
                <w:szCs w:val="22"/>
              </w:rPr>
            </w:pPr>
          </w:p>
        </w:tc>
      </w:tr>
      <w:tr w:rsidR="009A3C2D" w:rsidRPr="0082484A" w14:paraId="5DE509E0" w14:textId="77777777" w:rsidTr="00272145">
        <w:trPr>
          <w:trHeight w:val="156"/>
        </w:trPr>
        <w:tc>
          <w:tcPr>
            <w:tcW w:w="2484" w:type="dxa"/>
          </w:tcPr>
          <w:p w14:paraId="21216B78"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MI utility </w:t>
            </w:r>
          </w:p>
        </w:tc>
        <w:tc>
          <w:tcPr>
            <w:tcW w:w="1560" w:type="dxa"/>
          </w:tcPr>
          <w:p w14:paraId="1A2496EA"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0.760 </w:t>
            </w:r>
          </w:p>
        </w:tc>
        <w:tc>
          <w:tcPr>
            <w:tcW w:w="1729" w:type="dxa"/>
          </w:tcPr>
          <w:p w14:paraId="08BE4AF4"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0.018</w:t>
            </w:r>
          </w:p>
        </w:tc>
        <w:tc>
          <w:tcPr>
            <w:tcW w:w="3019" w:type="dxa"/>
            <w:vMerge/>
          </w:tcPr>
          <w:p w14:paraId="074E321C" w14:textId="77777777" w:rsidR="009A3C2D" w:rsidRPr="0082484A" w:rsidRDefault="009A3C2D" w:rsidP="00272145">
            <w:pPr>
              <w:autoSpaceDE w:val="0"/>
              <w:autoSpaceDN w:val="0"/>
              <w:adjustRightInd w:val="0"/>
              <w:rPr>
                <w:color w:val="000000"/>
                <w:sz w:val="22"/>
                <w:szCs w:val="22"/>
              </w:rPr>
            </w:pPr>
          </w:p>
        </w:tc>
      </w:tr>
      <w:tr w:rsidR="009A3C2D" w:rsidRPr="0082484A" w14:paraId="03FE19C3" w14:textId="77777777" w:rsidTr="00272145">
        <w:trPr>
          <w:trHeight w:val="156"/>
        </w:trPr>
        <w:tc>
          <w:tcPr>
            <w:tcW w:w="2484" w:type="dxa"/>
          </w:tcPr>
          <w:p w14:paraId="36B8CEEF"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UA utility </w:t>
            </w:r>
          </w:p>
        </w:tc>
        <w:tc>
          <w:tcPr>
            <w:tcW w:w="1560" w:type="dxa"/>
          </w:tcPr>
          <w:p w14:paraId="6AE78AA0"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0.770 </w:t>
            </w:r>
          </w:p>
        </w:tc>
        <w:tc>
          <w:tcPr>
            <w:tcW w:w="1729" w:type="dxa"/>
          </w:tcPr>
          <w:p w14:paraId="4FBE1A3B"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0.038</w:t>
            </w:r>
          </w:p>
        </w:tc>
        <w:tc>
          <w:tcPr>
            <w:tcW w:w="3019" w:type="dxa"/>
            <w:vMerge/>
          </w:tcPr>
          <w:p w14:paraId="4B0117E2" w14:textId="77777777" w:rsidR="009A3C2D" w:rsidRPr="0082484A" w:rsidRDefault="009A3C2D" w:rsidP="00272145">
            <w:pPr>
              <w:autoSpaceDE w:val="0"/>
              <w:autoSpaceDN w:val="0"/>
              <w:adjustRightInd w:val="0"/>
              <w:rPr>
                <w:color w:val="000000"/>
                <w:sz w:val="22"/>
                <w:szCs w:val="22"/>
              </w:rPr>
            </w:pPr>
          </w:p>
        </w:tc>
      </w:tr>
      <w:tr w:rsidR="009A3C2D" w:rsidRPr="0082484A" w14:paraId="72A442C0" w14:textId="77777777" w:rsidTr="00272145">
        <w:trPr>
          <w:trHeight w:val="156"/>
        </w:trPr>
        <w:tc>
          <w:tcPr>
            <w:tcW w:w="2484" w:type="dxa"/>
          </w:tcPr>
          <w:p w14:paraId="462F0D74"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SA utility </w:t>
            </w:r>
          </w:p>
        </w:tc>
        <w:tc>
          <w:tcPr>
            <w:tcW w:w="1560" w:type="dxa"/>
          </w:tcPr>
          <w:p w14:paraId="1623FD26"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0.808 </w:t>
            </w:r>
          </w:p>
        </w:tc>
        <w:tc>
          <w:tcPr>
            <w:tcW w:w="1729" w:type="dxa"/>
          </w:tcPr>
          <w:p w14:paraId="7DB364C1"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0.038</w:t>
            </w:r>
          </w:p>
        </w:tc>
        <w:tc>
          <w:tcPr>
            <w:tcW w:w="3019" w:type="dxa"/>
          </w:tcPr>
          <w:p w14:paraId="662D4B07" w14:textId="77777777" w:rsidR="009A3C2D" w:rsidRPr="0082484A" w:rsidRDefault="009A3C2D" w:rsidP="00272145">
            <w:pPr>
              <w:autoSpaceDE w:val="0"/>
              <w:autoSpaceDN w:val="0"/>
              <w:adjustRightInd w:val="0"/>
              <w:rPr>
                <w:color w:val="000000"/>
                <w:sz w:val="22"/>
                <w:szCs w:val="22"/>
              </w:rPr>
            </w:pPr>
            <w:r w:rsidRPr="0082484A">
              <w:rPr>
                <w:color w:val="000000"/>
                <w:sz w:val="22"/>
                <w:szCs w:val="22"/>
              </w:rPr>
              <w:t xml:space="preserve">Ward </w:t>
            </w:r>
            <w:r w:rsidRPr="0082484A">
              <w:rPr>
                <w:i/>
                <w:color w:val="000000"/>
                <w:sz w:val="22"/>
                <w:szCs w:val="22"/>
              </w:rPr>
              <w:t>et al</w:t>
            </w:r>
            <w:r w:rsidRPr="0082484A">
              <w:rPr>
                <w:color w:val="000000"/>
                <w:sz w:val="22"/>
                <w:szCs w:val="22"/>
              </w:rPr>
              <w:t xml:space="preserve">. 2007. Applied multiplicatively to general population age and gender dependant utilities. SE: Assumed equal to UA. </w:t>
            </w:r>
          </w:p>
        </w:tc>
      </w:tr>
    </w:tbl>
    <w:p w14:paraId="22A1BF94" w14:textId="77777777" w:rsidR="009A3C2D" w:rsidRPr="0082484A" w:rsidRDefault="009A3C2D" w:rsidP="009A3C2D">
      <w:pPr>
        <w:rPr>
          <w:sz w:val="22"/>
          <w:szCs w:val="22"/>
        </w:rPr>
      </w:pPr>
    </w:p>
    <w:p w14:paraId="0FF4898F" w14:textId="77777777" w:rsidR="001D1443" w:rsidRPr="0082484A" w:rsidRDefault="001D1443">
      <w:pPr>
        <w:spacing w:before="0" w:after="200"/>
        <w:rPr>
          <w:bCs/>
          <w:sz w:val="22"/>
          <w:szCs w:val="22"/>
        </w:rPr>
      </w:pPr>
      <w:bookmarkStart w:id="369" w:name="_Ref501111269"/>
      <w:bookmarkStart w:id="370" w:name="_Toc8728182"/>
      <w:r w:rsidRPr="0082484A">
        <w:rPr>
          <w:b/>
          <w:sz w:val="22"/>
          <w:szCs w:val="22"/>
        </w:rPr>
        <w:br w:type="page"/>
      </w:r>
    </w:p>
    <w:p w14:paraId="323F661C" w14:textId="32B26CB3" w:rsidR="009A3C2D" w:rsidRPr="0082484A" w:rsidRDefault="009A3C2D" w:rsidP="009A3C2D">
      <w:pPr>
        <w:pStyle w:val="Caption"/>
        <w:rPr>
          <w:b w:val="0"/>
          <w:sz w:val="22"/>
          <w:szCs w:val="22"/>
          <w:lang w:val="en-US"/>
        </w:rPr>
      </w:pPr>
      <w:bookmarkStart w:id="371" w:name="_Toc19526829"/>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100</w:t>
      </w:r>
      <w:r w:rsidRPr="0082484A">
        <w:rPr>
          <w:b w:val="0"/>
          <w:noProof/>
          <w:sz w:val="22"/>
          <w:szCs w:val="22"/>
        </w:rPr>
        <w:fldChar w:fldCharType="end"/>
      </w:r>
      <w:bookmarkEnd w:id="369"/>
      <w:r w:rsidRPr="0082484A">
        <w:rPr>
          <w:b w:val="0"/>
          <w:noProof/>
          <w:sz w:val="22"/>
          <w:szCs w:val="22"/>
        </w:rPr>
        <w:t>:</w:t>
      </w:r>
      <w:r w:rsidRPr="0082484A">
        <w:rPr>
          <w:b w:val="0"/>
          <w:sz w:val="22"/>
          <w:szCs w:val="22"/>
        </w:rPr>
        <w:t xml:space="preserve"> </w:t>
      </w:r>
      <w:r w:rsidRPr="0082484A">
        <w:rPr>
          <w:b w:val="0"/>
          <w:sz w:val="22"/>
          <w:szCs w:val="22"/>
          <w:lang w:val="en-US"/>
        </w:rPr>
        <w:t>Blood pressure</w:t>
      </w:r>
      <w:r w:rsidRPr="0082484A">
        <w:rPr>
          <w:b w:val="0"/>
          <w:sz w:val="22"/>
          <w:szCs w:val="22"/>
        </w:rPr>
        <w:t xml:space="preserve"> control model – Proportions of patients eligible for each indicator</w:t>
      </w:r>
      <w:bookmarkEnd w:id="370"/>
      <w:bookmarkEnd w:id="371"/>
    </w:p>
    <w:tbl>
      <w:tblPr>
        <w:tblStyle w:val="TableGrid"/>
        <w:tblW w:w="0" w:type="auto"/>
        <w:tblLook w:val="04A0" w:firstRow="1" w:lastRow="0" w:firstColumn="1" w:lastColumn="0" w:noHBand="0" w:noVBand="1"/>
      </w:tblPr>
      <w:tblGrid>
        <w:gridCol w:w="1384"/>
        <w:gridCol w:w="1985"/>
        <w:gridCol w:w="2126"/>
      </w:tblGrid>
      <w:tr w:rsidR="009A3C2D" w:rsidRPr="0082484A" w14:paraId="452C3A1A" w14:textId="77777777" w:rsidTr="00272145">
        <w:tc>
          <w:tcPr>
            <w:tcW w:w="1384" w:type="dxa"/>
            <w:tcBorders>
              <w:top w:val="single" w:sz="4" w:space="0" w:color="auto"/>
              <w:left w:val="single" w:sz="4" w:space="0" w:color="auto"/>
              <w:bottom w:val="single" w:sz="4" w:space="0" w:color="auto"/>
              <w:right w:val="single" w:sz="4" w:space="0" w:color="auto"/>
            </w:tcBorders>
            <w:vAlign w:val="center"/>
            <w:hideMark/>
          </w:tcPr>
          <w:p w14:paraId="453D15BD" w14:textId="77777777" w:rsidR="009A3C2D" w:rsidRPr="0082484A" w:rsidRDefault="009A3C2D" w:rsidP="00272145">
            <w:pPr>
              <w:jc w:val="center"/>
              <w:rPr>
                <w:sz w:val="22"/>
                <w:szCs w:val="22"/>
              </w:rPr>
            </w:pPr>
            <w:r w:rsidRPr="0082484A">
              <w:rPr>
                <w:sz w:val="22"/>
                <w:szCs w:val="22"/>
              </w:rPr>
              <w:t>Indicator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7DE22" w14:textId="77777777" w:rsidR="009A3C2D" w:rsidRPr="0082484A" w:rsidRDefault="009A3C2D" w:rsidP="00272145">
            <w:pPr>
              <w:jc w:val="center"/>
              <w:rPr>
                <w:sz w:val="22"/>
                <w:szCs w:val="22"/>
              </w:rPr>
            </w:pPr>
            <w:r w:rsidRPr="0082484A">
              <w:rPr>
                <w:sz w:val="22"/>
                <w:szCs w:val="22"/>
              </w:rPr>
              <w:t>Mean practice proportion eligible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919C76" w14:textId="77777777" w:rsidR="009A3C2D" w:rsidRPr="0082484A" w:rsidRDefault="009A3C2D" w:rsidP="00272145">
            <w:pPr>
              <w:jc w:val="center"/>
              <w:rPr>
                <w:sz w:val="22"/>
                <w:szCs w:val="22"/>
              </w:rPr>
            </w:pPr>
            <w:r w:rsidRPr="0082484A">
              <w:rPr>
                <w:sz w:val="22"/>
                <w:szCs w:val="22"/>
              </w:rPr>
              <w:t>SD Practice proportion eligible</w:t>
            </w:r>
          </w:p>
        </w:tc>
      </w:tr>
      <w:tr w:rsidR="009A3C2D" w:rsidRPr="0082484A" w14:paraId="28FCBC09"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4CBDCC1D" w14:textId="77777777" w:rsidR="009A3C2D" w:rsidRPr="0082484A" w:rsidRDefault="009A3C2D" w:rsidP="00272145">
            <w:pPr>
              <w:rPr>
                <w:sz w:val="22"/>
                <w:szCs w:val="22"/>
              </w:rPr>
            </w:pPr>
            <w:r w:rsidRPr="0082484A">
              <w:rPr>
                <w:sz w:val="22"/>
                <w:szCs w:val="22"/>
              </w:rPr>
              <w:t>5_5</w:t>
            </w:r>
          </w:p>
        </w:tc>
        <w:tc>
          <w:tcPr>
            <w:tcW w:w="1985" w:type="dxa"/>
            <w:tcBorders>
              <w:top w:val="single" w:sz="4" w:space="0" w:color="auto"/>
              <w:left w:val="single" w:sz="4" w:space="0" w:color="auto"/>
              <w:bottom w:val="single" w:sz="4" w:space="0" w:color="auto"/>
              <w:right w:val="single" w:sz="4" w:space="0" w:color="auto"/>
            </w:tcBorders>
            <w:hideMark/>
          </w:tcPr>
          <w:p w14:paraId="284C581E" w14:textId="77777777" w:rsidR="009A3C2D" w:rsidRPr="0082484A" w:rsidRDefault="009A3C2D" w:rsidP="00272145">
            <w:pPr>
              <w:jc w:val="center"/>
              <w:rPr>
                <w:sz w:val="22"/>
                <w:szCs w:val="22"/>
              </w:rPr>
            </w:pPr>
            <w:r w:rsidRPr="0082484A">
              <w:rPr>
                <w:sz w:val="22"/>
                <w:szCs w:val="22"/>
              </w:rPr>
              <w:t>0.107</w:t>
            </w:r>
          </w:p>
        </w:tc>
        <w:tc>
          <w:tcPr>
            <w:tcW w:w="2126" w:type="dxa"/>
            <w:tcBorders>
              <w:top w:val="single" w:sz="4" w:space="0" w:color="auto"/>
              <w:left w:val="single" w:sz="4" w:space="0" w:color="auto"/>
              <w:bottom w:val="single" w:sz="4" w:space="0" w:color="auto"/>
              <w:right w:val="single" w:sz="4" w:space="0" w:color="auto"/>
            </w:tcBorders>
            <w:hideMark/>
          </w:tcPr>
          <w:p w14:paraId="13DD39BD" w14:textId="77777777" w:rsidR="009A3C2D" w:rsidRPr="0082484A" w:rsidRDefault="009A3C2D" w:rsidP="00272145">
            <w:pPr>
              <w:jc w:val="center"/>
              <w:rPr>
                <w:sz w:val="22"/>
                <w:szCs w:val="22"/>
              </w:rPr>
            </w:pPr>
            <w:r w:rsidRPr="0082484A">
              <w:rPr>
                <w:sz w:val="22"/>
                <w:szCs w:val="22"/>
              </w:rPr>
              <w:t>0.027</w:t>
            </w:r>
          </w:p>
        </w:tc>
      </w:tr>
      <w:tr w:rsidR="009A3C2D" w:rsidRPr="0082484A" w14:paraId="535E5AB4"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02C67DD7" w14:textId="77777777" w:rsidR="009A3C2D" w:rsidRPr="0082484A" w:rsidRDefault="009A3C2D" w:rsidP="00272145">
            <w:pPr>
              <w:rPr>
                <w:sz w:val="22"/>
                <w:szCs w:val="22"/>
              </w:rPr>
            </w:pPr>
            <w:r w:rsidRPr="0082484A">
              <w:rPr>
                <w:sz w:val="22"/>
                <w:szCs w:val="22"/>
              </w:rPr>
              <w:t>5_6</w:t>
            </w:r>
          </w:p>
        </w:tc>
        <w:tc>
          <w:tcPr>
            <w:tcW w:w="1985" w:type="dxa"/>
            <w:tcBorders>
              <w:top w:val="single" w:sz="4" w:space="0" w:color="auto"/>
              <w:left w:val="single" w:sz="4" w:space="0" w:color="auto"/>
              <w:bottom w:val="single" w:sz="4" w:space="0" w:color="auto"/>
              <w:right w:val="single" w:sz="4" w:space="0" w:color="auto"/>
            </w:tcBorders>
            <w:hideMark/>
          </w:tcPr>
          <w:p w14:paraId="13D6490C" w14:textId="77777777" w:rsidR="009A3C2D" w:rsidRPr="0082484A" w:rsidRDefault="009A3C2D" w:rsidP="00272145">
            <w:pPr>
              <w:jc w:val="center"/>
              <w:rPr>
                <w:sz w:val="22"/>
                <w:szCs w:val="22"/>
              </w:rPr>
            </w:pPr>
            <w:r w:rsidRPr="0082484A">
              <w:rPr>
                <w:sz w:val="22"/>
                <w:szCs w:val="22"/>
              </w:rPr>
              <w:t>0.023</w:t>
            </w:r>
          </w:p>
        </w:tc>
        <w:tc>
          <w:tcPr>
            <w:tcW w:w="2126" w:type="dxa"/>
            <w:tcBorders>
              <w:top w:val="single" w:sz="4" w:space="0" w:color="auto"/>
              <w:left w:val="single" w:sz="4" w:space="0" w:color="auto"/>
              <w:bottom w:val="single" w:sz="4" w:space="0" w:color="auto"/>
              <w:right w:val="single" w:sz="4" w:space="0" w:color="auto"/>
            </w:tcBorders>
            <w:hideMark/>
          </w:tcPr>
          <w:p w14:paraId="1EBCFDB9" w14:textId="77777777" w:rsidR="009A3C2D" w:rsidRPr="0082484A" w:rsidRDefault="009A3C2D" w:rsidP="00272145">
            <w:pPr>
              <w:jc w:val="center"/>
              <w:rPr>
                <w:sz w:val="22"/>
                <w:szCs w:val="22"/>
              </w:rPr>
            </w:pPr>
            <w:r w:rsidRPr="0082484A">
              <w:rPr>
                <w:sz w:val="22"/>
                <w:szCs w:val="22"/>
              </w:rPr>
              <w:t>0.011</w:t>
            </w:r>
          </w:p>
        </w:tc>
      </w:tr>
      <w:tr w:rsidR="009A3C2D" w:rsidRPr="0082484A" w14:paraId="564A094A"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65CA8394" w14:textId="77777777" w:rsidR="009A3C2D" w:rsidRPr="0082484A" w:rsidRDefault="009A3C2D" w:rsidP="00272145">
            <w:pPr>
              <w:rPr>
                <w:sz w:val="22"/>
                <w:szCs w:val="22"/>
              </w:rPr>
            </w:pPr>
            <w:r w:rsidRPr="0082484A">
              <w:rPr>
                <w:sz w:val="22"/>
                <w:szCs w:val="22"/>
              </w:rPr>
              <w:t>9_1</w:t>
            </w:r>
          </w:p>
        </w:tc>
        <w:tc>
          <w:tcPr>
            <w:tcW w:w="1985" w:type="dxa"/>
            <w:tcBorders>
              <w:top w:val="single" w:sz="4" w:space="0" w:color="auto"/>
              <w:left w:val="single" w:sz="4" w:space="0" w:color="auto"/>
              <w:bottom w:val="single" w:sz="4" w:space="0" w:color="auto"/>
              <w:right w:val="single" w:sz="4" w:space="0" w:color="auto"/>
            </w:tcBorders>
            <w:hideMark/>
          </w:tcPr>
          <w:p w14:paraId="2526BCF4" w14:textId="77777777" w:rsidR="009A3C2D" w:rsidRPr="0082484A" w:rsidRDefault="009A3C2D" w:rsidP="00272145">
            <w:pPr>
              <w:jc w:val="center"/>
              <w:rPr>
                <w:sz w:val="22"/>
                <w:szCs w:val="22"/>
              </w:rPr>
            </w:pPr>
            <w:r w:rsidRPr="0082484A">
              <w:rPr>
                <w:sz w:val="22"/>
                <w:szCs w:val="22"/>
              </w:rPr>
              <w:t>0.011</w:t>
            </w:r>
          </w:p>
        </w:tc>
        <w:tc>
          <w:tcPr>
            <w:tcW w:w="2126" w:type="dxa"/>
            <w:tcBorders>
              <w:top w:val="single" w:sz="4" w:space="0" w:color="auto"/>
              <w:left w:val="single" w:sz="4" w:space="0" w:color="auto"/>
              <w:bottom w:val="single" w:sz="4" w:space="0" w:color="auto"/>
              <w:right w:val="single" w:sz="4" w:space="0" w:color="auto"/>
            </w:tcBorders>
            <w:hideMark/>
          </w:tcPr>
          <w:p w14:paraId="5A2B9D9A" w14:textId="77777777" w:rsidR="009A3C2D" w:rsidRPr="0082484A" w:rsidRDefault="009A3C2D" w:rsidP="00272145">
            <w:pPr>
              <w:jc w:val="center"/>
              <w:rPr>
                <w:sz w:val="22"/>
                <w:szCs w:val="22"/>
              </w:rPr>
            </w:pPr>
            <w:r w:rsidRPr="0082484A">
              <w:rPr>
                <w:sz w:val="22"/>
                <w:szCs w:val="22"/>
              </w:rPr>
              <w:t>0.004</w:t>
            </w:r>
          </w:p>
        </w:tc>
      </w:tr>
      <w:tr w:rsidR="009A3C2D" w:rsidRPr="0082484A" w14:paraId="4FD173F0"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71534EBF" w14:textId="77777777" w:rsidR="009A3C2D" w:rsidRPr="0082484A" w:rsidRDefault="009A3C2D" w:rsidP="00272145">
            <w:pPr>
              <w:rPr>
                <w:sz w:val="22"/>
                <w:szCs w:val="22"/>
              </w:rPr>
            </w:pPr>
            <w:r w:rsidRPr="0082484A">
              <w:rPr>
                <w:sz w:val="22"/>
                <w:szCs w:val="22"/>
              </w:rPr>
              <w:t>9_10</w:t>
            </w:r>
          </w:p>
        </w:tc>
        <w:tc>
          <w:tcPr>
            <w:tcW w:w="1985" w:type="dxa"/>
            <w:tcBorders>
              <w:top w:val="single" w:sz="4" w:space="0" w:color="auto"/>
              <w:left w:val="single" w:sz="4" w:space="0" w:color="auto"/>
              <w:bottom w:val="single" w:sz="4" w:space="0" w:color="auto"/>
              <w:right w:val="single" w:sz="4" w:space="0" w:color="auto"/>
            </w:tcBorders>
            <w:hideMark/>
          </w:tcPr>
          <w:p w14:paraId="2400E0B0" w14:textId="77777777" w:rsidR="009A3C2D" w:rsidRPr="0082484A" w:rsidRDefault="009A3C2D" w:rsidP="00272145">
            <w:pPr>
              <w:jc w:val="center"/>
              <w:rPr>
                <w:sz w:val="22"/>
                <w:szCs w:val="22"/>
              </w:rPr>
            </w:pPr>
            <w:r w:rsidRPr="0082484A">
              <w:rPr>
                <w:sz w:val="22"/>
                <w:szCs w:val="22"/>
              </w:rPr>
              <w:t>0.045</w:t>
            </w:r>
          </w:p>
        </w:tc>
        <w:tc>
          <w:tcPr>
            <w:tcW w:w="2126" w:type="dxa"/>
            <w:tcBorders>
              <w:top w:val="single" w:sz="4" w:space="0" w:color="auto"/>
              <w:left w:val="single" w:sz="4" w:space="0" w:color="auto"/>
              <w:bottom w:val="single" w:sz="4" w:space="0" w:color="auto"/>
              <w:right w:val="single" w:sz="4" w:space="0" w:color="auto"/>
            </w:tcBorders>
            <w:hideMark/>
          </w:tcPr>
          <w:p w14:paraId="50B8779C" w14:textId="77777777" w:rsidR="009A3C2D" w:rsidRPr="0082484A" w:rsidRDefault="009A3C2D" w:rsidP="00272145">
            <w:pPr>
              <w:jc w:val="center"/>
              <w:rPr>
                <w:sz w:val="22"/>
                <w:szCs w:val="22"/>
              </w:rPr>
            </w:pPr>
            <w:r w:rsidRPr="0082484A">
              <w:rPr>
                <w:sz w:val="22"/>
                <w:szCs w:val="22"/>
              </w:rPr>
              <w:t>0.017</w:t>
            </w:r>
          </w:p>
        </w:tc>
      </w:tr>
      <w:tr w:rsidR="009A3C2D" w:rsidRPr="0082484A" w14:paraId="3F4B48E6"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315996FB" w14:textId="77777777" w:rsidR="009A3C2D" w:rsidRPr="0082484A" w:rsidRDefault="009A3C2D" w:rsidP="00272145">
            <w:pPr>
              <w:rPr>
                <w:sz w:val="22"/>
                <w:szCs w:val="22"/>
              </w:rPr>
            </w:pPr>
            <w:r w:rsidRPr="0082484A">
              <w:rPr>
                <w:sz w:val="22"/>
                <w:szCs w:val="22"/>
              </w:rPr>
              <w:t>9_2</w:t>
            </w:r>
          </w:p>
        </w:tc>
        <w:tc>
          <w:tcPr>
            <w:tcW w:w="1985" w:type="dxa"/>
            <w:tcBorders>
              <w:top w:val="single" w:sz="4" w:space="0" w:color="auto"/>
              <w:left w:val="single" w:sz="4" w:space="0" w:color="auto"/>
              <w:bottom w:val="single" w:sz="4" w:space="0" w:color="auto"/>
              <w:right w:val="single" w:sz="4" w:space="0" w:color="auto"/>
            </w:tcBorders>
            <w:hideMark/>
          </w:tcPr>
          <w:p w14:paraId="5501D806" w14:textId="77777777" w:rsidR="009A3C2D" w:rsidRPr="0082484A" w:rsidRDefault="009A3C2D" w:rsidP="00272145">
            <w:pPr>
              <w:jc w:val="center"/>
              <w:rPr>
                <w:sz w:val="22"/>
                <w:szCs w:val="22"/>
              </w:rPr>
            </w:pPr>
            <w:r w:rsidRPr="0082484A">
              <w:rPr>
                <w:sz w:val="22"/>
                <w:szCs w:val="22"/>
              </w:rPr>
              <w:t>0.048</w:t>
            </w:r>
          </w:p>
        </w:tc>
        <w:tc>
          <w:tcPr>
            <w:tcW w:w="2126" w:type="dxa"/>
            <w:tcBorders>
              <w:top w:val="single" w:sz="4" w:space="0" w:color="auto"/>
              <w:left w:val="single" w:sz="4" w:space="0" w:color="auto"/>
              <w:bottom w:val="single" w:sz="4" w:space="0" w:color="auto"/>
              <w:right w:val="single" w:sz="4" w:space="0" w:color="auto"/>
            </w:tcBorders>
            <w:hideMark/>
          </w:tcPr>
          <w:p w14:paraId="42C94AE7" w14:textId="77777777" w:rsidR="009A3C2D" w:rsidRPr="0082484A" w:rsidRDefault="009A3C2D" w:rsidP="00272145">
            <w:pPr>
              <w:jc w:val="center"/>
              <w:rPr>
                <w:sz w:val="22"/>
                <w:szCs w:val="22"/>
              </w:rPr>
            </w:pPr>
            <w:r w:rsidRPr="0082484A">
              <w:rPr>
                <w:sz w:val="22"/>
                <w:szCs w:val="22"/>
              </w:rPr>
              <w:t>0.023</w:t>
            </w:r>
          </w:p>
        </w:tc>
      </w:tr>
      <w:tr w:rsidR="009A3C2D" w:rsidRPr="0082484A" w14:paraId="13D85A22"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4638763F" w14:textId="77777777" w:rsidR="009A3C2D" w:rsidRPr="0082484A" w:rsidRDefault="009A3C2D" w:rsidP="00272145">
            <w:pPr>
              <w:rPr>
                <w:sz w:val="22"/>
                <w:szCs w:val="22"/>
              </w:rPr>
            </w:pPr>
            <w:r w:rsidRPr="0082484A">
              <w:rPr>
                <w:sz w:val="22"/>
                <w:szCs w:val="22"/>
              </w:rPr>
              <w:t>9_5</w:t>
            </w:r>
          </w:p>
        </w:tc>
        <w:tc>
          <w:tcPr>
            <w:tcW w:w="1985" w:type="dxa"/>
            <w:tcBorders>
              <w:top w:val="single" w:sz="4" w:space="0" w:color="auto"/>
              <w:left w:val="single" w:sz="4" w:space="0" w:color="auto"/>
              <w:bottom w:val="single" w:sz="4" w:space="0" w:color="auto"/>
              <w:right w:val="single" w:sz="4" w:space="0" w:color="auto"/>
            </w:tcBorders>
            <w:hideMark/>
          </w:tcPr>
          <w:p w14:paraId="7F1D2ECB" w14:textId="77777777" w:rsidR="009A3C2D" w:rsidRPr="0082484A" w:rsidRDefault="009A3C2D" w:rsidP="00272145">
            <w:pPr>
              <w:jc w:val="center"/>
              <w:rPr>
                <w:sz w:val="22"/>
                <w:szCs w:val="22"/>
              </w:rPr>
            </w:pPr>
            <w:r w:rsidRPr="0082484A">
              <w:rPr>
                <w:sz w:val="22"/>
                <w:szCs w:val="22"/>
              </w:rPr>
              <w:t>005</w:t>
            </w:r>
          </w:p>
        </w:tc>
        <w:tc>
          <w:tcPr>
            <w:tcW w:w="2126" w:type="dxa"/>
            <w:tcBorders>
              <w:top w:val="single" w:sz="4" w:space="0" w:color="auto"/>
              <w:left w:val="single" w:sz="4" w:space="0" w:color="auto"/>
              <w:bottom w:val="single" w:sz="4" w:space="0" w:color="auto"/>
              <w:right w:val="single" w:sz="4" w:space="0" w:color="auto"/>
            </w:tcBorders>
            <w:hideMark/>
          </w:tcPr>
          <w:p w14:paraId="1D990EC5" w14:textId="77777777" w:rsidR="009A3C2D" w:rsidRPr="0082484A" w:rsidRDefault="009A3C2D" w:rsidP="00272145">
            <w:pPr>
              <w:jc w:val="center"/>
              <w:rPr>
                <w:sz w:val="22"/>
                <w:szCs w:val="22"/>
              </w:rPr>
            </w:pPr>
            <w:r w:rsidRPr="0082484A">
              <w:rPr>
                <w:sz w:val="22"/>
                <w:szCs w:val="22"/>
              </w:rPr>
              <w:t>0.002</w:t>
            </w:r>
          </w:p>
        </w:tc>
      </w:tr>
      <w:tr w:rsidR="009A3C2D" w:rsidRPr="0082484A" w14:paraId="1F99A62A"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6E069786" w14:textId="77777777" w:rsidR="009A3C2D" w:rsidRPr="0082484A" w:rsidRDefault="009A3C2D" w:rsidP="00272145">
            <w:pPr>
              <w:rPr>
                <w:sz w:val="22"/>
                <w:szCs w:val="22"/>
              </w:rPr>
            </w:pPr>
            <w:r w:rsidRPr="0082484A">
              <w:rPr>
                <w:sz w:val="22"/>
                <w:szCs w:val="22"/>
              </w:rPr>
              <w:t>9_6</w:t>
            </w:r>
          </w:p>
        </w:tc>
        <w:tc>
          <w:tcPr>
            <w:tcW w:w="1985" w:type="dxa"/>
            <w:tcBorders>
              <w:top w:val="single" w:sz="4" w:space="0" w:color="auto"/>
              <w:left w:val="single" w:sz="4" w:space="0" w:color="auto"/>
              <w:bottom w:val="single" w:sz="4" w:space="0" w:color="auto"/>
              <w:right w:val="single" w:sz="4" w:space="0" w:color="auto"/>
            </w:tcBorders>
            <w:hideMark/>
          </w:tcPr>
          <w:p w14:paraId="0DEFF355" w14:textId="77777777" w:rsidR="009A3C2D" w:rsidRPr="0082484A" w:rsidRDefault="009A3C2D" w:rsidP="00272145">
            <w:pPr>
              <w:jc w:val="center"/>
              <w:rPr>
                <w:sz w:val="22"/>
                <w:szCs w:val="22"/>
              </w:rPr>
            </w:pPr>
            <w:r w:rsidRPr="0082484A">
              <w:rPr>
                <w:sz w:val="22"/>
                <w:szCs w:val="22"/>
              </w:rPr>
              <w:t>0.025</w:t>
            </w:r>
          </w:p>
        </w:tc>
        <w:tc>
          <w:tcPr>
            <w:tcW w:w="2126" w:type="dxa"/>
            <w:tcBorders>
              <w:top w:val="single" w:sz="4" w:space="0" w:color="auto"/>
              <w:left w:val="single" w:sz="4" w:space="0" w:color="auto"/>
              <w:bottom w:val="single" w:sz="4" w:space="0" w:color="auto"/>
              <w:right w:val="single" w:sz="4" w:space="0" w:color="auto"/>
            </w:tcBorders>
            <w:hideMark/>
          </w:tcPr>
          <w:p w14:paraId="4956BCE6" w14:textId="77777777" w:rsidR="009A3C2D" w:rsidRPr="0082484A" w:rsidRDefault="009A3C2D" w:rsidP="00272145">
            <w:pPr>
              <w:jc w:val="center"/>
              <w:rPr>
                <w:sz w:val="22"/>
                <w:szCs w:val="22"/>
              </w:rPr>
            </w:pPr>
            <w:r w:rsidRPr="0082484A">
              <w:rPr>
                <w:sz w:val="22"/>
                <w:szCs w:val="22"/>
              </w:rPr>
              <w:t>0.006</w:t>
            </w:r>
          </w:p>
        </w:tc>
      </w:tr>
      <w:tr w:rsidR="009A3C2D" w:rsidRPr="0082484A" w14:paraId="19B3DF54" w14:textId="77777777" w:rsidTr="00272145">
        <w:tc>
          <w:tcPr>
            <w:tcW w:w="1384" w:type="dxa"/>
            <w:tcBorders>
              <w:top w:val="single" w:sz="4" w:space="0" w:color="auto"/>
              <w:left w:val="single" w:sz="4" w:space="0" w:color="auto"/>
              <w:bottom w:val="single" w:sz="4" w:space="0" w:color="auto"/>
              <w:right w:val="single" w:sz="4" w:space="0" w:color="auto"/>
            </w:tcBorders>
            <w:hideMark/>
          </w:tcPr>
          <w:p w14:paraId="64884E3B" w14:textId="77777777" w:rsidR="009A3C2D" w:rsidRPr="0082484A" w:rsidRDefault="009A3C2D" w:rsidP="00272145">
            <w:pPr>
              <w:rPr>
                <w:sz w:val="22"/>
                <w:szCs w:val="22"/>
              </w:rPr>
            </w:pPr>
            <w:r w:rsidRPr="0082484A">
              <w:rPr>
                <w:sz w:val="22"/>
                <w:szCs w:val="22"/>
              </w:rPr>
              <w:t>9_7</w:t>
            </w:r>
          </w:p>
        </w:tc>
        <w:tc>
          <w:tcPr>
            <w:tcW w:w="1985" w:type="dxa"/>
            <w:tcBorders>
              <w:top w:val="single" w:sz="4" w:space="0" w:color="auto"/>
              <w:left w:val="single" w:sz="4" w:space="0" w:color="auto"/>
              <w:bottom w:val="single" w:sz="4" w:space="0" w:color="auto"/>
              <w:right w:val="single" w:sz="4" w:space="0" w:color="auto"/>
            </w:tcBorders>
            <w:hideMark/>
          </w:tcPr>
          <w:p w14:paraId="5C2E1761" w14:textId="77777777" w:rsidR="009A3C2D" w:rsidRPr="0082484A" w:rsidRDefault="009A3C2D" w:rsidP="00272145">
            <w:pPr>
              <w:jc w:val="center"/>
              <w:rPr>
                <w:sz w:val="22"/>
                <w:szCs w:val="22"/>
              </w:rPr>
            </w:pPr>
            <w:r w:rsidRPr="0082484A">
              <w:rPr>
                <w:sz w:val="22"/>
                <w:szCs w:val="22"/>
              </w:rPr>
              <w:t>0.005</w:t>
            </w:r>
          </w:p>
        </w:tc>
        <w:tc>
          <w:tcPr>
            <w:tcW w:w="2126" w:type="dxa"/>
            <w:tcBorders>
              <w:top w:val="single" w:sz="4" w:space="0" w:color="auto"/>
              <w:left w:val="single" w:sz="4" w:space="0" w:color="auto"/>
              <w:bottom w:val="single" w:sz="4" w:space="0" w:color="auto"/>
              <w:right w:val="single" w:sz="4" w:space="0" w:color="auto"/>
            </w:tcBorders>
            <w:hideMark/>
          </w:tcPr>
          <w:p w14:paraId="6F43DE4B" w14:textId="77777777" w:rsidR="009A3C2D" w:rsidRPr="0082484A" w:rsidRDefault="009A3C2D" w:rsidP="00272145">
            <w:pPr>
              <w:jc w:val="center"/>
              <w:rPr>
                <w:sz w:val="22"/>
                <w:szCs w:val="22"/>
              </w:rPr>
            </w:pPr>
            <w:r w:rsidRPr="0082484A">
              <w:rPr>
                <w:sz w:val="22"/>
                <w:szCs w:val="22"/>
              </w:rPr>
              <w:t>0.002</w:t>
            </w:r>
          </w:p>
        </w:tc>
      </w:tr>
    </w:tbl>
    <w:p w14:paraId="248B6B90" w14:textId="77777777" w:rsidR="009A3C2D" w:rsidRPr="0082484A" w:rsidRDefault="009A3C2D" w:rsidP="009A3C2D">
      <w:pPr>
        <w:rPr>
          <w:sz w:val="22"/>
          <w:szCs w:val="22"/>
        </w:rPr>
      </w:pPr>
      <w:r w:rsidRPr="0082484A">
        <w:rPr>
          <w:sz w:val="22"/>
          <w:szCs w:val="22"/>
        </w:rPr>
        <w:br w:type="page"/>
      </w:r>
    </w:p>
    <w:p w14:paraId="06C649B3" w14:textId="0200DAA2" w:rsidR="009A3C2D" w:rsidRPr="0082484A" w:rsidRDefault="009A3C2D" w:rsidP="009A3C2D">
      <w:pPr>
        <w:pStyle w:val="Caption"/>
        <w:rPr>
          <w:b w:val="0"/>
          <w:sz w:val="22"/>
          <w:szCs w:val="22"/>
        </w:rPr>
      </w:pPr>
      <w:bookmarkStart w:id="372" w:name="_Ref501111309"/>
      <w:bookmarkStart w:id="373" w:name="_Toc8728183"/>
      <w:bookmarkStart w:id="374" w:name="_Toc19526830"/>
      <w:r w:rsidRPr="0082484A">
        <w:rPr>
          <w:b w:val="0"/>
          <w:sz w:val="22"/>
          <w:szCs w:val="22"/>
        </w:rPr>
        <w:t xml:space="preserve">Table </w:t>
      </w:r>
      <w:r w:rsidRPr="0082484A">
        <w:rPr>
          <w:b w:val="0"/>
          <w:noProof/>
          <w:sz w:val="22"/>
          <w:szCs w:val="22"/>
        </w:rPr>
        <w:fldChar w:fldCharType="begin"/>
      </w:r>
      <w:r w:rsidRPr="0082484A">
        <w:rPr>
          <w:b w:val="0"/>
          <w:noProof/>
          <w:sz w:val="22"/>
          <w:szCs w:val="22"/>
        </w:rPr>
        <w:instrText xml:space="preserve"> SEQ Table \* ARABIC </w:instrText>
      </w:r>
      <w:r w:rsidRPr="0082484A">
        <w:rPr>
          <w:b w:val="0"/>
          <w:noProof/>
          <w:sz w:val="22"/>
          <w:szCs w:val="22"/>
        </w:rPr>
        <w:fldChar w:fldCharType="separate"/>
      </w:r>
      <w:r w:rsidR="00CC779E">
        <w:rPr>
          <w:b w:val="0"/>
          <w:noProof/>
          <w:sz w:val="22"/>
          <w:szCs w:val="22"/>
        </w:rPr>
        <w:t>101</w:t>
      </w:r>
      <w:r w:rsidRPr="0082484A">
        <w:rPr>
          <w:b w:val="0"/>
          <w:noProof/>
          <w:sz w:val="22"/>
          <w:szCs w:val="22"/>
        </w:rPr>
        <w:fldChar w:fldCharType="end"/>
      </w:r>
      <w:bookmarkEnd w:id="372"/>
      <w:r w:rsidRPr="0082484A">
        <w:rPr>
          <w:b w:val="0"/>
          <w:noProof/>
          <w:sz w:val="22"/>
          <w:szCs w:val="22"/>
        </w:rPr>
        <w:t>:</w:t>
      </w:r>
      <w:r w:rsidRPr="0082484A">
        <w:rPr>
          <w:b w:val="0"/>
          <w:sz w:val="22"/>
          <w:szCs w:val="22"/>
        </w:rPr>
        <w:t xml:space="preserve"> Diabetes control model - UKPDS input variables</w:t>
      </w:r>
      <w:bookmarkEnd w:id="373"/>
      <w:bookmarkEnd w:id="374"/>
    </w:p>
    <w:tbl>
      <w:tblPr>
        <w:tblStyle w:val="TableGrid"/>
        <w:tblW w:w="0" w:type="auto"/>
        <w:tblLook w:val="04A0" w:firstRow="1" w:lastRow="0" w:firstColumn="1" w:lastColumn="0" w:noHBand="0" w:noVBand="1"/>
      </w:tblPr>
      <w:tblGrid>
        <w:gridCol w:w="3098"/>
        <w:gridCol w:w="1822"/>
        <w:gridCol w:w="4096"/>
      </w:tblGrid>
      <w:tr w:rsidR="009A3C2D" w:rsidRPr="0082484A" w14:paraId="26274DD1" w14:textId="77777777" w:rsidTr="00272145">
        <w:tc>
          <w:tcPr>
            <w:tcW w:w="3936" w:type="dxa"/>
          </w:tcPr>
          <w:p w14:paraId="0005FF4B" w14:textId="77777777" w:rsidR="009A3C2D" w:rsidRPr="0082484A" w:rsidRDefault="009A3C2D" w:rsidP="00272145">
            <w:pPr>
              <w:jc w:val="center"/>
              <w:rPr>
                <w:bCs/>
                <w:sz w:val="22"/>
                <w:szCs w:val="22"/>
              </w:rPr>
            </w:pPr>
            <w:r w:rsidRPr="0082484A">
              <w:rPr>
                <w:bCs/>
                <w:sz w:val="22"/>
                <w:szCs w:val="22"/>
              </w:rPr>
              <w:t>Variable</w:t>
            </w:r>
          </w:p>
        </w:tc>
        <w:tc>
          <w:tcPr>
            <w:tcW w:w="2126" w:type="dxa"/>
          </w:tcPr>
          <w:p w14:paraId="011F9A9F" w14:textId="77777777" w:rsidR="009A3C2D" w:rsidRPr="0082484A" w:rsidRDefault="009A3C2D" w:rsidP="00272145">
            <w:pPr>
              <w:jc w:val="center"/>
              <w:rPr>
                <w:bCs/>
                <w:sz w:val="22"/>
                <w:szCs w:val="22"/>
              </w:rPr>
            </w:pPr>
            <w:r w:rsidRPr="0082484A">
              <w:rPr>
                <w:bCs/>
                <w:sz w:val="22"/>
                <w:szCs w:val="22"/>
              </w:rPr>
              <w:t>Input</w:t>
            </w:r>
          </w:p>
          <w:p w14:paraId="347B65FC" w14:textId="77777777" w:rsidR="009A3C2D" w:rsidRPr="0082484A" w:rsidRDefault="009A3C2D" w:rsidP="00272145">
            <w:pPr>
              <w:jc w:val="center"/>
              <w:rPr>
                <w:bCs/>
                <w:sz w:val="22"/>
                <w:szCs w:val="22"/>
              </w:rPr>
            </w:pPr>
          </w:p>
        </w:tc>
        <w:tc>
          <w:tcPr>
            <w:tcW w:w="7087" w:type="dxa"/>
          </w:tcPr>
          <w:p w14:paraId="7D0439B8" w14:textId="77777777" w:rsidR="009A3C2D" w:rsidRPr="0082484A" w:rsidRDefault="009A3C2D" w:rsidP="00272145">
            <w:pPr>
              <w:jc w:val="center"/>
              <w:rPr>
                <w:bCs/>
                <w:sz w:val="22"/>
                <w:szCs w:val="22"/>
              </w:rPr>
            </w:pPr>
            <w:r w:rsidRPr="0082484A">
              <w:rPr>
                <w:bCs/>
                <w:sz w:val="22"/>
                <w:szCs w:val="22"/>
              </w:rPr>
              <w:t xml:space="preserve">Source/Notes </w:t>
            </w:r>
          </w:p>
        </w:tc>
      </w:tr>
      <w:tr w:rsidR="009A3C2D" w:rsidRPr="0082484A" w14:paraId="3A43BBFC" w14:textId="77777777" w:rsidTr="00272145">
        <w:tc>
          <w:tcPr>
            <w:tcW w:w="3936" w:type="dxa"/>
          </w:tcPr>
          <w:p w14:paraId="4CE11C13" w14:textId="77777777" w:rsidR="009A3C2D" w:rsidRPr="0082484A" w:rsidRDefault="009A3C2D" w:rsidP="00272145">
            <w:pPr>
              <w:rPr>
                <w:bCs/>
                <w:sz w:val="22"/>
                <w:szCs w:val="22"/>
              </w:rPr>
            </w:pPr>
            <w:r w:rsidRPr="0082484A">
              <w:rPr>
                <w:bCs/>
                <w:sz w:val="22"/>
                <w:szCs w:val="22"/>
              </w:rPr>
              <w:t>Demographics</w:t>
            </w:r>
          </w:p>
        </w:tc>
        <w:tc>
          <w:tcPr>
            <w:tcW w:w="2126" w:type="dxa"/>
          </w:tcPr>
          <w:p w14:paraId="72FED3E0" w14:textId="77777777" w:rsidR="009A3C2D" w:rsidRPr="0082484A" w:rsidRDefault="009A3C2D" w:rsidP="00272145">
            <w:pPr>
              <w:rPr>
                <w:bCs/>
                <w:sz w:val="22"/>
                <w:szCs w:val="22"/>
              </w:rPr>
            </w:pPr>
          </w:p>
        </w:tc>
        <w:tc>
          <w:tcPr>
            <w:tcW w:w="7087" w:type="dxa"/>
          </w:tcPr>
          <w:p w14:paraId="35132373" w14:textId="77777777" w:rsidR="009A3C2D" w:rsidRPr="0082484A" w:rsidRDefault="009A3C2D" w:rsidP="00272145">
            <w:pPr>
              <w:rPr>
                <w:bCs/>
                <w:sz w:val="22"/>
                <w:szCs w:val="22"/>
              </w:rPr>
            </w:pPr>
          </w:p>
        </w:tc>
      </w:tr>
      <w:tr w:rsidR="009A3C2D" w:rsidRPr="0082484A" w14:paraId="6CC9C162" w14:textId="77777777" w:rsidTr="00272145">
        <w:tc>
          <w:tcPr>
            <w:tcW w:w="3936" w:type="dxa"/>
          </w:tcPr>
          <w:p w14:paraId="538F77C8" w14:textId="77777777" w:rsidR="009A3C2D" w:rsidRPr="0082484A" w:rsidRDefault="009A3C2D" w:rsidP="00272145">
            <w:pPr>
              <w:jc w:val="right"/>
              <w:rPr>
                <w:sz w:val="22"/>
                <w:szCs w:val="22"/>
              </w:rPr>
            </w:pPr>
            <w:r w:rsidRPr="0082484A">
              <w:rPr>
                <w:sz w:val="22"/>
                <w:szCs w:val="22"/>
              </w:rPr>
              <w:t xml:space="preserve">Ethnicity* </w:t>
            </w:r>
          </w:p>
        </w:tc>
        <w:tc>
          <w:tcPr>
            <w:tcW w:w="2126" w:type="dxa"/>
          </w:tcPr>
          <w:p w14:paraId="41F30734" w14:textId="77777777" w:rsidR="009A3C2D" w:rsidRPr="0082484A" w:rsidRDefault="009A3C2D" w:rsidP="00272145">
            <w:pPr>
              <w:rPr>
                <w:sz w:val="22"/>
                <w:szCs w:val="22"/>
              </w:rPr>
            </w:pPr>
            <w:r w:rsidRPr="0082484A">
              <w:rPr>
                <w:sz w:val="22"/>
                <w:szCs w:val="22"/>
              </w:rPr>
              <w:t>White = 77.39%</w:t>
            </w:r>
          </w:p>
          <w:p w14:paraId="23681DAD" w14:textId="77777777" w:rsidR="009A3C2D" w:rsidRPr="0082484A" w:rsidRDefault="009A3C2D" w:rsidP="00272145">
            <w:pPr>
              <w:rPr>
                <w:sz w:val="22"/>
                <w:szCs w:val="22"/>
              </w:rPr>
            </w:pPr>
            <w:r w:rsidRPr="0082484A">
              <w:rPr>
                <w:sz w:val="22"/>
                <w:szCs w:val="22"/>
              </w:rPr>
              <w:t>Asian = 13.11%</w:t>
            </w:r>
          </w:p>
          <w:p w14:paraId="6C4729C5" w14:textId="77777777" w:rsidR="009A3C2D" w:rsidRPr="0082484A" w:rsidRDefault="009A3C2D" w:rsidP="00272145">
            <w:pPr>
              <w:rPr>
                <w:sz w:val="22"/>
                <w:szCs w:val="22"/>
              </w:rPr>
            </w:pPr>
            <w:r w:rsidRPr="0082484A">
              <w:rPr>
                <w:sz w:val="22"/>
                <w:szCs w:val="22"/>
              </w:rPr>
              <w:t>Black/African-Caribbean = 9.5%</w:t>
            </w:r>
          </w:p>
        </w:tc>
        <w:tc>
          <w:tcPr>
            <w:tcW w:w="7087" w:type="dxa"/>
          </w:tcPr>
          <w:p w14:paraId="011A660D" w14:textId="56E60BF6" w:rsidR="009A3C2D" w:rsidRPr="0082484A" w:rsidRDefault="009A3C2D" w:rsidP="00952E85">
            <w:pPr>
              <w:rPr>
                <w:sz w:val="22"/>
                <w:szCs w:val="22"/>
              </w:rPr>
            </w:pPr>
            <w:r w:rsidRPr="0082484A">
              <w:rPr>
                <w:sz w:val="22"/>
                <w:szCs w:val="22"/>
              </w:rPr>
              <w:t>Ethnicity proportions based on 2011 UK census data, adjusted to reflect higher incidence in Asian/black groups (15.2%) vs. white groups (8%)</w:t>
            </w:r>
            <w:r w:rsidRPr="0082484A">
              <w:rPr>
                <w:sz w:val="22"/>
                <w:szCs w:val="22"/>
              </w:rPr>
              <w:fldChar w:fldCharType="begin"/>
            </w:r>
            <w:r w:rsidR="00952E85" w:rsidRPr="0082484A">
              <w:rPr>
                <w:sz w:val="22"/>
                <w:szCs w:val="22"/>
              </w:rPr>
              <w:instrText xml:space="preserve"> ADDIN EN.CITE &lt;EndNote&gt;&lt;Cite&gt;&lt;Author&gt;Public Health England&lt;/Author&gt;&lt;Year&gt;2016&lt;/Year&gt;&lt;RecNum&gt;3336&lt;/RecNum&gt;&lt;DisplayText&gt;&lt;style face="superscript"&gt;23&lt;/style&gt;&lt;/DisplayText&gt;&lt;record&gt;&lt;rec-number&gt;3336&lt;/rec-number&gt;&lt;foreign-keys&gt;&lt;key app="EN" db-id="5srzarxr5dr9r5es2r7xst9lr9t2rewrpffr" timestamp="1516095609"&gt;3336&lt;/key&gt;&lt;/foreign-keys&gt;&lt;ref-type name="Web Page"&gt;12&lt;/ref-type&gt;&lt;contributors&gt;&lt;authors&gt;&lt;author&gt;Public Health England,&lt;/author&gt;&lt;/authors&gt;&lt;/contributors&gt;&lt;titles&gt;&lt;title&gt;Diabetes Prevalence Model&lt;/title&gt;&lt;/titles&gt;&lt;number&gt;26/04/2019&lt;/number&gt;&lt;dates&gt;&lt;year&gt;2016&lt;/year&gt;&lt;/dates&gt;&lt;urls&gt;&lt;related-urls&gt;&lt;url&gt;https://www.gov.uk/government/uploads/system/uploads/attachment_data/file/612306/Diabetesprevalencemodelbriefing.pdf&lt;/url&gt;&lt;/related-urls&gt;&lt;/urls&gt;&lt;access-date&gt;28/02/2019&lt;/access-date&gt;&lt;/record&gt;&lt;/Cite&gt;&lt;/EndNote&gt;</w:instrText>
            </w:r>
            <w:r w:rsidRPr="0082484A">
              <w:rPr>
                <w:sz w:val="22"/>
                <w:szCs w:val="22"/>
              </w:rPr>
              <w:fldChar w:fldCharType="separate"/>
            </w:r>
            <w:r w:rsidR="00952E85" w:rsidRPr="0082484A">
              <w:rPr>
                <w:noProof/>
                <w:sz w:val="22"/>
                <w:szCs w:val="22"/>
                <w:vertAlign w:val="superscript"/>
              </w:rPr>
              <w:t>23</w:t>
            </w:r>
            <w:r w:rsidRPr="0082484A">
              <w:rPr>
                <w:sz w:val="22"/>
                <w:szCs w:val="22"/>
              </w:rPr>
              <w:fldChar w:fldCharType="end"/>
            </w:r>
            <w:r w:rsidRPr="0082484A">
              <w:rPr>
                <w:sz w:val="22"/>
                <w:szCs w:val="22"/>
              </w:rPr>
              <w:t xml:space="preserve"> Randomised at individual level</w:t>
            </w:r>
          </w:p>
        </w:tc>
      </w:tr>
      <w:tr w:rsidR="009A3C2D" w:rsidRPr="0082484A" w14:paraId="64533AB8" w14:textId="77777777" w:rsidTr="00272145">
        <w:tc>
          <w:tcPr>
            <w:tcW w:w="3936" w:type="dxa"/>
          </w:tcPr>
          <w:p w14:paraId="130CC371" w14:textId="77777777" w:rsidR="009A3C2D" w:rsidRPr="0082484A" w:rsidRDefault="009A3C2D" w:rsidP="00272145">
            <w:pPr>
              <w:jc w:val="right"/>
              <w:rPr>
                <w:sz w:val="22"/>
                <w:szCs w:val="22"/>
              </w:rPr>
            </w:pPr>
            <w:r w:rsidRPr="0082484A">
              <w:rPr>
                <w:sz w:val="22"/>
                <w:szCs w:val="22"/>
              </w:rPr>
              <w:t xml:space="preserve">Gender </w:t>
            </w:r>
          </w:p>
        </w:tc>
        <w:tc>
          <w:tcPr>
            <w:tcW w:w="2126" w:type="dxa"/>
          </w:tcPr>
          <w:p w14:paraId="6BB28836" w14:textId="77777777" w:rsidR="009A3C2D" w:rsidRPr="0082484A" w:rsidRDefault="009A3C2D" w:rsidP="00272145">
            <w:pPr>
              <w:rPr>
                <w:sz w:val="22"/>
                <w:szCs w:val="22"/>
              </w:rPr>
            </w:pPr>
            <w:r w:rsidRPr="0082484A">
              <w:rPr>
                <w:sz w:val="22"/>
                <w:szCs w:val="22"/>
              </w:rPr>
              <w:t>Male = 54%</w:t>
            </w:r>
          </w:p>
          <w:p w14:paraId="3B20685E" w14:textId="77777777" w:rsidR="009A3C2D" w:rsidRPr="0082484A" w:rsidRDefault="009A3C2D" w:rsidP="00272145">
            <w:pPr>
              <w:rPr>
                <w:sz w:val="22"/>
                <w:szCs w:val="22"/>
              </w:rPr>
            </w:pPr>
            <w:r w:rsidRPr="0082484A">
              <w:rPr>
                <w:sz w:val="22"/>
                <w:szCs w:val="22"/>
              </w:rPr>
              <w:t>Female = 46%</w:t>
            </w:r>
          </w:p>
        </w:tc>
        <w:tc>
          <w:tcPr>
            <w:tcW w:w="7087" w:type="dxa"/>
          </w:tcPr>
          <w:p w14:paraId="6550B596" w14:textId="77777777" w:rsidR="009A3C2D" w:rsidRPr="0082484A" w:rsidRDefault="009A3C2D" w:rsidP="00272145">
            <w:pPr>
              <w:rPr>
                <w:sz w:val="22"/>
                <w:szCs w:val="22"/>
              </w:rPr>
            </w:pPr>
            <w:r w:rsidRPr="0082484A">
              <w:rPr>
                <w:sz w:val="22"/>
                <w:szCs w:val="22"/>
              </w:rPr>
              <w:t>% from ASPIRE trial. Randomised at individual level</w:t>
            </w:r>
          </w:p>
        </w:tc>
      </w:tr>
      <w:tr w:rsidR="009A3C2D" w:rsidRPr="0082484A" w14:paraId="2E61B94C" w14:textId="77777777" w:rsidTr="00272145">
        <w:tc>
          <w:tcPr>
            <w:tcW w:w="3936" w:type="dxa"/>
          </w:tcPr>
          <w:p w14:paraId="68008F04" w14:textId="77777777" w:rsidR="009A3C2D" w:rsidRPr="0082484A" w:rsidRDefault="009A3C2D" w:rsidP="00272145">
            <w:pPr>
              <w:jc w:val="right"/>
              <w:rPr>
                <w:sz w:val="22"/>
                <w:szCs w:val="22"/>
              </w:rPr>
            </w:pPr>
            <w:r w:rsidRPr="0082484A">
              <w:rPr>
                <w:sz w:val="22"/>
                <w:szCs w:val="22"/>
              </w:rPr>
              <w:t>Age</w:t>
            </w:r>
          </w:p>
        </w:tc>
        <w:tc>
          <w:tcPr>
            <w:tcW w:w="2126" w:type="dxa"/>
          </w:tcPr>
          <w:p w14:paraId="787B750D" w14:textId="77777777" w:rsidR="009A3C2D" w:rsidRPr="0082484A" w:rsidRDefault="009A3C2D" w:rsidP="00272145">
            <w:pPr>
              <w:rPr>
                <w:sz w:val="22"/>
                <w:szCs w:val="22"/>
              </w:rPr>
            </w:pPr>
            <w:r w:rsidRPr="0082484A">
              <w:rPr>
                <w:sz w:val="22"/>
                <w:szCs w:val="22"/>
              </w:rPr>
              <w:t>65.2 (SD=13.9)</w:t>
            </w:r>
          </w:p>
        </w:tc>
        <w:tc>
          <w:tcPr>
            <w:tcW w:w="7087" w:type="dxa"/>
          </w:tcPr>
          <w:p w14:paraId="33466371" w14:textId="77777777" w:rsidR="009A3C2D" w:rsidRPr="0082484A" w:rsidRDefault="009A3C2D" w:rsidP="00272145">
            <w:pPr>
              <w:rPr>
                <w:sz w:val="22"/>
                <w:szCs w:val="22"/>
              </w:rPr>
            </w:pPr>
            <w:r w:rsidRPr="0082484A">
              <w:rPr>
                <w:sz w:val="22"/>
                <w:szCs w:val="22"/>
              </w:rPr>
              <w:t>Mean from ASPIRE trial. Randomised at individual level and made probabilistic using gamma distribution</w:t>
            </w:r>
          </w:p>
        </w:tc>
      </w:tr>
      <w:tr w:rsidR="009A3C2D" w:rsidRPr="0082484A" w14:paraId="598F8B3C" w14:textId="77777777" w:rsidTr="00272145">
        <w:tc>
          <w:tcPr>
            <w:tcW w:w="3936" w:type="dxa"/>
          </w:tcPr>
          <w:p w14:paraId="760E6AE1" w14:textId="77777777" w:rsidR="009A3C2D" w:rsidRPr="0082484A" w:rsidRDefault="009A3C2D" w:rsidP="00272145">
            <w:pPr>
              <w:jc w:val="right"/>
              <w:rPr>
                <w:sz w:val="22"/>
                <w:szCs w:val="22"/>
              </w:rPr>
            </w:pPr>
            <w:r w:rsidRPr="0082484A">
              <w:rPr>
                <w:sz w:val="22"/>
                <w:szCs w:val="22"/>
              </w:rPr>
              <w:t xml:space="preserve">Duration of T2DM* </w:t>
            </w:r>
          </w:p>
        </w:tc>
        <w:tc>
          <w:tcPr>
            <w:tcW w:w="2126" w:type="dxa"/>
          </w:tcPr>
          <w:p w14:paraId="22272483" w14:textId="77777777" w:rsidR="009A3C2D" w:rsidRPr="0082484A" w:rsidRDefault="009A3C2D" w:rsidP="00272145">
            <w:pPr>
              <w:rPr>
                <w:sz w:val="22"/>
                <w:szCs w:val="22"/>
              </w:rPr>
            </w:pPr>
            <w:r w:rsidRPr="0082484A">
              <w:rPr>
                <w:sz w:val="22"/>
                <w:szCs w:val="22"/>
              </w:rPr>
              <w:t>5.4 years</w:t>
            </w:r>
          </w:p>
        </w:tc>
        <w:tc>
          <w:tcPr>
            <w:tcW w:w="7087" w:type="dxa"/>
          </w:tcPr>
          <w:p w14:paraId="52B08949" w14:textId="7C39900B" w:rsidR="009A3C2D" w:rsidRPr="0082484A" w:rsidRDefault="009A3C2D" w:rsidP="00952E85">
            <w:pPr>
              <w:rPr>
                <w:sz w:val="22"/>
                <w:szCs w:val="22"/>
              </w:rPr>
            </w:pPr>
            <w:r w:rsidRPr="0082484A">
              <w:rPr>
                <w:sz w:val="22"/>
                <w:szCs w:val="22"/>
              </w:rPr>
              <w:t>Fixed mean based on UK study</w:t>
            </w:r>
            <w:r w:rsidRPr="0082484A">
              <w:rPr>
                <w:sz w:val="22"/>
                <w:szCs w:val="22"/>
              </w:rPr>
              <w:fldChar w:fldCharType="begin"/>
            </w:r>
            <w:r w:rsidR="00952E85" w:rsidRPr="0082484A">
              <w:rPr>
                <w:sz w:val="22"/>
                <w:szCs w:val="22"/>
              </w:rPr>
              <w:instrText xml:space="preserve"> ADDIN EN.CITE &lt;EndNote&gt;&lt;Cite&gt;&lt;Author&gt;Holbrook&lt;/Author&gt;&lt;Year&gt;2017&lt;/Year&gt;&lt;RecNum&gt;3337&lt;/RecNum&gt;&lt;DisplayText&gt;&lt;style face="superscript"&gt;24&lt;/style&gt;&lt;/DisplayText&gt;&lt;record&gt;&lt;rec-number&gt;3337&lt;/rec-number&gt;&lt;foreign-keys&gt;&lt;key app="EN" db-id="5srzarxr5dr9r5es2r7xst9lr9t2rewrpffr" timestamp="1516095672"&gt;3337&lt;/key&gt;&lt;/foreign-keys&gt;&lt;ref-type name="Journal Article"&gt;17&lt;/ref-type&gt;&lt;contributors&gt;&lt;authors&gt;&lt;author&gt;Holbrook, T.&lt;/author&gt;&lt;author&gt;Tang, Y. X.&lt;/author&gt;&lt;author&gt;Das, R.&lt;/author&gt;&lt;author&gt;Shankar, R. R.&lt;/author&gt;&lt;author&gt;Tunceli, K.&lt;/author&gt;&lt;author&gt;Williams, J.&lt;/author&gt;&lt;author&gt;Radican, L.&lt;/author&gt;&lt;author&gt;Holden, S. E.&lt;/author&gt;&lt;author&gt;Morgan, C. L.&lt;/author&gt;&lt;author&gt;Piercy, J.&lt;/author&gt;&lt;author&gt;Currie, C. J.&lt;/author&gt;&lt;/authors&gt;&lt;/contributors&gt;&lt;auth-address&gt;Adelphi Real World, Manchester, Lancs, England&amp;#xD;Merck &amp;amp; Co Inc, MRL, Kenilworth, NJ USA&amp;#xD;MSD Ltd, HTA &amp;amp; Observat Res, Hoddesdon, England&amp;#xD;Pharmatelligence, Cardiff, S Glam, Wales&amp;#xD;Cardiff Univ, Cardiff, S Glam, Wales&lt;/auth-address&gt;&lt;titles&gt;&lt;title&gt;Direct medical costs of severe hypoglycaemic events in patients with type 2 diabetes in England: A retrospective database study&lt;/title&gt;&lt;secondary-title&gt;International Journal of Clinical Practice,&lt;/secondary-title&gt;&lt;/titles&gt;&lt;periodical&gt;&lt;full-title&gt;International Journal of Clinical Practice,&lt;/full-title&gt;&lt;/periodical&gt;&lt;volume&gt;71&lt;/volume&gt;&lt;number&gt;6&lt;/number&gt;&lt;keywords&gt;&lt;keyword&gt;glucose control&lt;/keyword&gt;&lt;keyword&gt;follow-up&lt;/keyword&gt;&lt;keyword&gt;position statement&lt;/keyword&gt;&lt;keyword&gt;older-people&lt;/keyword&gt;&lt;keyword&gt;association&lt;/keyword&gt;&lt;keyword&gt;mellitus&lt;/keyword&gt;&lt;keyword&gt;episodes&lt;/keyword&gt;&lt;keyword&gt;outcomes&lt;/keyword&gt;&lt;keyword&gt;risk&lt;/keyword&gt;&lt;keyword&gt;complications&lt;/keyword&gt;&lt;/keywords&gt;&lt;dates&gt;&lt;year&gt;2017&lt;/year&gt;&lt;pub-dates&gt;&lt;date&gt;26/04/2019&lt;/date&gt;&lt;/pub-dates&gt;&lt;/dates&gt;&lt;isbn&gt;1368-5031&lt;/isbn&gt;&lt;urls&gt;&lt;/urls&gt;&lt;electronic-resource-num&gt;ARTN e1295810.1111/ijcp.12958&lt;/electronic-resource-num&gt;&lt;language&gt;English&lt;/language&gt;&lt;/record&gt;&lt;/Cite&gt;&lt;/EndNote&gt;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24</w:t>
            </w:r>
            <w:r w:rsidRPr="0082484A">
              <w:rPr>
                <w:sz w:val="22"/>
                <w:szCs w:val="22"/>
              </w:rPr>
              <w:fldChar w:fldCharType="end"/>
            </w:r>
          </w:p>
        </w:tc>
      </w:tr>
      <w:tr w:rsidR="009A3C2D" w:rsidRPr="0082484A" w14:paraId="4FA7B11B" w14:textId="77777777" w:rsidTr="00272145">
        <w:tc>
          <w:tcPr>
            <w:tcW w:w="3936" w:type="dxa"/>
          </w:tcPr>
          <w:p w14:paraId="72DD7534" w14:textId="77777777" w:rsidR="009A3C2D" w:rsidRPr="0082484A" w:rsidRDefault="009A3C2D" w:rsidP="00272145">
            <w:pPr>
              <w:jc w:val="right"/>
              <w:rPr>
                <w:sz w:val="22"/>
                <w:szCs w:val="22"/>
              </w:rPr>
            </w:pPr>
            <w:r w:rsidRPr="0082484A">
              <w:rPr>
                <w:sz w:val="22"/>
                <w:szCs w:val="22"/>
              </w:rPr>
              <w:t>Weight (kg)*</w:t>
            </w:r>
          </w:p>
        </w:tc>
        <w:tc>
          <w:tcPr>
            <w:tcW w:w="2126" w:type="dxa"/>
          </w:tcPr>
          <w:p w14:paraId="34E6481F" w14:textId="77777777" w:rsidR="009A3C2D" w:rsidRPr="0082484A" w:rsidRDefault="009A3C2D" w:rsidP="00272145">
            <w:pPr>
              <w:rPr>
                <w:sz w:val="22"/>
                <w:szCs w:val="22"/>
              </w:rPr>
            </w:pPr>
            <w:r w:rsidRPr="0082484A">
              <w:rPr>
                <w:sz w:val="22"/>
                <w:szCs w:val="22"/>
              </w:rPr>
              <w:t>Male=96.98</w:t>
            </w:r>
          </w:p>
          <w:p w14:paraId="0169AD66" w14:textId="77777777" w:rsidR="009A3C2D" w:rsidRPr="0082484A" w:rsidRDefault="009A3C2D" w:rsidP="00272145">
            <w:pPr>
              <w:rPr>
                <w:sz w:val="22"/>
                <w:szCs w:val="22"/>
              </w:rPr>
            </w:pPr>
            <w:r w:rsidRPr="0082484A">
              <w:rPr>
                <w:sz w:val="22"/>
                <w:szCs w:val="22"/>
              </w:rPr>
              <w:t>Female=82.72</w:t>
            </w:r>
          </w:p>
        </w:tc>
        <w:tc>
          <w:tcPr>
            <w:tcW w:w="7087" w:type="dxa"/>
          </w:tcPr>
          <w:p w14:paraId="4E2DD741" w14:textId="72FCA2CF" w:rsidR="009A3C2D" w:rsidRPr="0082484A" w:rsidRDefault="009A3C2D" w:rsidP="00952E85">
            <w:pPr>
              <w:rPr>
                <w:sz w:val="22"/>
                <w:szCs w:val="22"/>
              </w:rPr>
            </w:pPr>
            <w:r w:rsidRPr="0082484A">
              <w:rPr>
                <w:sz w:val="22"/>
                <w:szCs w:val="22"/>
              </w:rPr>
              <w:t>Fixed mean for males and females based on UK study in diabetes</w:t>
            </w:r>
            <w:r w:rsidRPr="0082484A">
              <w:rPr>
                <w:sz w:val="22"/>
                <w:szCs w:val="22"/>
              </w:rPr>
              <w:fldChar w:fldCharType="begin">
                <w:fldData xml:space="preserve">PEVuZE5vdGU+PENpdGU+PEF1dGhvcj5Db2xsaWVyPC9BdXRob3I+PFllYXI+MjAxNTwvWWVhcj48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==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PEVuZE5vdGU+PENpdGU+PEF1dGhvcj5Db2xsaWVyPC9BdXRob3I+PFllYXI+MjAxNTwvWWVhcj48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==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25</w:t>
            </w:r>
            <w:r w:rsidRPr="0082484A">
              <w:rPr>
                <w:sz w:val="22"/>
                <w:szCs w:val="22"/>
              </w:rPr>
              <w:fldChar w:fldCharType="end"/>
            </w:r>
          </w:p>
        </w:tc>
      </w:tr>
      <w:tr w:rsidR="009A3C2D" w:rsidRPr="0082484A" w14:paraId="60715D89" w14:textId="77777777" w:rsidTr="00272145">
        <w:tc>
          <w:tcPr>
            <w:tcW w:w="3936" w:type="dxa"/>
          </w:tcPr>
          <w:p w14:paraId="6F422B9A" w14:textId="77777777" w:rsidR="009A3C2D" w:rsidRPr="0082484A" w:rsidRDefault="009A3C2D" w:rsidP="00272145">
            <w:pPr>
              <w:jc w:val="right"/>
              <w:rPr>
                <w:sz w:val="22"/>
                <w:szCs w:val="22"/>
              </w:rPr>
            </w:pPr>
            <w:r w:rsidRPr="0082484A">
              <w:rPr>
                <w:sz w:val="22"/>
                <w:szCs w:val="22"/>
              </w:rPr>
              <w:t>Height (meters)*</w:t>
            </w:r>
          </w:p>
        </w:tc>
        <w:tc>
          <w:tcPr>
            <w:tcW w:w="2126" w:type="dxa"/>
          </w:tcPr>
          <w:p w14:paraId="588FA822" w14:textId="77777777" w:rsidR="009A3C2D" w:rsidRPr="0082484A" w:rsidRDefault="009A3C2D" w:rsidP="00272145">
            <w:pPr>
              <w:rPr>
                <w:sz w:val="22"/>
                <w:szCs w:val="22"/>
              </w:rPr>
            </w:pPr>
            <w:r w:rsidRPr="0082484A">
              <w:rPr>
                <w:sz w:val="22"/>
                <w:szCs w:val="22"/>
              </w:rPr>
              <w:t>Male=1.750</w:t>
            </w:r>
          </w:p>
          <w:p w14:paraId="1A31FD7D" w14:textId="77777777" w:rsidR="009A3C2D" w:rsidRPr="0082484A" w:rsidRDefault="009A3C2D" w:rsidP="00272145">
            <w:pPr>
              <w:rPr>
                <w:sz w:val="22"/>
                <w:szCs w:val="22"/>
              </w:rPr>
            </w:pPr>
            <w:r w:rsidRPr="0082484A">
              <w:rPr>
                <w:sz w:val="22"/>
                <w:szCs w:val="22"/>
              </w:rPr>
              <w:t>Female =1.619</w:t>
            </w:r>
          </w:p>
        </w:tc>
        <w:tc>
          <w:tcPr>
            <w:tcW w:w="7087" w:type="dxa"/>
          </w:tcPr>
          <w:p w14:paraId="0AD675C9" w14:textId="0984C920" w:rsidR="009A3C2D" w:rsidRPr="0082484A" w:rsidRDefault="009A3C2D" w:rsidP="00952E85">
            <w:pPr>
              <w:rPr>
                <w:sz w:val="22"/>
                <w:szCs w:val="22"/>
              </w:rPr>
            </w:pPr>
            <w:r w:rsidRPr="0082484A">
              <w:rPr>
                <w:sz w:val="22"/>
                <w:szCs w:val="22"/>
              </w:rPr>
              <w:t>Fixed mean for males and females based on Health Survey for England</w:t>
            </w:r>
            <w:r w:rsidRPr="0082484A">
              <w:rPr>
                <w:sz w:val="22"/>
                <w:szCs w:val="22"/>
              </w:rPr>
              <w:fldChar w:fldCharType="begin"/>
            </w:r>
            <w:r w:rsidR="00952E85" w:rsidRPr="0082484A">
              <w:rPr>
                <w:sz w:val="22"/>
                <w:szCs w:val="22"/>
              </w:rPr>
              <w:instrText xml:space="preserve"> ADDIN EN.CITE &lt;EndNote&gt;&lt;Cite&gt;&lt;Author&gt;Moody&lt;/Author&gt;&lt;Year&gt;2010&lt;/Year&gt;&lt;RecNum&gt;3339&lt;/RecNum&gt;&lt;DisplayText&gt;&lt;style face="superscript"&gt;26&lt;/style&gt;&lt;/DisplayText&gt;&lt;record&gt;&lt;rec-number&gt;3339&lt;/rec-number&gt;&lt;foreign-keys&gt;&lt;key app="EN" db-id="5srzarxr5dr9r5es2r7xst9lr9t2rewrpffr" timestamp="1516096157"&gt;3339&lt;/key&gt;&lt;/foreign-keys&gt;&lt;ref-type name="Book Section"&gt;5&lt;/ref-type&gt;&lt;contributors&gt;&lt;authors&gt;&lt;author&gt;Moody, Alison,&lt;/author&gt;&lt;/authors&gt;&lt;secondary-authors&gt;&lt;author&gt;Craig, Rachel,&lt;/author&gt;&lt;author&gt;Mindell, Jennifer&lt;/author&gt;&lt;/secondary-authors&gt;&lt;/contributors&gt;&lt;titles&gt;&lt;title&gt;Adult anthropometric measures, overweight and obesity&lt;/title&gt;&lt;secondary-title&gt;Health Survey for England – 2012 (Report). Volume 1: Health, social care and lifestyles. Health and Social Care Information Centre&lt;/secondary-title&gt;&lt;/titles&gt;&lt;pages&gt;20&lt;/pages&gt;&lt;dates&gt;&lt;year&gt;2010&lt;/year&gt;&lt;/dates&gt;&lt;urls&gt;&lt;/urls&gt;&lt;/record&gt;&lt;/Cite&gt;&lt;/EndNote&gt;</w:instrText>
            </w:r>
            <w:r w:rsidRPr="0082484A">
              <w:rPr>
                <w:sz w:val="22"/>
                <w:szCs w:val="22"/>
              </w:rPr>
              <w:fldChar w:fldCharType="separate"/>
            </w:r>
            <w:r w:rsidR="00952E85" w:rsidRPr="0082484A">
              <w:rPr>
                <w:noProof/>
                <w:sz w:val="22"/>
                <w:szCs w:val="22"/>
                <w:vertAlign w:val="superscript"/>
              </w:rPr>
              <w:t>26</w:t>
            </w:r>
            <w:r w:rsidRPr="0082484A">
              <w:rPr>
                <w:sz w:val="22"/>
                <w:szCs w:val="22"/>
              </w:rPr>
              <w:fldChar w:fldCharType="end"/>
            </w:r>
          </w:p>
        </w:tc>
      </w:tr>
      <w:tr w:rsidR="009A3C2D" w:rsidRPr="0082484A" w14:paraId="05052DB4" w14:textId="77777777" w:rsidTr="00272145">
        <w:tc>
          <w:tcPr>
            <w:tcW w:w="3936" w:type="dxa"/>
          </w:tcPr>
          <w:p w14:paraId="781E2F7A" w14:textId="77777777" w:rsidR="009A3C2D" w:rsidRPr="0082484A" w:rsidRDefault="009A3C2D" w:rsidP="00272145">
            <w:pPr>
              <w:rPr>
                <w:bCs/>
                <w:sz w:val="22"/>
                <w:szCs w:val="22"/>
              </w:rPr>
            </w:pPr>
            <w:r w:rsidRPr="0082484A">
              <w:rPr>
                <w:bCs/>
                <w:sz w:val="22"/>
                <w:szCs w:val="22"/>
              </w:rPr>
              <w:t>Risk factor values</w:t>
            </w:r>
          </w:p>
        </w:tc>
        <w:tc>
          <w:tcPr>
            <w:tcW w:w="2126" w:type="dxa"/>
          </w:tcPr>
          <w:p w14:paraId="39104BF0" w14:textId="77777777" w:rsidR="009A3C2D" w:rsidRPr="0082484A" w:rsidRDefault="009A3C2D" w:rsidP="00272145">
            <w:pPr>
              <w:rPr>
                <w:bCs/>
                <w:sz w:val="22"/>
                <w:szCs w:val="22"/>
              </w:rPr>
            </w:pPr>
          </w:p>
        </w:tc>
        <w:tc>
          <w:tcPr>
            <w:tcW w:w="7087" w:type="dxa"/>
          </w:tcPr>
          <w:p w14:paraId="413E1054" w14:textId="77777777" w:rsidR="009A3C2D" w:rsidRPr="0082484A" w:rsidRDefault="009A3C2D" w:rsidP="00272145">
            <w:pPr>
              <w:rPr>
                <w:bCs/>
                <w:sz w:val="22"/>
                <w:szCs w:val="22"/>
              </w:rPr>
            </w:pPr>
          </w:p>
        </w:tc>
      </w:tr>
      <w:tr w:rsidR="009A3C2D" w:rsidRPr="0082484A" w14:paraId="24F0FB1D" w14:textId="77777777" w:rsidTr="00272145">
        <w:tc>
          <w:tcPr>
            <w:tcW w:w="3936" w:type="dxa"/>
          </w:tcPr>
          <w:p w14:paraId="32B6F4EF" w14:textId="77777777" w:rsidR="009A3C2D" w:rsidRPr="0082484A" w:rsidRDefault="009A3C2D" w:rsidP="00272145">
            <w:pPr>
              <w:jc w:val="right"/>
              <w:rPr>
                <w:sz w:val="22"/>
                <w:szCs w:val="22"/>
              </w:rPr>
            </w:pPr>
            <w:r w:rsidRPr="0082484A">
              <w:rPr>
                <w:sz w:val="22"/>
                <w:szCs w:val="22"/>
              </w:rPr>
              <w:t>Atrial fibrillation (AF)*</w:t>
            </w:r>
          </w:p>
        </w:tc>
        <w:tc>
          <w:tcPr>
            <w:tcW w:w="2126" w:type="dxa"/>
          </w:tcPr>
          <w:p w14:paraId="2FDF448D" w14:textId="77777777" w:rsidR="009A3C2D" w:rsidRPr="0082484A" w:rsidRDefault="009A3C2D" w:rsidP="00272145">
            <w:pPr>
              <w:rPr>
                <w:sz w:val="22"/>
                <w:szCs w:val="22"/>
              </w:rPr>
            </w:pPr>
            <w:r w:rsidRPr="0082484A">
              <w:rPr>
                <w:sz w:val="22"/>
                <w:szCs w:val="22"/>
              </w:rPr>
              <w:t xml:space="preserve">3.92% </w:t>
            </w:r>
          </w:p>
        </w:tc>
        <w:tc>
          <w:tcPr>
            <w:tcW w:w="7087" w:type="dxa"/>
          </w:tcPr>
          <w:p w14:paraId="235592E4" w14:textId="1FDDBBB3" w:rsidR="009A3C2D" w:rsidRPr="0082484A" w:rsidRDefault="009A3C2D" w:rsidP="00952E85">
            <w:pPr>
              <w:rPr>
                <w:sz w:val="22"/>
                <w:szCs w:val="22"/>
              </w:rPr>
            </w:pPr>
            <w:r w:rsidRPr="0082484A">
              <w:rPr>
                <w:sz w:val="22"/>
                <w:szCs w:val="22"/>
              </w:rPr>
              <w:t>Prevalence from UK cohort study.</w:t>
            </w:r>
            <w:r w:rsidRPr="0082484A">
              <w:rPr>
                <w:sz w:val="22"/>
                <w:szCs w:val="22"/>
              </w:rPr>
              <w:fldChar w:fldCharType="begin">
                <w:fldData xml:space="preserve">PEVuZE5vdGU+PENpdGU+PEF1dGhvcj5NYWNlZG88L0F1dGhvcj48WWVhcj4yMDE0PC9ZZWFyPjxS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PEVuZE5vdGU+PENpdGU+PEF1dGhvcj5NYWNlZG88L0F1dGhvcj48WWVhcj4yMDE0PC9ZZWFyPjxS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27</w:t>
            </w:r>
            <w:r w:rsidRPr="0082484A">
              <w:rPr>
                <w:sz w:val="22"/>
                <w:szCs w:val="22"/>
              </w:rPr>
              <w:fldChar w:fldCharType="end"/>
            </w:r>
            <w:r w:rsidRPr="0082484A">
              <w:rPr>
                <w:sz w:val="22"/>
                <w:szCs w:val="22"/>
              </w:rPr>
              <w:t xml:space="preserve"> Randomised at individual level</w:t>
            </w:r>
          </w:p>
        </w:tc>
      </w:tr>
      <w:tr w:rsidR="009A3C2D" w:rsidRPr="0082484A" w14:paraId="36EC81FF" w14:textId="77777777" w:rsidTr="00272145">
        <w:tc>
          <w:tcPr>
            <w:tcW w:w="3936" w:type="dxa"/>
          </w:tcPr>
          <w:p w14:paraId="4BDE498C" w14:textId="77777777" w:rsidR="009A3C2D" w:rsidRPr="0082484A" w:rsidRDefault="009A3C2D" w:rsidP="00272145">
            <w:pPr>
              <w:jc w:val="right"/>
              <w:rPr>
                <w:sz w:val="22"/>
                <w:szCs w:val="22"/>
              </w:rPr>
            </w:pPr>
            <w:r w:rsidRPr="0082484A">
              <w:rPr>
                <w:sz w:val="22"/>
                <w:szCs w:val="22"/>
              </w:rPr>
              <w:t xml:space="preserve">Peripheral vascular disease (PVD)* </w:t>
            </w:r>
          </w:p>
        </w:tc>
        <w:tc>
          <w:tcPr>
            <w:tcW w:w="2126" w:type="dxa"/>
          </w:tcPr>
          <w:p w14:paraId="29B85AAD" w14:textId="77777777" w:rsidR="009A3C2D" w:rsidRPr="0082484A" w:rsidRDefault="009A3C2D" w:rsidP="00272145">
            <w:pPr>
              <w:rPr>
                <w:sz w:val="22"/>
                <w:szCs w:val="22"/>
              </w:rPr>
            </w:pPr>
            <w:r w:rsidRPr="0082484A">
              <w:rPr>
                <w:sz w:val="22"/>
                <w:szCs w:val="22"/>
              </w:rPr>
              <w:t>5.3%</w:t>
            </w:r>
          </w:p>
        </w:tc>
        <w:tc>
          <w:tcPr>
            <w:tcW w:w="7087" w:type="dxa"/>
          </w:tcPr>
          <w:p w14:paraId="207B5805" w14:textId="1B8815D7" w:rsidR="009A3C2D" w:rsidRPr="0082484A" w:rsidRDefault="009A3C2D" w:rsidP="00952E85">
            <w:pPr>
              <w:rPr>
                <w:sz w:val="22"/>
                <w:szCs w:val="22"/>
              </w:rPr>
            </w:pPr>
            <w:r w:rsidRPr="0082484A">
              <w:rPr>
                <w:sz w:val="22"/>
                <w:szCs w:val="22"/>
              </w:rPr>
              <w:t>Average for males and females from UK study.</w:t>
            </w:r>
            <w:r w:rsidRPr="0082484A">
              <w:rPr>
                <w:sz w:val="22"/>
                <w:szCs w:val="22"/>
              </w:rPr>
              <w:fldChar w:fldCharType="begin">
                <w:fldData xml:space="preserve">PEVuZE5vdGU+PENpdGU+PEF1dGhvcj5Db2xsaWVyPC9BdXRob3I+PFllYXI+MjAxNTwvWWVhcj48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==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PEVuZE5vdGU+PENpdGU+PEF1dGhvcj5Db2xsaWVyPC9BdXRob3I+PFllYXI+MjAxNTwvWWVhcj48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==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25</w:t>
            </w:r>
            <w:r w:rsidRPr="0082484A">
              <w:rPr>
                <w:sz w:val="22"/>
                <w:szCs w:val="22"/>
              </w:rPr>
              <w:fldChar w:fldCharType="end"/>
            </w:r>
            <w:r w:rsidRPr="0082484A">
              <w:rPr>
                <w:sz w:val="22"/>
                <w:szCs w:val="22"/>
              </w:rPr>
              <w:t xml:space="preserve">  Randomised at individual level</w:t>
            </w:r>
          </w:p>
        </w:tc>
      </w:tr>
      <w:tr w:rsidR="009A3C2D" w:rsidRPr="0082484A" w14:paraId="05C1FCBD" w14:textId="77777777" w:rsidTr="00272145">
        <w:tc>
          <w:tcPr>
            <w:tcW w:w="3936" w:type="dxa"/>
          </w:tcPr>
          <w:p w14:paraId="2A43E6BC" w14:textId="77777777" w:rsidR="009A3C2D" w:rsidRPr="0082484A" w:rsidRDefault="009A3C2D" w:rsidP="00272145">
            <w:pPr>
              <w:jc w:val="right"/>
              <w:rPr>
                <w:sz w:val="22"/>
                <w:szCs w:val="22"/>
              </w:rPr>
            </w:pPr>
            <w:r w:rsidRPr="0082484A">
              <w:rPr>
                <w:sz w:val="22"/>
                <w:szCs w:val="22"/>
              </w:rPr>
              <w:t xml:space="preserve">Current smoker* </w:t>
            </w:r>
          </w:p>
        </w:tc>
        <w:tc>
          <w:tcPr>
            <w:tcW w:w="2126" w:type="dxa"/>
          </w:tcPr>
          <w:p w14:paraId="09F77EA3" w14:textId="77777777" w:rsidR="009A3C2D" w:rsidRPr="0082484A" w:rsidRDefault="009A3C2D" w:rsidP="00272145">
            <w:pPr>
              <w:rPr>
                <w:sz w:val="22"/>
                <w:szCs w:val="22"/>
              </w:rPr>
            </w:pPr>
            <w:r w:rsidRPr="0082484A">
              <w:rPr>
                <w:sz w:val="22"/>
                <w:szCs w:val="22"/>
              </w:rPr>
              <w:t>16.7%</w:t>
            </w:r>
          </w:p>
        </w:tc>
        <w:tc>
          <w:tcPr>
            <w:tcW w:w="7087" w:type="dxa"/>
          </w:tcPr>
          <w:p w14:paraId="76C1D980" w14:textId="4171EA2A" w:rsidR="009A3C2D" w:rsidRPr="0082484A" w:rsidRDefault="009A3C2D" w:rsidP="00952E85">
            <w:pPr>
              <w:rPr>
                <w:sz w:val="22"/>
                <w:szCs w:val="22"/>
              </w:rPr>
            </w:pPr>
            <w:r w:rsidRPr="0082484A">
              <w:rPr>
                <w:sz w:val="22"/>
                <w:szCs w:val="22"/>
              </w:rPr>
              <w:t>Prevalence from UK cohort study.</w:t>
            </w:r>
            <w:r w:rsidRPr="0082484A">
              <w:rPr>
                <w:sz w:val="22"/>
                <w:szCs w:val="22"/>
              </w:rPr>
              <w:fldChar w:fldCharType="begin">
                <w:fldData xml:space="preserve">PEVuZE5vdGU+PENpdGU+PEF1dGhvcj5NYWNlZG88L0F1dGhvcj48WWVhcj4yMDE0PC9ZZWFyPjxS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PEVuZE5vdGU+PENpdGU+PEF1dGhvcj5NYWNlZG88L0F1dGhvcj48WWVhcj4yMDE0PC9ZZWFyPjxS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27</w:t>
            </w:r>
            <w:r w:rsidRPr="0082484A">
              <w:rPr>
                <w:sz w:val="22"/>
                <w:szCs w:val="22"/>
              </w:rPr>
              <w:fldChar w:fldCharType="end"/>
            </w:r>
            <w:r w:rsidRPr="0082484A">
              <w:rPr>
                <w:sz w:val="22"/>
                <w:szCs w:val="22"/>
              </w:rPr>
              <w:t xml:space="preserve"> Randomised at individual level</w:t>
            </w:r>
          </w:p>
        </w:tc>
      </w:tr>
      <w:tr w:rsidR="009A3C2D" w:rsidRPr="0082484A" w14:paraId="31E6E37B" w14:textId="77777777" w:rsidTr="00272145">
        <w:tc>
          <w:tcPr>
            <w:tcW w:w="3936" w:type="dxa"/>
          </w:tcPr>
          <w:p w14:paraId="7E098E3C" w14:textId="77777777" w:rsidR="009A3C2D" w:rsidRPr="0082484A" w:rsidRDefault="009A3C2D" w:rsidP="00272145">
            <w:pPr>
              <w:jc w:val="right"/>
              <w:rPr>
                <w:sz w:val="22"/>
                <w:szCs w:val="22"/>
              </w:rPr>
            </w:pPr>
            <w:r w:rsidRPr="0082484A">
              <w:rPr>
                <w:sz w:val="22"/>
                <w:szCs w:val="22"/>
              </w:rPr>
              <w:t xml:space="preserve">Micro/macroalbuminuria (albuminuria)* </w:t>
            </w:r>
          </w:p>
        </w:tc>
        <w:tc>
          <w:tcPr>
            <w:tcW w:w="2126" w:type="dxa"/>
          </w:tcPr>
          <w:p w14:paraId="4FA2A11C" w14:textId="77777777" w:rsidR="009A3C2D" w:rsidRPr="0082484A" w:rsidRDefault="009A3C2D" w:rsidP="00272145">
            <w:pPr>
              <w:rPr>
                <w:sz w:val="22"/>
                <w:szCs w:val="22"/>
              </w:rPr>
            </w:pPr>
            <w:r w:rsidRPr="0082484A">
              <w:rPr>
                <w:sz w:val="22"/>
                <w:szCs w:val="22"/>
              </w:rPr>
              <w:t>19.4%</w:t>
            </w:r>
          </w:p>
        </w:tc>
        <w:tc>
          <w:tcPr>
            <w:tcW w:w="7087" w:type="dxa"/>
          </w:tcPr>
          <w:p w14:paraId="2D0B9F31" w14:textId="72612B32" w:rsidR="009A3C2D" w:rsidRPr="0082484A" w:rsidRDefault="009A3C2D" w:rsidP="00952E85">
            <w:pPr>
              <w:rPr>
                <w:sz w:val="22"/>
                <w:szCs w:val="22"/>
              </w:rPr>
            </w:pPr>
            <w:r w:rsidRPr="0082484A">
              <w:rPr>
                <w:sz w:val="22"/>
                <w:szCs w:val="22"/>
              </w:rPr>
              <w:t>Prevalence from a UK trial.</w:t>
            </w:r>
            <w:r w:rsidRPr="0082484A">
              <w:rPr>
                <w:sz w:val="22"/>
                <w:szCs w:val="22"/>
              </w:rPr>
              <w:fldChar w:fldCharType="begin"/>
            </w:r>
            <w:r w:rsidR="00952E85" w:rsidRPr="0082484A">
              <w:rPr>
                <w:sz w:val="22"/>
                <w:szCs w:val="22"/>
              </w:rPr>
              <w:instrText xml:space="preserve"> ADDIN EN.CITE &lt;EndNote&gt;&lt;Cite&gt;&lt;Author&gt;Guo&lt;/Author&gt;&lt;Year&gt;2016&lt;/Year&gt;&lt;RecNum&gt;3341&lt;/RecNum&gt;&lt;DisplayText&gt;&lt;style face="superscript"&gt;28&lt;/style&gt;&lt;/DisplayText&gt;&lt;record&gt;&lt;rec-number&gt;3341&lt;/rec-number&gt;&lt;foreign-keys&gt;&lt;key app="EN" db-id="5srzarxr5dr9r5es2r7xst9lr9t2rewrpffr" timestamp="1516096337"&gt;3341&lt;/key&gt;&lt;/foreign-keys&gt;&lt;ref-type name="Journal Article"&gt;17&lt;/ref-type&gt;&lt;contributors&gt;&lt;authors&gt;&lt;author&gt;Guo, V. Y. W.&lt;/author&gt;&lt;author&gt;Brage, S.&lt;/author&gt;&lt;author&gt;Ekelund, U.&lt;/author&gt;&lt;author&gt;Griffin, S. J.&lt;/author&gt;&lt;author&gt;Simmons, R. K.&lt;/author&gt;&lt;author&gt;ADDITION-Plus Study Team&lt;/author&gt;&lt;/authors&gt;&lt;/contributors&gt;&lt;auth-address&gt;Univ Cambridge, MRC Epidemiol Unit, Sch Clin Med, Cambridge, England&amp;#xD;Chinese Univ Hong Kong, Sch Publ Hlth, Div Biostat, Fac Med, Shatin, Hong Kong, Peoples R China&amp;#xD;Norwegian Sch Sport Sci, Dept Sports Med, Oslo, Norway&amp;#xD;Univ Cambridge, Primary Care Unit, Inst Publ Hlth, Cambridge, England&lt;/auth-address&gt;&lt;titles&gt;&lt;title&gt;Objectively measured sedentary time, physical activity and kidney function in people with recently diagnosed Type2 diabetes: a prospective cohort analysis&lt;/title&gt;&lt;secondary-title&gt;Diabetic Medicine&lt;/secondary-title&gt;&lt;alt-title&gt;Diabetic Med&lt;/alt-title&gt;&lt;/titles&gt;&lt;periodical&gt;&lt;full-title&gt;Diabetic Medicine&lt;/full-title&gt;&lt;/periodical&gt;&lt;pages&gt;1222-1229&lt;/pages&gt;&lt;volume&gt;33&lt;/volume&gt;&lt;number&gt;9&lt;/number&gt;&lt;keywords&gt;&lt;keyword&gt;randomized controlled-trial&lt;/keyword&gt;&lt;keyword&gt;behavior-change intervention&lt;/keyword&gt;&lt;keyword&gt;heart-rate&lt;/keyword&gt;&lt;keyword&gt;addition-plus&lt;/keyword&gt;&lt;keyword&gt;disease&lt;/keyword&gt;&lt;keyword&gt;accelerometry&lt;/keyword&gt;&lt;keyword&gt;equation&lt;/keyword&gt;&lt;keyword&gt;validity&lt;/keyword&gt;&lt;keyword&gt;adults&lt;/keyword&gt;&lt;keyword&gt;risk&lt;/keyword&gt;&lt;/keywords&gt;&lt;dates&gt;&lt;year&gt;2016&lt;/year&gt;&lt;pub-dates&gt;&lt;date&gt;Sep&lt;/date&gt;&lt;/pub-dates&gt;&lt;/dates&gt;&lt;isbn&gt;0742-3071&lt;/isbn&gt;&lt;accession-num&gt;WOS:000383280100009&lt;/accession-num&gt;&lt;urls&gt;&lt;related-urls&gt;&lt;url&gt;&amp;lt;Go to ISI&amp;gt;://WOS:000383280100009&lt;/url&gt;&lt;/related-urls&gt;&lt;/urls&gt;&lt;electronic-resource-num&gt;10.1111/dme.12886&lt;/electronic-resource-num&gt;&lt;language&gt;English&lt;/language&gt;&lt;/record&gt;&lt;/Cite&gt;&lt;/EndNote&gt;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28</w:t>
            </w:r>
            <w:r w:rsidRPr="0082484A">
              <w:rPr>
                <w:sz w:val="22"/>
                <w:szCs w:val="22"/>
              </w:rPr>
              <w:fldChar w:fldCharType="end"/>
            </w:r>
            <w:r w:rsidRPr="0082484A">
              <w:rPr>
                <w:sz w:val="22"/>
                <w:szCs w:val="22"/>
              </w:rPr>
              <w:t xml:space="preserve"> Randomised at individual level</w:t>
            </w:r>
          </w:p>
        </w:tc>
      </w:tr>
      <w:tr w:rsidR="009A3C2D" w:rsidRPr="0082484A" w14:paraId="57457F8E" w14:textId="77777777" w:rsidTr="00272145">
        <w:tc>
          <w:tcPr>
            <w:tcW w:w="3936" w:type="dxa"/>
          </w:tcPr>
          <w:p w14:paraId="01B1C6DF" w14:textId="77777777" w:rsidR="009A3C2D" w:rsidRPr="0082484A" w:rsidRDefault="009A3C2D" w:rsidP="00272145">
            <w:pPr>
              <w:jc w:val="right"/>
              <w:rPr>
                <w:sz w:val="22"/>
                <w:szCs w:val="22"/>
              </w:rPr>
            </w:pPr>
            <w:r w:rsidRPr="0082484A">
              <w:rPr>
                <w:sz w:val="22"/>
                <w:szCs w:val="22"/>
              </w:rPr>
              <w:t>HDL cholesterol (mmol/l)</w:t>
            </w:r>
          </w:p>
        </w:tc>
        <w:tc>
          <w:tcPr>
            <w:tcW w:w="2126" w:type="dxa"/>
          </w:tcPr>
          <w:p w14:paraId="1C26FCAE" w14:textId="77777777" w:rsidR="009A3C2D" w:rsidRPr="0082484A" w:rsidRDefault="009A3C2D" w:rsidP="00272145">
            <w:pPr>
              <w:rPr>
                <w:sz w:val="22"/>
                <w:szCs w:val="22"/>
              </w:rPr>
            </w:pPr>
            <w:r w:rsidRPr="0082484A">
              <w:rPr>
                <w:sz w:val="22"/>
                <w:szCs w:val="22"/>
              </w:rPr>
              <w:t>ASPIRE = 1.3</w:t>
            </w:r>
          </w:p>
          <w:p w14:paraId="1EB86460" w14:textId="77777777" w:rsidR="009A3C2D" w:rsidRPr="0082484A" w:rsidRDefault="009A3C2D" w:rsidP="00272145">
            <w:pPr>
              <w:rPr>
                <w:sz w:val="22"/>
                <w:szCs w:val="22"/>
              </w:rPr>
            </w:pPr>
            <w:r w:rsidRPr="0082484A">
              <w:rPr>
                <w:sz w:val="22"/>
                <w:szCs w:val="22"/>
              </w:rPr>
              <w:t>Usual care = 1.3</w:t>
            </w:r>
          </w:p>
        </w:tc>
        <w:tc>
          <w:tcPr>
            <w:tcW w:w="7087" w:type="dxa"/>
          </w:tcPr>
          <w:p w14:paraId="22EF7418" w14:textId="61A7F245" w:rsidR="009A3C2D" w:rsidRPr="0082484A" w:rsidRDefault="009A3C2D" w:rsidP="00952E85">
            <w:pPr>
              <w:rPr>
                <w:sz w:val="22"/>
                <w:szCs w:val="22"/>
              </w:rPr>
            </w:pPr>
            <w:r w:rsidRPr="0082484A">
              <w:rPr>
                <w:sz w:val="22"/>
                <w:szCs w:val="22"/>
              </w:rPr>
              <w:t>Fixed based on data from UK trial matching ASPIRE population</w:t>
            </w:r>
            <w:r w:rsidRPr="0082484A">
              <w:rPr>
                <w:sz w:val="22"/>
                <w:szCs w:val="22"/>
              </w:rPr>
              <w:fldChar w:fldCharType="begin"/>
            </w:r>
            <w:r w:rsidR="00952E85" w:rsidRPr="0082484A">
              <w:rPr>
                <w:sz w:val="22"/>
                <w:szCs w:val="22"/>
              </w:rPr>
              <w:instrText xml:space="preserve"> ADDIN EN.CITE &lt;EndNote&gt;&lt;Cite&gt;&lt;Author&gt;Guo&lt;/Author&gt;&lt;Year&gt;2016&lt;/Year&gt;&lt;RecNum&gt;3341&lt;/RecNum&gt;&lt;DisplayText&gt;&lt;style face="superscript"&gt;28&lt;/style&gt;&lt;/DisplayText&gt;&lt;record&gt;&lt;rec-number&gt;3341&lt;/rec-number&gt;&lt;foreign-keys&gt;&lt;key app="EN" db-id="5srzarxr5dr9r5es2r7xst9lr9t2rewrpffr" timestamp="1516096337"&gt;3341&lt;/key&gt;&lt;/foreign-keys&gt;&lt;ref-type name="Journal Article"&gt;17&lt;/ref-type&gt;&lt;contributors&gt;&lt;authors&gt;&lt;author&gt;Guo, V. Y. W.&lt;/author&gt;&lt;author&gt;Brage, S.&lt;/author&gt;&lt;author&gt;Ekelund, U.&lt;/author&gt;&lt;author&gt;Griffin, S. J.&lt;/author&gt;&lt;author&gt;Simmons, R. K.&lt;/author&gt;&lt;author&gt;ADDITION-Plus Study Team&lt;/author&gt;&lt;/authors&gt;&lt;/contributors&gt;&lt;auth-address&gt;Univ Cambridge, MRC Epidemiol Unit, Sch Clin Med, Cambridge, England&amp;#xD;Chinese Univ Hong Kong, Sch Publ Hlth, Div Biostat, Fac Med, Shatin, Hong Kong, Peoples R China&amp;#xD;Norwegian Sch Sport Sci, Dept Sports Med, Oslo, Norway&amp;#xD;Univ Cambridge, Primary Care Unit, Inst Publ Hlth, Cambridge, England&lt;/auth-address&gt;&lt;titles&gt;&lt;title&gt;Objectively measured sedentary time, physical activity and kidney function in people with recently diagnosed Type2 diabetes: a prospective cohort analysis&lt;/title&gt;&lt;secondary-title&gt;Diabetic Medicine&lt;/secondary-title&gt;&lt;alt-title&gt;Diabetic Med&lt;/alt-title&gt;&lt;/titles&gt;&lt;periodical&gt;&lt;full-title&gt;Diabetic Medicine&lt;/full-title&gt;&lt;/periodical&gt;&lt;pages&gt;1222-1229&lt;/pages&gt;&lt;volume&gt;33&lt;/volume&gt;&lt;number&gt;9&lt;/number&gt;&lt;keywords&gt;&lt;keyword&gt;randomized controlled-trial&lt;/keyword&gt;&lt;keyword&gt;behavior-change intervention&lt;/keyword&gt;&lt;keyword&gt;heart-rate&lt;/keyword&gt;&lt;keyword&gt;addition-plus&lt;/keyword&gt;&lt;keyword&gt;disease&lt;/keyword&gt;&lt;keyword&gt;accelerometry&lt;/keyword&gt;&lt;keyword&gt;equation&lt;/keyword&gt;&lt;keyword&gt;validity&lt;/keyword&gt;&lt;keyword&gt;adults&lt;/keyword&gt;&lt;keyword&gt;risk&lt;/keyword&gt;&lt;/keywords&gt;&lt;dates&gt;&lt;year&gt;2016&lt;/year&gt;&lt;pub-dates&gt;&lt;date&gt;Sep&lt;/date&gt;&lt;/pub-dates&gt;&lt;/dates&gt;&lt;isbn&gt;0742-3071&lt;/isbn&gt;&lt;accession-num&gt;WOS:000383280100009&lt;/accession-num&gt;&lt;urls&gt;&lt;related-urls&gt;&lt;url&gt;&amp;lt;Go to ISI&amp;gt;://WOS:000383280100009&lt;/url&gt;&lt;/related-urls&gt;&lt;/urls&gt;&lt;electronic-resource-num&gt;10.1111/dme.12886&lt;/electronic-resource-num&gt;&lt;language&gt;English&lt;/language&gt;&lt;/record&gt;&lt;/Cite&gt;&lt;/EndNote&gt;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28</w:t>
            </w:r>
            <w:r w:rsidRPr="0082484A">
              <w:rPr>
                <w:sz w:val="22"/>
                <w:szCs w:val="22"/>
              </w:rPr>
              <w:fldChar w:fldCharType="end"/>
            </w:r>
          </w:p>
        </w:tc>
      </w:tr>
      <w:tr w:rsidR="009A3C2D" w:rsidRPr="0082484A" w14:paraId="14E91F1E" w14:textId="77777777" w:rsidTr="00272145">
        <w:tc>
          <w:tcPr>
            <w:tcW w:w="3936" w:type="dxa"/>
          </w:tcPr>
          <w:p w14:paraId="203B4554" w14:textId="77777777" w:rsidR="009A3C2D" w:rsidRPr="0082484A" w:rsidRDefault="009A3C2D" w:rsidP="00272145">
            <w:pPr>
              <w:jc w:val="right"/>
              <w:rPr>
                <w:sz w:val="22"/>
                <w:szCs w:val="22"/>
              </w:rPr>
            </w:pPr>
            <w:r w:rsidRPr="0082484A">
              <w:rPr>
                <w:sz w:val="22"/>
                <w:szCs w:val="22"/>
              </w:rPr>
              <w:t>LDL cholesterol (mmol/l)</w:t>
            </w:r>
          </w:p>
        </w:tc>
        <w:tc>
          <w:tcPr>
            <w:tcW w:w="2126" w:type="dxa"/>
          </w:tcPr>
          <w:p w14:paraId="1CDF59B8" w14:textId="77777777" w:rsidR="009A3C2D" w:rsidRPr="0082484A" w:rsidRDefault="009A3C2D" w:rsidP="00272145">
            <w:pPr>
              <w:rPr>
                <w:sz w:val="22"/>
                <w:szCs w:val="22"/>
              </w:rPr>
            </w:pPr>
            <w:r w:rsidRPr="0082484A">
              <w:rPr>
                <w:sz w:val="22"/>
                <w:szCs w:val="22"/>
              </w:rPr>
              <w:t>ASPIRE = 2.13</w:t>
            </w:r>
          </w:p>
          <w:p w14:paraId="3F81B625" w14:textId="77777777" w:rsidR="009A3C2D" w:rsidRPr="0082484A" w:rsidRDefault="009A3C2D" w:rsidP="00272145">
            <w:pPr>
              <w:rPr>
                <w:sz w:val="22"/>
                <w:szCs w:val="22"/>
              </w:rPr>
            </w:pPr>
            <w:r w:rsidRPr="0082484A">
              <w:rPr>
                <w:sz w:val="22"/>
                <w:szCs w:val="22"/>
              </w:rPr>
              <w:t>Usual care = 2.09</w:t>
            </w:r>
          </w:p>
        </w:tc>
        <w:tc>
          <w:tcPr>
            <w:tcW w:w="7087" w:type="dxa"/>
          </w:tcPr>
          <w:p w14:paraId="6E357C29" w14:textId="46143418" w:rsidR="009A3C2D" w:rsidRPr="0082484A" w:rsidRDefault="009A3C2D" w:rsidP="00952E85">
            <w:pPr>
              <w:rPr>
                <w:sz w:val="22"/>
                <w:szCs w:val="22"/>
              </w:rPr>
            </w:pPr>
            <w:r w:rsidRPr="0082484A">
              <w:rPr>
                <w:sz w:val="22"/>
                <w:szCs w:val="22"/>
              </w:rPr>
              <w:t>Calculated using the Friedewald approach: LDL cholesterol = Total cholesterol – HDL cholesterol – (Total triglyceride ÷ 2.19). Total cholesterol based on trial results (ASPIRE = 4.162, SD = 0.023; Usual care = 4.124, SD = 0.021) and total triglyceride based on UK trial data (1.6).</w:t>
            </w:r>
            <w:r w:rsidRPr="0082484A">
              <w:rPr>
                <w:sz w:val="22"/>
                <w:szCs w:val="22"/>
              </w:rPr>
              <w:fldChar w:fldCharType="begin"/>
            </w:r>
            <w:r w:rsidR="00952E85" w:rsidRPr="0082484A">
              <w:rPr>
                <w:sz w:val="22"/>
                <w:szCs w:val="22"/>
              </w:rPr>
              <w:instrText xml:space="preserve"> ADDIN EN.CITE &lt;EndNote&gt;&lt;Cite&gt;&lt;Author&gt;Guo&lt;/Author&gt;&lt;Year&gt;2016&lt;/Year&gt;&lt;RecNum&gt;3341&lt;/RecNum&gt;&lt;DisplayText&gt;&lt;style face="superscript"&gt;28&lt;/style&gt;&lt;/DisplayText&gt;&lt;record&gt;&lt;rec-number&gt;3341&lt;/rec-number&gt;&lt;foreign-keys&gt;&lt;key app="EN" db-id="5srzarxr5dr9r5es2r7xst9lr9t2rewrpffr" timestamp="1516096337"&gt;3341&lt;/key&gt;&lt;/foreign-keys&gt;&lt;ref-type name="Journal Article"&gt;17&lt;/ref-type&gt;&lt;contributors&gt;&lt;authors&gt;&lt;author&gt;Guo, V. Y. W.&lt;/author&gt;&lt;author&gt;Brage, S.&lt;/author&gt;&lt;author&gt;Ekelund, U.&lt;/author&gt;&lt;author&gt;Griffin, S. J.&lt;/author&gt;&lt;author&gt;Simmons, R. K.&lt;/author&gt;&lt;author&gt;ADDITION-Plus Study Team&lt;/author&gt;&lt;/authors&gt;&lt;/contributors&gt;&lt;auth-address&gt;Univ Cambridge, MRC Epidemiol Unit, Sch Clin Med, Cambridge, England&amp;#xD;Chinese Univ Hong Kong, Sch Publ Hlth, Div Biostat, Fac Med, Shatin, Hong Kong, Peoples R China&amp;#xD;Norwegian Sch Sport Sci, Dept Sports Med, Oslo, Norway&amp;#xD;Univ Cambridge, Primary Care Unit, Inst Publ Hlth, Cambridge, England&lt;/auth-address&gt;&lt;titles&gt;&lt;title&gt;Objectively measured sedentary time, physical activity and kidney function in people with recently diagnosed Type2 diabetes: a prospective cohort analysis&lt;/title&gt;&lt;secondary-title&gt;Diabetic Medicine&lt;/secondary-title&gt;&lt;alt-title&gt;Diabetic Med&lt;/alt-title&gt;&lt;/titles&gt;&lt;periodical&gt;&lt;full-title&gt;Diabetic Medicine&lt;/full-title&gt;&lt;/periodical&gt;&lt;pages&gt;1222-1229&lt;/pages&gt;&lt;volume&gt;33&lt;/volume&gt;&lt;number&gt;9&lt;/number&gt;&lt;keywords&gt;&lt;keyword&gt;randomized controlled-trial&lt;/keyword&gt;&lt;keyword&gt;behavior-change intervention&lt;/keyword&gt;&lt;keyword&gt;heart-rate&lt;/keyword&gt;&lt;keyword&gt;addition-plus&lt;/keyword&gt;&lt;keyword&gt;disease&lt;/keyword&gt;&lt;keyword&gt;accelerometry&lt;/keyword&gt;&lt;keyword&gt;equation&lt;/keyword&gt;&lt;keyword&gt;validity&lt;/keyword&gt;&lt;keyword&gt;adults&lt;/keyword&gt;&lt;keyword&gt;risk&lt;/keyword&gt;&lt;/keywords&gt;&lt;dates&gt;&lt;year&gt;2016&lt;/year&gt;&lt;pub-dates&gt;&lt;date&gt;Sep&lt;/date&gt;&lt;/pub-dates&gt;&lt;/dates&gt;&lt;isbn&gt;0742-3071&lt;/isbn&gt;&lt;accession-num&gt;WOS:000383280100009&lt;/accession-num&gt;&lt;urls&gt;&lt;related-urls&gt;&lt;url&gt;&amp;lt;Go to ISI&amp;gt;://WOS:000383280100009&lt;/url&gt;&lt;/related-urls&gt;&lt;/urls&gt;&lt;electronic-resource-num&gt;10.1111/dme.12886&lt;/electronic-resource-num&gt;&lt;language&gt;English&lt;/language&gt;&lt;/record&gt;&lt;/Cite&gt;&lt;/EndNote&gt;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28</w:t>
            </w:r>
            <w:r w:rsidRPr="0082484A">
              <w:rPr>
                <w:sz w:val="22"/>
                <w:szCs w:val="22"/>
              </w:rPr>
              <w:fldChar w:fldCharType="end"/>
            </w:r>
            <w:r w:rsidRPr="0082484A">
              <w:rPr>
                <w:sz w:val="22"/>
                <w:szCs w:val="22"/>
              </w:rPr>
              <w:t xml:space="preserve"> Randomised at individual level and made probabilistic using normal distribution. </w:t>
            </w:r>
          </w:p>
        </w:tc>
      </w:tr>
      <w:tr w:rsidR="009A3C2D" w:rsidRPr="0082484A" w14:paraId="580CE2F9" w14:textId="77777777" w:rsidTr="00272145">
        <w:tc>
          <w:tcPr>
            <w:tcW w:w="3936" w:type="dxa"/>
          </w:tcPr>
          <w:p w14:paraId="4E5B7CDE" w14:textId="77777777" w:rsidR="009A3C2D" w:rsidRPr="0082484A" w:rsidRDefault="009A3C2D" w:rsidP="00272145">
            <w:pPr>
              <w:jc w:val="right"/>
              <w:rPr>
                <w:sz w:val="22"/>
                <w:szCs w:val="22"/>
              </w:rPr>
            </w:pPr>
            <w:r w:rsidRPr="0082484A">
              <w:rPr>
                <w:sz w:val="22"/>
                <w:szCs w:val="22"/>
              </w:rPr>
              <w:t>Systolic blood pressure (mmHg)</w:t>
            </w:r>
          </w:p>
        </w:tc>
        <w:tc>
          <w:tcPr>
            <w:tcW w:w="2126" w:type="dxa"/>
          </w:tcPr>
          <w:p w14:paraId="26D2289E" w14:textId="77777777" w:rsidR="009A3C2D" w:rsidRPr="0082484A" w:rsidRDefault="009A3C2D" w:rsidP="00272145">
            <w:pPr>
              <w:rPr>
                <w:sz w:val="22"/>
                <w:szCs w:val="22"/>
              </w:rPr>
            </w:pPr>
            <w:r w:rsidRPr="0082484A">
              <w:rPr>
                <w:sz w:val="22"/>
                <w:szCs w:val="22"/>
              </w:rPr>
              <w:t>ASPIRE = 131.68 (SD=0.507)</w:t>
            </w:r>
          </w:p>
          <w:p w14:paraId="676CF250" w14:textId="77777777" w:rsidR="009A3C2D" w:rsidRPr="0082484A" w:rsidRDefault="009A3C2D" w:rsidP="00272145">
            <w:pPr>
              <w:rPr>
                <w:sz w:val="22"/>
                <w:szCs w:val="22"/>
              </w:rPr>
            </w:pPr>
            <w:r w:rsidRPr="0082484A">
              <w:rPr>
                <w:sz w:val="22"/>
                <w:szCs w:val="22"/>
              </w:rPr>
              <w:t>Usual care = 131.72 (SD=0.489)</w:t>
            </w:r>
          </w:p>
        </w:tc>
        <w:tc>
          <w:tcPr>
            <w:tcW w:w="7087" w:type="dxa"/>
          </w:tcPr>
          <w:p w14:paraId="5998DAC0" w14:textId="77777777" w:rsidR="009A3C2D" w:rsidRPr="0082484A" w:rsidRDefault="009A3C2D" w:rsidP="00272145">
            <w:pPr>
              <w:rPr>
                <w:sz w:val="22"/>
                <w:szCs w:val="22"/>
              </w:rPr>
            </w:pPr>
            <w:r w:rsidRPr="0082484A">
              <w:rPr>
                <w:sz w:val="22"/>
                <w:szCs w:val="22"/>
              </w:rPr>
              <w:t>Adjusted follow-up values from ASPIRE trial. Randomised at individual level and made probabilistic using normal distribution</w:t>
            </w:r>
          </w:p>
        </w:tc>
      </w:tr>
      <w:tr w:rsidR="009A3C2D" w:rsidRPr="0082484A" w14:paraId="10D941FB" w14:textId="77777777" w:rsidTr="00272145">
        <w:tc>
          <w:tcPr>
            <w:tcW w:w="3936" w:type="dxa"/>
          </w:tcPr>
          <w:p w14:paraId="016C4187" w14:textId="77777777" w:rsidR="009A3C2D" w:rsidRPr="0082484A" w:rsidRDefault="009A3C2D" w:rsidP="00272145">
            <w:pPr>
              <w:jc w:val="right"/>
              <w:rPr>
                <w:sz w:val="22"/>
                <w:szCs w:val="22"/>
              </w:rPr>
            </w:pPr>
            <w:r w:rsidRPr="0082484A">
              <w:rPr>
                <w:sz w:val="22"/>
                <w:szCs w:val="22"/>
              </w:rPr>
              <w:t>HbA1c (mmol/mol)</w:t>
            </w:r>
          </w:p>
        </w:tc>
        <w:tc>
          <w:tcPr>
            <w:tcW w:w="2126" w:type="dxa"/>
          </w:tcPr>
          <w:p w14:paraId="311A8E11" w14:textId="77777777" w:rsidR="009A3C2D" w:rsidRPr="0082484A" w:rsidRDefault="009A3C2D" w:rsidP="00272145">
            <w:pPr>
              <w:rPr>
                <w:sz w:val="22"/>
                <w:szCs w:val="22"/>
              </w:rPr>
            </w:pPr>
            <w:r w:rsidRPr="0082484A">
              <w:rPr>
                <w:sz w:val="22"/>
                <w:szCs w:val="22"/>
              </w:rPr>
              <w:t>ASPIRE = 55.97 (SD=0.298)</w:t>
            </w:r>
          </w:p>
          <w:p w14:paraId="62C8FA97" w14:textId="77777777" w:rsidR="009A3C2D" w:rsidRPr="0082484A" w:rsidRDefault="009A3C2D" w:rsidP="00272145">
            <w:pPr>
              <w:rPr>
                <w:sz w:val="22"/>
                <w:szCs w:val="22"/>
              </w:rPr>
            </w:pPr>
            <w:r w:rsidRPr="0082484A">
              <w:rPr>
                <w:sz w:val="22"/>
                <w:szCs w:val="22"/>
              </w:rPr>
              <w:t>Usual care = 56.14 (SD=0.286)</w:t>
            </w:r>
          </w:p>
        </w:tc>
        <w:tc>
          <w:tcPr>
            <w:tcW w:w="7087" w:type="dxa"/>
          </w:tcPr>
          <w:p w14:paraId="53426515" w14:textId="50890FC4" w:rsidR="009A3C2D" w:rsidRPr="0082484A" w:rsidRDefault="009A3C2D" w:rsidP="00272145">
            <w:pPr>
              <w:rPr>
                <w:sz w:val="22"/>
                <w:szCs w:val="22"/>
              </w:rPr>
            </w:pPr>
            <w:r w:rsidRPr="0082484A">
              <w:rPr>
                <w:sz w:val="22"/>
                <w:szCs w:val="22"/>
              </w:rPr>
              <w:t>Adjusted follow-up values from ASPIRE trial. Converted to % using the following formula</w:t>
            </w:r>
            <w:r w:rsidRPr="0082484A">
              <w:rPr>
                <w:sz w:val="22"/>
                <w:szCs w:val="22"/>
              </w:rPr>
              <w:fldChar w:fldCharType="begin"/>
            </w:r>
            <w:r w:rsidR="00952E85" w:rsidRPr="0082484A">
              <w:rPr>
                <w:sz w:val="22"/>
                <w:szCs w:val="22"/>
              </w:rPr>
              <w:instrText xml:space="preserve"> ADDIN EN.CITE &lt;EndNote&gt;&lt;Cite&gt;&lt;RecNum&gt;3345&lt;/RecNum&gt;&lt;DisplayText&gt;&lt;style face="superscript"&gt;29&lt;/style&gt;&lt;/DisplayText&gt;&lt;record&gt;&lt;rec-number&gt;3345&lt;/rec-number&gt;&lt;foreign-keys&gt;&lt;key app="EN" db-id="5srzarxr5dr9r5es2r7xst9lr9t2rewrpffr" timestamp="1516096645"&gt;3345&lt;/key&gt;&lt;/foreign-keys&gt;&lt;ref-type name="Web Page"&gt;12&lt;/ref-type&gt;&lt;contributors&gt;&lt;/contributors&gt;&lt;titles&gt;&lt;title&gt;Diabetes Support Forum. &amp;apos;HbA1c - converting mmol/mol results to %&amp;apos;.  http://diabetes-support.org.uk/diabetes_forum/index.php?topic=2286.0&lt;/title&gt;&lt;/titles&gt;&lt;number&gt;01/03/2019&lt;/number&gt;&lt;dates&gt;&lt;/dates&gt;&lt;urls&gt;&lt;/urls&gt;&lt;/record&gt;&lt;/Cite&gt;&lt;/EndNote&gt;</w:instrText>
            </w:r>
            <w:r w:rsidRPr="0082484A">
              <w:rPr>
                <w:sz w:val="22"/>
                <w:szCs w:val="22"/>
              </w:rPr>
              <w:fldChar w:fldCharType="separate"/>
            </w:r>
            <w:r w:rsidR="00952E85" w:rsidRPr="0082484A">
              <w:rPr>
                <w:noProof/>
                <w:sz w:val="22"/>
                <w:szCs w:val="22"/>
                <w:vertAlign w:val="superscript"/>
              </w:rPr>
              <w:t>29</w:t>
            </w:r>
            <w:r w:rsidRPr="0082484A">
              <w:rPr>
                <w:sz w:val="22"/>
                <w:szCs w:val="22"/>
              </w:rPr>
              <w:fldChar w:fldCharType="end"/>
            </w:r>
            <w:r w:rsidRPr="0082484A">
              <w:rPr>
                <w:sz w:val="22"/>
                <w:szCs w:val="22"/>
              </w:rPr>
              <w:t>: % = (mmol/10.929)+2.15</w:t>
            </w:r>
          </w:p>
          <w:p w14:paraId="352CC047" w14:textId="77777777" w:rsidR="009A3C2D" w:rsidRPr="0082484A" w:rsidRDefault="009A3C2D" w:rsidP="00272145">
            <w:pPr>
              <w:rPr>
                <w:sz w:val="22"/>
                <w:szCs w:val="22"/>
              </w:rPr>
            </w:pPr>
            <w:r w:rsidRPr="0082484A">
              <w:rPr>
                <w:sz w:val="22"/>
                <w:szCs w:val="22"/>
              </w:rPr>
              <w:t>Randomised at individual level and made probabilistic using normal distribution</w:t>
            </w:r>
          </w:p>
        </w:tc>
      </w:tr>
      <w:tr w:rsidR="009A3C2D" w:rsidRPr="0082484A" w14:paraId="7F2F7939" w14:textId="77777777" w:rsidTr="00272145">
        <w:tc>
          <w:tcPr>
            <w:tcW w:w="3936" w:type="dxa"/>
          </w:tcPr>
          <w:p w14:paraId="79C4FA05" w14:textId="77777777" w:rsidR="009A3C2D" w:rsidRPr="0082484A" w:rsidRDefault="009A3C2D" w:rsidP="00272145">
            <w:pPr>
              <w:jc w:val="right"/>
              <w:rPr>
                <w:sz w:val="22"/>
                <w:szCs w:val="22"/>
              </w:rPr>
            </w:pPr>
            <w:r w:rsidRPr="0082484A">
              <w:rPr>
                <w:sz w:val="22"/>
                <w:szCs w:val="22"/>
              </w:rPr>
              <w:t>Heart rate (bpm)*</w:t>
            </w:r>
          </w:p>
        </w:tc>
        <w:tc>
          <w:tcPr>
            <w:tcW w:w="2126" w:type="dxa"/>
          </w:tcPr>
          <w:p w14:paraId="14B888BB" w14:textId="77777777" w:rsidR="009A3C2D" w:rsidRPr="0082484A" w:rsidRDefault="009A3C2D" w:rsidP="00272145">
            <w:pPr>
              <w:rPr>
                <w:sz w:val="22"/>
                <w:szCs w:val="22"/>
              </w:rPr>
            </w:pPr>
            <w:r w:rsidRPr="0082484A">
              <w:rPr>
                <w:sz w:val="22"/>
                <w:szCs w:val="22"/>
              </w:rPr>
              <w:t>74</w:t>
            </w:r>
          </w:p>
        </w:tc>
        <w:tc>
          <w:tcPr>
            <w:tcW w:w="7087" w:type="dxa"/>
          </w:tcPr>
          <w:p w14:paraId="06622B9A" w14:textId="2EB7E71A" w:rsidR="009A3C2D" w:rsidRPr="0082484A" w:rsidRDefault="009A3C2D" w:rsidP="00952E85">
            <w:pPr>
              <w:rPr>
                <w:sz w:val="22"/>
                <w:szCs w:val="22"/>
              </w:rPr>
            </w:pPr>
            <w:r w:rsidRPr="0082484A">
              <w:rPr>
                <w:sz w:val="22"/>
                <w:szCs w:val="22"/>
              </w:rPr>
              <w:t>Based on large international trial of similar population.</w:t>
            </w:r>
            <w:r w:rsidRPr="0082484A">
              <w:rPr>
                <w:sz w:val="22"/>
                <w:szCs w:val="22"/>
              </w:rPr>
              <w:fldChar w:fldCharType="begin">
                <w:fldData xml:space="preserve">PEVuZE5vdGU+PENpdGU+PEF1dGhvcj5IaWxsaXM8L0F1dGhvcj48WWVhcj4yMDEyPC9ZZWFyPjxS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PEVuZE5vdGU+PENpdGU+PEF1dGhvcj5IaWxsaXM8L0F1dGhvcj48WWVhcj4yMDEyPC9ZZWFyPjxS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30</w:t>
            </w:r>
            <w:r w:rsidRPr="0082484A">
              <w:rPr>
                <w:sz w:val="22"/>
                <w:szCs w:val="22"/>
              </w:rPr>
              <w:fldChar w:fldCharType="end"/>
            </w:r>
            <w:r w:rsidRPr="0082484A">
              <w:rPr>
                <w:sz w:val="22"/>
                <w:szCs w:val="22"/>
              </w:rPr>
              <w:t xml:space="preserve"> Fixed value</w:t>
            </w:r>
          </w:p>
        </w:tc>
      </w:tr>
      <w:tr w:rsidR="009A3C2D" w:rsidRPr="0082484A" w14:paraId="19B5F462" w14:textId="77777777" w:rsidTr="00272145">
        <w:tc>
          <w:tcPr>
            <w:tcW w:w="3936" w:type="dxa"/>
          </w:tcPr>
          <w:p w14:paraId="5B4A8E72" w14:textId="77777777" w:rsidR="009A3C2D" w:rsidRPr="0082484A" w:rsidRDefault="009A3C2D" w:rsidP="00272145">
            <w:pPr>
              <w:jc w:val="right"/>
              <w:rPr>
                <w:sz w:val="22"/>
                <w:szCs w:val="22"/>
              </w:rPr>
            </w:pPr>
            <w:r w:rsidRPr="0082484A">
              <w:rPr>
                <w:sz w:val="22"/>
                <w:szCs w:val="22"/>
              </w:rPr>
              <w:t>White blood cell count (WBC) (x 10-6 ml)*</w:t>
            </w:r>
          </w:p>
        </w:tc>
        <w:tc>
          <w:tcPr>
            <w:tcW w:w="2126" w:type="dxa"/>
          </w:tcPr>
          <w:p w14:paraId="5647864D" w14:textId="77777777" w:rsidR="009A3C2D" w:rsidRPr="0082484A" w:rsidRDefault="009A3C2D" w:rsidP="00272145">
            <w:pPr>
              <w:rPr>
                <w:sz w:val="22"/>
                <w:szCs w:val="22"/>
              </w:rPr>
            </w:pPr>
            <w:r w:rsidRPr="0082484A">
              <w:rPr>
                <w:sz w:val="22"/>
                <w:szCs w:val="22"/>
              </w:rPr>
              <w:t>6.51</w:t>
            </w:r>
          </w:p>
        </w:tc>
        <w:tc>
          <w:tcPr>
            <w:tcW w:w="7087" w:type="dxa"/>
          </w:tcPr>
          <w:p w14:paraId="10F81E7A" w14:textId="4B52BE19" w:rsidR="009A3C2D" w:rsidRPr="0082484A" w:rsidRDefault="009A3C2D" w:rsidP="00952E85">
            <w:pPr>
              <w:rPr>
                <w:sz w:val="22"/>
                <w:szCs w:val="22"/>
              </w:rPr>
            </w:pPr>
            <w:r w:rsidRPr="0082484A">
              <w:rPr>
                <w:sz w:val="22"/>
                <w:szCs w:val="22"/>
              </w:rPr>
              <w:t>Based on large UK cohort study.</w:t>
            </w:r>
            <w:r w:rsidRPr="0082484A">
              <w:rPr>
                <w:sz w:val="22"/>
                <w:szCs w:val="22"/>
              </w:rPr>
              <w:fldChar w:fldCharType="begin">
                <w:fldData xml:space="preserve">PEVuZE5vdGU+PENpdGU+PEF1dGhvcj5MYWFrZTwvQXV0aG9yPjxZZWFyPjIwMTQ8L1llYXI+PFJl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</w:fldData>
              </w:fldChar>
            </w:r>
            <w:r w:rsidR="00952E85" w:rsidRPr="0082484A">
              <w:rPr>
                <w:sz w:val="22"/>
                <w:szCs w:val="22"/>
              </w:rPr>
              <w:instrText xml:space="preserve"> ADDIN EN.CITE </w:instrText>
            </w:r>
            <w:r w:rsidR="00952E85" w:rsidRPr="0082484A">
              <w:rPr>
                <w:sz w:val="22"/>
                <w:szCs w:val="22"/>
              </w:rPr>
              <w:fldChar w:fldCharType="begin">
                <w:fldData xml:space="preserve">PEVuZE5vdGU+PENpdGU+PEF1dGhvcj5MYWFrZTwvQXV0aG9yPjxZZWFyPjIwMTQ8L1llYXI+PFJl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</w:fldData>
              </w:fldChar>
            </w:r>
            <w:r w:rsidR="00952E85" w:rsidRPr="0082484A">
              <w:rPr>
                <w:sz w:val="22"/>
                <w:szCs w:val="22"/>
              </w:rPr>
              <w:instrText xml:space="preserve"> ADDIN EN.CITE.DATA </w:instrText>
            </w:r>
            <w:r w:rsidR="00952E85" w:rsidRPr="0082484A">
              <w:rPr>
                <w:sz w:val="22"/>
                <w:szCs w:val="22"/>
              </w:rPr>
            </w:r>
            <w:r w:rsidR="00952E85" w:rsidRPr="0082484A">
              <w:rPr>
                <w:sz w:val="22"/>
                <w:szCs w:val="22"/>
              </w:rPr>
              <w:fldChar w:fldCharType="end"/>
            </w:r>
            <w:r w:rsidRPr="0082484A">
              <w:rPr>
                <w:sz w:val="22"/>
                <w:szCs w:val="22"/>
              </w:rPr>
            </w:r>
            <w:r w:rsidRPr="0082484A">
              <w:rPr>
                <w:sz w:val="22"/>
                <w:szCs w:val="22"/>
              </w:rPr>
              <w:fldChar w:fldCharType="separate"/>
            </w:r>
            <w:r w:rsidR="00952E85" w:rsidRPr="0082484A">
              <w:rPr>
                <w:noProof/>
                <w:sz w:val="22"/>
                <w:szCs w:val="22"/>
                <w:vertAlign w:val="superscript"/>
              </w:rPr>
              <w:t>31</w:t>
            </w:r>
            <w:r w:rsidRPr="0082484A">
              <w:rPr>
                <w:sz w:val="22"/>
                <w:szCs w:val="22"/>
              </w:rPr>
              <w:fldChar w:fldCharType="end"/>
            </w:r>
            <w:r w:rsidRPr="0082484A">
              <w:rPr>
                <w:sz w:val="22"/>
                <w:szCs w:val="22"/>
              </w:rPr>
              <w:t xml:space="preserve"> Fixed value</w:t>
            </w:r>
          </w:p>
        </w:tc>
      </w:tr>
      <w:tr w:rsidR="009A3C2D" w:rsidRPr="0082484A" w14:paraId="76FE3DA0" w14:textId="77777777" w:rsidTr="00272145">
        <w:tc>
          <w:tcPr>
            <w:tcW w:w="3936" w:type="dxa"/>
          </w:tcPr>
          <w:p w14:paraId="746D00B5" w14:textId="77777777" w:rsidR="009A3C2D" w:rsidRPr="0082484A" w:rsidRDefault="009A3C2D" w:rsidP="00272145">
            <w:pPr>
              <w:jc w:val="right"/>
              <w:rPr>
                <w:sz w:val="22"/>
                <w:szCs w:val="22"/>
              </w:rPr>
            </w:pPr>
            <w:r w:rsidRPr="0082484A">
              <w:rPr>
                <w:sz w:val="22"/>
                <w:szCs w:val="22"/>
              </w:rPr>
              <w:t>Haemoglobin (g/dl)*</w:t>
            </w:r>
          </w:p>
        </w:tc>
        <w:tc>
          <w:tcPr>
            <w:tcW w:w="2126" w:type="dxa"/>
          </w:tcPr>
          <w:p w14:paraId="14C106EF" w14:textId="77777777" w:rsidR="009A3C2D" w:rsidRPr="0082484A" w:rsidRDefault="009A3C2D" w:rsidP="00272145">
            <w:pPr>
              <w:rPr>
                <w:sz w:val="22"/>
                <w:szCs w:val="22"/>
              </w:rPr>
            </w:pPr>
            <w:r w:rsidRPr="0082484A">
              <w:rPr>
                <w:sz w:val="22"/>
                <w:szCs w:val="22"/>
              </w:rPr>
              <w:t>12.8</w:t>
            </w:r>
          </w:p>
        </w:tc>
        <w:tc>
          <w:tcPr>
            <w:tcW w:w="7087" w:type="dxa"/>
          </w:tcPr>
          <w:p w14:paraId="4C33B6F2" w14:textId="0B6F3383" w:rsidR="009A3C2D" w:rsidRPr="0082484A" w:rsidRDefault="009A3C2D" w:rsidP="00952E85">
            <w:pPr>
              <w:rPr>
                <w:sz w:val="22"/>
                <w:szCs w:val="22"/>
              </w:rPr>
            </w:pPr>
            <w:r w:rsidRPr="0082484A">
              <w:rPr>
                <w:sz w:val="22"/>
                <w:szCs w:val="22"/>
              </w:rPr>
              <w:t>Mean of values for males and females.</w:t>
            </w:r>
            <w:r w:rsidRPr="0082484A">
              <w:rPr>
                <w:sz w:val="22"/>
                <w:szCs w:val="22"/>
              </w:rPr>
              <w:fldChar w:fldCharType="begin"/>
            </w:r>
            <w:r w:rsidR="00952E85" w:rsidRPr="0082484A">
              <w:rPr>
                <w:sz w:val="22"/>
                <w:szCs w:val="22"/>
              </w:rPr>
              <w:instrText xml:space="preserve"> ADDIN EN.CITE &lt;EndNote&gt;&lt;Cite&gt;&lt;Author&gt;Stevens&lt;/Author&gt;&lt;Year&gt;2012&lt;/Year&gt;&lt;RecNum&gt;3344&lt;/RecNum&gt;&lt;DisplayText&gt;&lt;style face="superscript"&gt;32&lt;/style&gt;&lt;/DisplayText&gt;&lt;record&gt;&lt;rec-number&gt;3344&lt;/rec-number&gt;&lt;foreign-keys&gt;&lt;key app="EN" db-id="5srzarxr5dr9r5es2r7xst9lr9t2rewrpffr" timestamp="1516096519"&gt;3344&lt;/key&gt;&lt;/foreign-keys&gt;&lt;ref-type name="Journal Article"&gt;17&lt;/ref-type&gt;&lt;contributors&gt;&lt;authors&gt;&lt;author&gt;Stevens, P. E.&lt;/author&gt;&lt;/authors&gt;&lt;/contributors&gt;&lt;auth-address&gt;Kent and Canterbury Hospital, Canterbury, Kent, UK. paul.stevens@ekht.nhs.uk&lt;/auth-address&gt;&lt;titles&gt;&lt;title&gt;Anaemia, diabetes and chronic kidney disease: where are we now?&lt;/title&gt;&lt;secondary-title&gt;J Ren Care&lt;/secondary-title&gt;&lt;/titles&gt;&lt;periodical&gt;&lt;full-title&gt;J Ren Care&lt;/full-title&gt;&lt;/periodical&gt;&lt;pages&gt;67-77&lt;/pages&gt;&lt;volume&gt;38 Suppl 1&lt;/volume&gt;&lt;keywords&gt;&lt;keyword&gt;Anemia/*drug therapy/etiology/physiopathology&lt;/keyword&gt;&lt;keyword&gt;Diabetes Complications/*drug therapy&lt;/keyword&gt;&lt;keyword&gt;Diabetic Nephropathies/*complications/drug therapy&lt;/keyword&gt;&lt;keyword&gt;Erythropoietin/deficiency/*therapeutic use&lt;/keyword&gt;&lt;keyword&gt;Hematinics/therapeutic use&lt;/keyword&gt;&lt;keyword&gt;Humans&lt;/keyword&gt;&lt;keyword&gt;Iron/deficiency/*therapeutic use&lt;/keyword&gt;&lt;keyword&gt;Renal Insufficiency, Chronic/*complications/drug therapy&lt;/keyword&gt;&lt;/keywords&gt;&lt;dates&gt;&lt;year&gt;2012&lt;/year&gt;&lt;pub-dates&gt;&lt;date&gt;Feb&lt;/date&gt;&lt;/pub-dates&gt;&lt;/dates&gt;&lt;isbn&gt;1755-6686 (Electronic)&amp;#xD;1755-6678 (Linking)&lt;/isbn&gt;&lt;accession-num&gt;22348366&lt;/accession-num&gt;&lt;urls&gt;&lt;related-urls&gt;&lt;url&gt;http://www.ncbi.nlm.nih.gov/pubmed/22348366&lt;/url&gt;&lt;/related-urls&gt;&lt;/urls&gt;&lt;electronic-resource-num&gt;10.1111/j.1755-6686.2012.00281.x&lt;/electronic-resource-num&gt;&lt;/record&gt;&lt;/Cite&gt;&lt;/EndNote&gt;</w:instrText>
            </w:r>
            <w:r w:rsidRPr="0082484A">
              <w:rPr>
                <w:sz w:val="22"/>
                <w:szCs w:val="22"/>
              </w:rPr>
              <w:fldChar w:fldCharType="separate"/>
            </w:r>
            <w:r w:rsidR="00952E85" w:rsidRPr="0082484A">
              <w:rPr>
                <w:noProof/>
                <w:sz w:val="22"/>
                <w:szCs w:val="22"/>
                <w:vertAlign w:val="superscript"/>
              </w:rPr>
              <w:t>32</w:t>
            </w:r>
            <w:r w:rsidRPr="0082484A">
              <w:rPr>
                <w:sz w:val="22"/>
                <w:szCs w:val="22"/>
              </w:rPr>
              <w:fldChar w:fldCharType="end"/>
            </w:r>
            <w:r w:rsidRPr="0082484A">
              <w:rPr>
                <w:sz w:val="22"/>
                <w:szCs w:val="22"/>
              </w:rPr>
              <w:t xml:space="preserve"> Fixed value</w:t>
            </w:r>
          </w:p>
        </w:tc>
      </w:tr>
      <w:tr w:rsidR="009A3C2D" w:rsidRPr="0082484A" w14:paraId="14893062" w14:textId="77777777" w:rsidTr="00272145">
        <w:tc>
          <w:tcPr>
            <w:tcW w:w="3936" w:type="dxa"/>
          </w:tcPr>
          <w:p w14:paraId="128F098E" w14:textId="77777777" w:rsidR="009A3C2D" w:rsidRPr="0082484A" w:rsidRDefault="009A3C2D" w:rsidP="00272145">
            <w:pPr>
              <w:jc w:val="right"/>
              <w:rPr>
                <w:sz w:val="22"/>
                <w:szCs w:val="22"/>
              </w:rPr>
            </w:pPr>
            <w:r w:rsidRPr="0082484A">
              <w:rPr>
                <w:sz w:val="22"/>
                <w:szCs w:val="22"/>
              </w:rPr>
              <w:t>Glomerular filtration rate (eGFR)* (ml/min/1.73m2)</w:t>
            </w:r>
          </w:p>
        </w:tc>
        <w:tc>
          <w:tcPr>
            <w:tcW w:w="2126" w:type="dxa"/>
          </w:tcPr>
          <w:p w14:paraId="146E4BC1" w14:textId="77777777" w:rsidR="009A3C2D" w:rsidRPr="0082484A" w:rsidRDefault="009A3C2D" w:rsidP="00272145">
            <w:pPr>
              <w:rPr>
                <w:sz w:val="22"/>
                <w:szCs w:val="22"/>
              </w:rPr>
            </w:pPr>
            <w:r w:rsidRPr="0082484A">
              <w:rPr>
                <w:sz w:val="22"/>
                <w:szCs w:val="22"/>
              </w:rPr>
              <w:t>81.3</w:t>
            </w:r>
          </w:p>
        </w:tc>
        <w:tc>
          <w:tcPr>
            <w:tcW w:w="7087" w:type="dxa"/>
          </w:tcPr>
          <w:p w14:paraId="665CE34F" w14:textId="2CEA0FB0" w:rsidR="009A3C2D" w:rsidRPr="0082484A" w:rsidRDefault="009A3C2D" w:rsidP="00952E85">
            <w:pPr>
              <w:rPr>
                <w:sz w:val="22"/>
                <w:szCs w:val="22"/>
              </w:rPr>
            </w:pPr>
            <w:r w:rsidRPr="0082484A">
              <w:rPr>
                <w:sz w:val="22"/>
                <w:szCs w:val="22"/>
              </w:rPr>
              <w:t>Fixed value based on data from UK trial matching ASPIRE population</w:t>
            </w:r>
            <w:r w:rsidRPr="0082484A">
              <w:rPr>
                <w:sz w:val="22"/>
                <w:szCs w:val="22"/>
              </w:rPr>
              <w:fldChar w:fldCharType="begin"/>
            </w:r>
            <w:r w:rsidR="00952E85" w:rsidRPr="0082484A">
              <w:rPr>
                <w:sz w:val="22"/>
                <w:szCs w:val="22"/>
              </w:rPr>
              <w:instrText xml:space="preserve"> ADDIN EN.CITE &lt;EndNote&gt;&lt;Cite&gt;&lt;Author&gt;Guo&lt;/Author&gt;&lt;Year&gt;2016&lt;/Year&gt;&lt;RecNum&gt;3341&lt;/RecNum&gt;&lt;DisplayText&gt;&lt;style face="superscript"&gt;28&lt;/style&gt;&lt;/DisplayText&gt;&lt;record&gt;&lt;rec-number&gt;3341&lt;/rec-number&gt;&lt;foreign-keys&gt;&lt;key app="EN" db-id="5srzarxr5dr9r5es2r7xst9lr9t2rewrpffr" timestamp="1516096337"&gt;3341&lt;/key&gt;&lt;/foreign-keys&gt;&lt;ref-type name="Journal Article"&gt;17&lt;/ref-type&gt;&lt;contributors&gt;&lt;authors&gt;&lt;author&gt;Guo, V. Y. W.&lt;/author&gt;&lt;author&gt;Brage, S.&lt;/author&gt;&lt;author&gt;Ekelund, U.&lt;/author&gt;&lt;author&gt;Griffin, S. J.&lt;/author&gt;&lt;author&gt;Simmons, R. K.&lt;/author&gt;&lt;author&gt;ADDITION-Plus Study Team&lt;/author&gt;&lt;/authors&gt;&lt;/contributors&gt;&lt;auth-address&gt;Univ Cambridge, MRC Epidemiol Unit, Sch Clin Med, Cambridge, England&amp;#xD;Chinese Univ Hong Kong, Sch Publ Hlth, Div Biostat, Fac Med, Shatin, Hong Kong, Peoples R China&amp;#xD;Norwegian Sch Sport Sci, Dept Sports Med, Oslo, Norway&amp;#xD;Univ Cambridge, Primary Care Unit, Inst Publ Hlth, Cambridge, England&lt;/auth-address&gt;&lt;titles&gt;&lt;title&gt;Objectively measured sedentary time, physical activity and kidney function in people with recently diagnosed Type2 diabetes: a prospective cohort analysis&lt;/title&gt;&lt;secondary-title&gt;Diabetic Medicine&lt;/secondary-title&gt;&lt;alt-title&gt;Diabetic Med&lt;/alt-title&gt;&lt;/titles&gt;&lt;periodical&gt;&lt;full-title&gt;Diabetic Medicine&lt;/full-title&gt;&lt;/periodical&gt;&lt;pages&gt;1222-1229&lt;/pages&gt;&lt;volume&gt;33&lt;/volume&gt;&lt;number&gt;9&lt;/number&gt;&lt;keywords&gt;&lt;keyword&gt;randomized controlled-trial&lt;/keyword&gt;&lt;keyword&gt;behavior-change intervention&lt;/keyword&gt;&lt;keyword&gt;heart-rate&lt;/keyword&gt;&lt;keyword&gt;addition-plus&lt;/keyword&gt;&lt;keyword&gt;disease&lt;/keyword&gt;&lt;keyword&gt;accelerometry&lt;/keyword&gt;&lt;keyword&gt;equation&lt;/keyword&gt;&lt;keyword&gt;validity&lt;/keyword&gt;&lt;keyword&gt;adults&lt;/keyword&gt;&lt;keyword&gt;risk&lt;/keyword&gt;&lt;/keywords&gt;&lt;dates&gt;&lt;year&gt;2016&lt;/year&gt;&lt;pub-dates&gt;&lt;date&gt;Sep&lt;/date&gt;&lt;/pub-dates&gt;&lt;/dates&gt;&lt;isbn&gt;0742-3071&lt;/isbn&gt;&lt;accession-num&gt;WOS:000383280100009&lt;/accession-num&gt;&lt;urls&gt;&lt;related-urls&gt;&lt;url&gt;&amp;lt;Go to ISI&amp;gt;://WOS:000383280100009&lt;/url&gt;&lt;/related-urls&gt;&lt;/urls&gt;&lt;electronic-resource-num&gt;10.1111/dme.12886&lt;/electronic-resource-num&gt;&lt;language&gt;English&lt;/language&gt;&lt;/record&gt;&lt;/Cite&gt;&lt;/EndNote&gt;</w:instrText>
            </w:r>
            <w:r w:rsidRPr="0082484A">
              <w:rPr>
                <w:sz w:val="22"/>
                <w:szCs w:val="22"/>
              </w:rPr>
              <w:fldChar w:fldCharType="separate"/>
            </w:r>
            <w:r w:rsidR="00952E85" w:rsidRPr="0082484A">
              <w:rPr>
                <w:noProof/>
                <w:sz w:val="22"/>
                <w:szCs w:val="22"/>
                <w:vertAlign w:val="superscript"/>
              </w:rPr>
              <w:t>28</w:t>
            </w:r>
            <w:r w:rsidRPr="0082484A">
              <w:rPr>
                <w:sz w:val="22"/>
                <w:szCs w:val="22"/>
              </w:rPr>
              <w:fldChar w:fldCharType="end"/>
            </w:r>
          </w:p>
        </w:tc>
      </w:tr>
      <w:tr w:rsidR="009A3C2D" w:rsidRPr="0082484A" w14:paraId="479C41C6" w14:textId="77777777" w:rsidTr="00272145">
        <w:tc>
          <w:tcPr>
            <w:tcW w:w="3936" w:type="dxa"/>
          </w:tcPr>
          <w:p w14:paraId="6E11DB8B" w14:textId="77777777" w:rsidR="009A3C2D" w:rsidRPr="0082484A" w:rsidRDefault="009A3C2D" w:rsidP="00272145">
            <w:pPr>
              <w:rPr>
                <w:bCs/>
                <w:sz w:val="22"/>
                <w:szCs w:val="22"/>
              </w:rPr>
            </w:pPr>
            <w:r w:rsidRPr="0082484A">
              <w:rPr>
                <w:bCs/>
                <w:sz w:val="22"/>
                <w:szCs w:val="22"/>
              </w:rPr>
              <w:t>Pre-existing events*</w:t>
            </w:r>
          </w:p>
        </w:tc>
        <w:tc>
          <w:tcPr>
            <w:tcW w:w="2126" w:type="dxa"/>
          </w:tcPr>
          <w:p w14:paraId="3E204953" w14:textId="77777777" w:rsidR="009A3C2D" w:rsidRPr="0082484A" w:rsidRDefault="009A3C2D" w:rsidP="00272145">
            <w:pPr>
              <w:rPr>
                <w:sz w:val="22"/>
                <w:szCs w:val="22"/>
              </w:rPr>
            </w:pPr>
          </w:p>
        </w:tc>
        <w:tc>
          <w:tcPr>
            <w:tcW w:w="7087" w:type="dxa"/>
          </w:tcPr>
          <w:p w14:paraId="77A9C94B" w14:textId="77777777" w:rsidR="009A3C2D" w:rsidRPr="0082484A" w:rsidRDefault="009A3C2D" w:rsidP="00272145">
            <w:pPr>
              <w:rPr>
                <w:sz w:val="22"/>
                <w:szCs w:val="22"/>
              </w:rPr>
            </w:pPr>
            <w:r w:rsidRPr="0082484A">
              <w:rPr>
                <w:sz w:val="22"/>
                <w:szCs w:val="22"/>
              </w:rPr>
              <w:t>Data were not available and hence these parameters were not populated in the model</w:t>
            </w:r>
          </w:p>
        </w:tc>
      </w:tr>
      <w:tr w:rsidR="009A3C2D" w:rsidRPr="0082484A" w14:paraId="1073E1AC" w14:textId="77777777" w:rsidTr="00272145">
        <w:tc>
          <w:tcPr>
            <w:tcW w:w="3936" w:type="dxa"/>
          </w:tcPr>
          <w:p w14:paraId="509428C3" w14:textId="77777777" w:rsidR="009A3C2D" w:rsidRPr="0082484A" w:rsidRDefault="009A3C2D" w:rsidP="00272145">
            <w:pPr>
              <w:jc w:val="right"/>
              <w:rPr>
                <w:sz w:val="22"/>
                <w:szCs w:val="22"/>
              </w:rPr>
            </w:pPr>
            <w:r w:rsidRPr="0082484A">
              <w:rPr>
                <w:sz w:val="22"/>
                <w:szCs w:val="22"/>
              </w:rPr>
              <w:t>History of ischemic heart disease</w:t>
            </w:r>
          </w:p>
        </w:tc>
        <w:tc>
          <w:tcPr>
            <w:tcW w:w="2126" w:type="dxa"/>
          </w:tcPr>
          <w:p w14:paraId="5EECA6E4" w14:textId="77777777" w:rsidR="009A3C2D" w:rsidRPr="0082484A" w:rsidRDefault="009A3C2D" w:rsidP="00272145">
            <w:pPr>
              <w:rPr>
                <w:sz w:val="22"/>
                <w:szCs w:val="22"/>
              </w:rPr>
            </w:pPr>
            <w:r w:rsidRPr="0082484A">
              <w:rPr>
                <w:sz w:val="22"/>
                <w:szCs w:val="22"/>
              </w:rPr>
              <w:t>Null</w:t>
            </w:r>
          </w:p>
        </w:tc>
        <w:tc>
          <w:tcPr>
            <w:tcW w:w="7087" w:type="dxa"/>
          </w:tcPr>
          <w:p w14:paraId="37CB61CE" w14:textId="77777777" w:rsidR="009A3C2D" w:rsidRPr="0082484A" w:rsidRDefault="009A3C2D" w:rsidP="00272145">
            <w:pPr>
              <w:rPr>
                <w:sz w:val="22"/>
                <w:szCs w:val="22"/>
              </w:rPr>
            </w:pPr>
            <w:r w:rsidRPr="0082484A">
              <w:rPr>
                <w:sz w:val="22"/>
                <w:szCs w:val="22"/>
              </w:rPr>
              <w:t>N/A</w:t>
            </w:r>
          </w:p>
        </w:tc>
      </w:tr>
      <w:tr w:rsidR="009A3C2D" w:rsidRPr="0082484A" w14:paraId="1137DC6B" w14:textId="77777777" w:rsidTr="00272145">
        <w:tc>
          <w:tcPr>
            <w:tcW w:w="3936" w:type="dxa"/>
          </w:tcPr>
          <w:p w14:paraId="48A5420D" w14:textId="77777777" w:rsidR="009A3C2D" w:rsidRPr="0082484A" w:rsidRDefault="009A3C2D" w:rsidP="00272145">
            <w:pPr>
              <w:jc w:val="right"/>
              <w:rPr>
                <w:sz w:val="22"/>
                <w:szCs w:val="22"/>
              </w:rPr>
            </w:pPr>
            <w:r w:rsidRPr="0082484A">
              <w:rPr>
                <w:sz w:val="22"/>
                <w:szCs w:val="22"/>
              </w:rPr>
              <w:t xml:space="preserve">History of congestive heart failure </w:t>
            </w:r>
          </w:p>
        </w:tc>
        <w:tc>
          <w:tcPr>
            <w:tcW w:w="2126" w:type="dxa"/>
          </w:tcPr>
          <w:p w14:paraId="06E3B9E7" w14:textId="77777777" w:rsidR="009A3C2D" w:rsidRPr="0082484A" w:rsidRDefault="009A3C2D" w:rsidP="00272145">
            <w:pPr>
              <w:rPr>
                <w:sz w:val="22"/>
                <w:szCs w:val="22"/>
              </w:rPr>
            </w:pPr>
            <w:r w:rsidRPr="0082484A">
              <w:rPr>
                <w:sz w:val="22"/>
                <w:szCs w:val="22"/>
              </w:rPr>
              <w:t>Null</w:t>
            </w:r>
          </w:p>
        </w:tc>
        <w:tc>
          <w:tcPr>
            <w:tcW w:w="7087" w:type="dxa"/>
          </w:tcPr>
          <w:p w14:paraId="695F89D7" w14:textId="77777777" w:rsidR="009A3C2D" w:rsidRPr="0082484A" w:rsidRDefault="009A3C2D" w:rsidP="00272145">
            <w:pPr>
              <w:rPr>
                <w:sz w:val="22"/>
                <w:szCs w:val="22"/>
              </w:rPr>
            </w:pPr>
            <w:r w:rsidRPr="0082484A">
              <w:rPr>
                <w:sz w:val="22"/>
                <w:szCs w:val="22"/>
              </w:rPr>
              <w:t>N/A</w:t>
            </w:r>
          </w:p>
        </w:tc>
      </w:tr>
      <w:tr w:rsidR="009A3C2D" w:rsidRPr="0082484A" w14:paraId="11839235" w14:textId="77777777" w:rsidTr="00272145">
        <w:tc>
          <w:tcPr>
            <w:tcW w:w="3936" w:type="dxa"/>
          </w:tcPr>
          <w:p w14:paraId="270FAA26" w14:textId="77777777" w:rsidR="009A3C2D" w:rsidRPr="0082484A" w:rsidRDefault="009A3C2D" w:rsidP="00272145">
            <w:pPr>
              <w:jc w:val="right"/>
              <w:rPr>
                <w:sz w:val="22"/>
                <w:szCs w:val="22"/>
              </w:rPr>
            </w:pPr>
            <w:r w:rsidRPr="0082484A">
              <w:rPr>
                <w:sz w:val="22"/>
                <w:szCs w:val="22"/>
              </w:rPr>
              <w:t xml:space="preserve">History of amputation </w:t>
            </w:r>
          </w:p>
        </w:tc>
        <w:tc>
          <w:tcPr>
            <w:tcW w:w="2126" w:type="dxa"/>
          </w:tcPr>
          <w:p w14:paraId="1EFF2CE7" w14:textId="77777777" w:rsidR="009A3C2D" w:rsidRPr="0082484A" w:rsidRDefault="009A3C2D" w:rsidP="00272145">
            <w:pPr>
              <w:rPr>
                <w:sz w:val="22"/>
                <w:szCs w:val="22"/>
              </w:rPr>
            </w:pPr>
            <w:r w:rsidRPr="0082484A">
              <w:rPr>
                <w:sz w:val="22"/>
                <w:szCs w:val="22"/>
              </w:rPr>
              <w:t>Null</w:t>
            </w:r>
          </w:p>
        </w:tc>
        <w:tc>
          <w:tcPr>
            <w:tcW w:w="7087" w:type="dxa"/>
          </w:tcPr>
          <w:p w14:paraId="3E6A5D21" w14:textId="77777777" w:rsidR="009A3C2D" w:rsidRPr="0082484A" w:rsidRDefault="009A3C2D" w:rsidP="00272145">
            <w:pPr>
              <w:rPr>
                <w:sz w:val="22"/>
                <w:szCs w:val="22"/>
              </w:rPr>
            </w:pPr>
            <w:r w:rsidRPr="0082484A">
              <w:rPr>
                <w:sz w:val="22"/>
                <w:szCs w:val="22"/>
              </w:rPr>
              <w:t>N/A</w:t>
            </w:r>
          </w:p>
        </w:tc>
      </w:tr>
      <w:tr w:rsidR="009A3C2D" w:rsidRPr="0082484A" w14:paraId="5A2A699A" w14:textId="77777777" w:rsidTr="00272145">
        <w:tc>
          <w:tcPr>
            <w:tcW w:w="3936" w:type="dxa"/>
          </w:tcPr>
          <w:p w14:paraId="7F8CBF36" w14:textId="77777777" w:rsidR="009A3C2D" w:rsidRPr="0082484A" w:rsidRDefault="009A3C2D" w:rsidP="00272145">
            <w:pPr>
              <w:jc w:val="right"/>
              <w:rPr>
                <w:sz w:val="22"/>
                <w:szCs w:val="22"/>
              </w:rPr>
            </w:pPr>
            <w:r w:rsidRPr="0082484A">
              <w:rPr>
                <w:sz w:val="22"/>
                <w:szCs w:val="22"/>
              </w:rPr>
              <w:t xml:space="preserve">History of blindness in one eye </w:t>
            </w:r>
          </w:p>
        </w:tc>
        <w:tc>
          <w:tcPr>
            <w:tcW w:w="2126" w:type="dxa"/>
          </w:tcPr>
          <w:p w14:paraId="55907127" w14:textId="77777777" w:rsidR="009A3C2D" w:rsidRPr="0082484A" w:rsidRDefault="009A3C2D" w:rsidP="00272145">
            <w:pPr>
              <w:rPr>
                <w:sz w:val="22"/>
                <w:szCs w:val="22"/>
              </w:rPr>
            </w:pPr>
            <w:r w:rsidRPr="0082484A">
              <w:rPr>
                <w:sz w:val="22"/>
                <w:szCs w:val="22"/>
              </w:rPr>
              <w:t>Null</w:t>
            </w:r>
          </w:p>
        </w:tc>
        <w:tc>
          <w:tcPr>
            <w:tcW w:w="7087" w:type="dxa"/>
          </w:tcPr>
          <w:p w14:paraId="2151CCCC" w14:textId="77777777" w:rsidR="009A3C2D" w:rsidRPr="0082484A" w:rsidRDefault="009A3C2D" w:rsidP="00272145">
            <w:pPr>
              <w:rPr>
                <w:sz w:val="22"/>
                <w:szCs w:val="22"/>
              </w:rPr>
            </w:pPr>
            <w:r w:rsidRPr="0082484A">
              <w:rPr>
                <w:sz w:val="22"/>
                <w:szCs w:val="22"/>
              </w:rPr>
              <w:t>N/A</w:t>
            </w:r>
          </w:p>
        </w:tc>
      </w:tr>
      <w:tr w:rsidR="009A3C2D" w:rsidRPr="0082484A" w14:paraId="1D2B58A5" w14:textId="77777777" w:rsidTr="00272145">
        <w:tc>
          <w:tcPr>
            <w:tcW w:w="3936" w:type="dxa"/>
          </w:tcPr>
          <w:p w14:paraId="28221B54" w14:textId="77777777" w:rsidR="009A3C2D" w:rsidRPr="0082484A" w:rsidRDefault="009A3C2D" w:rsidP="00272145">
            <w:pPr>
              <w:jc w:val="right"/>
              <w:rPr>
                <w:sz w:val="22"/>
                <w:szCs w:val="22"/>
              </w:rPr>
            </w:pPr>
            <w:r w:rsidRPr="0082484A">
              <w:rPr>
                <w:sz w:val="22"/>
                <w:szCs w:val="22"/>
              </w:rPr>
              <w:t xml:space="preserve">History of stroke </w:t>
            </w:r>
          </w:p>
        </w:tc>
        <w:tc>
          <w:tcPr>
            <w:tcW w:w="2126" w:type="dxa"/>
          </w:tcPr>
          <w:p w14:paraId="3F7F2BF3" w14:textId="77777777" w:rsidR="009A3C2D" w:rsidRPr="0082484A" w:rsidRDefault="009A3C2D" w:rsidP="00272145">
            <w:pPr>
              <w:rPr>
                <w:sz w:val="22"/>
                <w:szCs w:val="22"/>
              </w:rPr>
            </w:pPr>
            <w:r w:rsidRPr="0082484A">
              <w:rPr>
                <w:sz w:val="22"/>
                <w:szCs w:val="22"/>
              </w:rPr>
              <w:t>Null</w:t>
            </w:r>
          </w:p>
        </w:tc>
        <w:tc>
          <w:tcPr>
            <w:tcW w:w="7087" w:type="dxa"/>
          </w:tcPr>
          <w:p w14:paraId="0CC5D93B" w14:textId="77777777" w:rsidR="009A3C2D" w:rsidRPr="0082484A" w:rsidRDefault="009A3C2D" w:rsidP="00272145">
            <w:pPr>
              <w:rPr>
                <w:sz w:val="22"/>
                <w:szCs w:val="22"/>
              </w:rPr>
            </w:pPr>
            <w:r w:rsidRPr="0082484A">
              <w:rPr>
                <w:sz w:val="22"/>
                <w:szCs w:val="22"/>
              </w:rPr>
              <w:t>N/A</w:t>
            </w:r>
          </w:p>
        </w:tc>
      </w:tr>
      <w:tr w:rsidR="009A3C2D" w:rsidRPr="0082484A" w14:paraId="2B02C021" w14:textId="77777777" w:rsidTr="00272145">
        <w:tc>
          <w:tcPr>
            <w:tcW w:w="3936" w:type="dxa"/>
          </w:tcPr>
          <w:p w14:paraId="22F46BDD" w14:textId="77777777" w:rsidR="009A3C2D" w:rsidRPr="0082484A" w:rsidRDefault="009A3C2D" w:rsidP="00272145">
            <w:pPr>
              <w:jc w:val="right"/>
              <w:rPr>
                <w:sz w:val="22"/>
                <w:szCs w:val="22"/>
              </w:rPr>
            </w:pPr>
            <w:r w:rsidRPr="0082484A">
              <w:rPr>
                <w:sz w:val="22"/>
                <w:szCs w:val="22"/>
              </w:rPr>
              <w:t>History of myocardial infarction</w:t>
            </w:r>
          </w:p>
        </w:tc>
        <w:tc>
          <w:tcPr>
            <w:tcW w:w="2126" w:type="dxa"/>
          </w:tcPr>
          <w:p w14:paraId="15DAC06C" w14:textId="77777777" w:rsidR="009A3C2D" w:rsidRPr="0082484A" w:rsidRDefault="009A3C2D" w:rsidP="00272145">
            <w:pPr>
              <w:rPr>
                <w:sz w:val="22"/>
                <w:szCs w:val="22"/>
              </w:rPr>
            </w:pPr>
            <w:r w:rsidRPr="0082484A">
              <w:rPr>
                <w:sz w:val="22"/>
                <w:szCs w:val="22"/>
              </w:rPr>
              <w:t>Null</w:t>
            </w:r>
          </w:p>
        </w:tc>
        <w:tc>
          <w:tcPr>
            <w:tcW w:w="7087" w:type="dxa"/>
          </w:tcPr>
          <w:p w14:paraId="0414BF7D" w14:textId="77777777" w:rsidR="009A3C2D" w:rsidRPr="0082484A" w:rsidRDefault="009A3C2D" w:rsidP="00272145">
            <w:pPr>
              <w:rPr>
                <w:sz w:val="22"/>
                <w:szCs w:val="22"/>
              </w:rPr>
            </w:pPr>
            <w:r w:rsidRPr="0082484A">
              <w:rPr>
                <w:sz w:val="22"/>
                <w:szCs w:val="22"/>
              </w:rPr>
              <w:t>N/A</w:t>
            </w:r>
          </w:p>
        </w:tc>
      </w:tr>
      <w:tr w:rsidR="009A3C2D" w:rsidRPr="0082484A" w14:paraId="330C9B92" w14:textId="77777777" w:rsidTr="00272145">
        <w:tc>
          <w:tcPr>
            <w:tcW w:w="3936" w:type="dxa"/>
          </w:tcPr>
          <w:p w14:paraId="239181CA" w14:textId="77777777" w:rsidR="009A3C2D" w:rsidRPr="0082484A" w:rsidRDefault="009A3C2D" w:rsidP="00272145">
            <w:pPr>
              <w:jc w:val="right"/>
              <w:rPr>
                <w:sz w:val="22"/>
                <w:szCs w:val="22"/>
              </w:rPr>
            </w:pPr>
            <w:r w:rsidRPr="0082484A">
              <w:rPr>
                <w:sz w:val="22"/>
                <w:szCs w:val="22"/>
              </w:rPr>
              <w:t>History of ulcer</w:t>
            </w:r>
          </w:p>
        </w:tc>
        <w:tc>
          <w:tcPr>
            <w:tcW w:w="2126" w:type="dxa"/>
          </w:tcPr>
          <w:p w14:paraId="202CE705" w14:textId="77777777" w:rsidR="009A3C2D" w:rsidRPr="0082484A" w:rsidRDefault="009A3C2D" w:rsidP="00272145">
            <w:pPr>
              <w:rPr>
                <w:sz w:val="22"/>
                <w:szCs w:val="22"/>
              </w:rPr>
            </w:pPr>
            <w:r w:rsidRPr="0082484A">
              <w:rPr>
                <w:sz w:val="22"/>
                <w:szCs w:val="22"/>
              </w:rPr>
              <w:t>Null</w:t>
            </w:r>
          </w:p>
        </w:tc>
        <w:tc>
          <w:tcPr>
            <w:tcW w:w="7087" w:type="dxa"/>
          </w:tcPr>
          <w:p w14:paraId="75A76CFA" w14:textId="77777777" w:rsidR="009A3C2D" w:rsidRPr="0082484A" w:rsidRDefault="009A3C2D" w:rsidP="00272145">
            <w:pPr>
              <w:rPr>
                <w:sz w:val="22"/>
                <w:szCs w:val="22"/>
              </w:rPr>
            </w:pPr>
            <w:r w:rsidRPr="0082484A">
              <w:rPr>
                <w:sz w:val="22"/>
                <w:szCs w:val="22"/>
              </w:rPr>
              <w:t>N/A</w:t>
            </w:r>
          </w:p>
        </w:tc>
      </w:tr>
      <w:tr w:rsidR="009A3C2D" w:rsidRPr="0082484A" w14:paraId="496B2E82" w14:textId="77777777" w:rsidTr="00272145">
        <w:tc>
          <w:tcPr>
            <w:tcW w:w="3936" w:type="dxa"/>
          </w:tcPr>
          <w:p w14:paraId="05B9077C" w14:textId="77777777" w:rsidR="009A3C2D" w:rsidRPr="0082484A" w:rsidRDefault="009A3C2D" w:rsidP="00272145">
            <w:pPr>
              <w:jc w:val="right"/>
              <w:rPr>
                <w:sz w:val="22"/>
                <w:szCs w:val="22"/>
              </w:rPr>
            </w:pPr>
            <w:r w:rsidRPr="0082484A">
              <w:rPr>
                <w:sz w:val="22"/>
                <w:szCs w:val="22"/>
              </w:rPr>
              <w:t>Discounting start year</w:t>
            </w:r>
          </w:p>
        </w:tc>
        <w:tc>
          <w:tcPr>
            <w:tcW w:w="2126" w:type="dxa"/>
          </w:tcPr>
          <w:p w14:paraId="2660D28D" w14:textId="77777777" w:rsidR="009A3C2D" w:rsidRPr="0082484A" w:rsidRDefault="009A3C2D" w:rsidP="00272145">
            <w:pPr>
              <w:rPr>
                <w:sz w:val="22"/>
                <w:szCs w:val="22"/>
              </w:rPr>
            </w:pPr>
            <w:r w:rsidRPr="0082484A">
              <w:rPr>
                <w:sz w:val="22"/>
                <w:szCs w:val="22"/>
              </w:rPr>
              <w:t>0</w:t>
            </w:r>
          </w:p>
        </w:tc>
        <w:tc>
          <w:tcPr>
            <w:tcW w:w="7087" w:type="dxa"/>
          </w:tcPr>
          <w:p w14:paraId="6B7A2F08" w14:textId="77777777" w:rsidR="009A3C2D" w:rsidRPr="0082484A" w:rsidRDefault="009A3C2D" w:rsidP="00272145">
            <w:pPr>
              <w:rPr>
                <w:sz w:val="22"/>
                <w:szCs w:val="22"/>
              </w:rPr>
            </w:pPr>
            <w:r w:rsidRPr="0082484A">
              <w:rPr>
                <w:sz w:val="22"/>
                <w:szCs w:val="22"/>
              </w:rPr>
              <w:t>N/A</w:t>
            </w:r>
          </w:p>
        </w:tc>
      </w:tr>
    </w:tbl>
    <w:p w14:paraId="2FE3FA95" w14:textId="77777777" w:rsidR="009A3C2D" w:rsidRPr="0082484A" w:rsidRDefault="009A3C2D" w:rsidP="009A3C2D">
      <w:pPr>
        <w:rPr>
          <w:sz w:val="22"/>
          <w:szCs w:val="22"/>
        </w:rPr>
        <w:sectPr w:rsidR="009A3C2D" w:rsidRPr="0082484A" w:rsidSect="00272145">
          <w:pgSz w:w="11906" w:h="16838"/>
          <w:pgMar w:top="1440" w:right="1440" w:bottom="1440" w:left="1440" w:header="709" w:footer="709" w:gutter="0"/>
          <w:cols w:space="708"/>
          <w:docGrid w:linePitch="360"/>
        </w:sectPr>
      </w:pPr>
      <w:r w:rsidRPr="0082484A">
        <w:rPr>
          <w:sz w:val="22"/>
          <w:szCs w:val="22"/>
        </w:rPr>
        <w:t>*Not available from ASPIRE</w:t>
      </w:r>
    </w:p>
    <w:p w14:paraId="2EA33496" w14:textId="77777777" w:rsidR="009A3C2D" w:rsidRPr="0082484A" w:rsidRDefault="009A3C2D" w:rsidP="009A3C2D">
      <w:pPr>
        <w:spacing w:before="0" w:after="160" w:line="259" w:lineRule="auto"/>
        <w:rPr>
          <w:rFonts w:eastAsia="Calibri"/>
          <w:color w:val="FF0000"/>
          <w:sz w:val="22"/>
          <w:szCs w:val="22"/>
        </w:rPr>
      </w:pPr>
      <w:bookmarkStart w:id="375" w:name="IDX36"/>
      <w:bookmarkEnd w:id="305"/>
      <w:bookmarkEnd w:id="375"/>
    </w:p>
    <w:p w14:paraId="77D30CEC" w14:textId="77777777" w:rsidR="001D1443" w:rsidRPr="0082484A" w:rsidRDefault="001D1443">
      <w:pPr>
        <w:spacing w:before="0" w:after="200"/>
        <w:rPr>
          <w:bCs/>
          <w:sz w:val="22"/>
          <w:szCs w:val="22"/>
        </w:rPr>
      </w:pPr>
      <w:bookmarkStart w:id="376" w:name="_Ref501107930"/>
      <w:bookmarkStart w:id="377" w:name="_Toc8728159"/>
      <w:r w:rsidRPr="0082484A">
        <w:rPr>
          <w:bCs/>
          <w:sz w:val="22"/>
          <w:szCs w:val="22"/>
        </w:rPr>
        <w:br w:type="page"/>
      </w:r>
    </w:p>
    <w:p w14:paraId="4625230D" w14:textId="75D036E4" w:rsidR="009A3C2D" w:rsidRPr="0082484A" w:rsidRDefault="009A3C2D" w:rsidP="009A3C2D">
      <w:pPr>
        <w:spacing w:before="0" w:line="240" w:lineRule="auto"/>
        <w:rPr>
          <w:rFonts w:eastAsia="Times New Roman"/>
          <w:sz w:val="22"/>
          <w:szCs w:val="22"/>
          <w:lang w:eastAsia="en-GB"/>
        </w:rPr>
      </w:pPr>
      <w:bookmarkStart w:id="378" w:name="_Toc1952683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102</w:t>
      </w:r>
      <w:r w:rsidRPr="0082484A">
        <w:rPr>
          <w:bCs/>
          <w:noProof/>
          <w:sz w:val="22"/>
          <w:szCs w:val="22"/>
        </w:rPr>
        <w:fldChar w:fldCharType="end"/>
      </w:r>
      <w:bookmarkEnd w:id="376"/>
      <w:r w:rsidRPr="0082484A">
        <w:rPr>
          <w:bCs/>
          <w:sz w:val="22"/>
          <w:szCs w:val="22"/>
        </w:rPr>
        <w:t>: Number of practices developing action plans following receipt of outreach visit 1 (by trial arm) (WP5)</w:t>
      </w:r>
      <w:bookmarkEnd w:id="377"/>
      <w:bookmarkEnd w:id="378"/>
    </w:p>
    <w:tbl>
      <w:tblPr>
        <w:tblW w:w="0" w:type="auto"/>
        <w:tblLayout w:type="fixed"/>
        <w:tblCellMar>
          <w:left w:w="0" w:type="dxa"/>
          <w:right w:w="0" w:type="dxa"/>
        </w:tblCellMar>
        <w:tblLook w:val="0000" w:firstRow="0" w:lastRow="0" w:firstColumn="0" w:lastColumn="0" w:noHBand="0" w:noVBand="0"/>
      </w:tblPr>
      <w:tblGrid>
        <w:gridCol w:w="1417"/>
        <w:gridCol w:w="1474"/>
        <w:gridCol w:w="1474"/>
        <w:gridCol w:w="1474"/>
        <w:gridCol w:w="1474"/>
        <w:gridCol w:w="1474"/>
      </w:tblGrid>
      <w:tr w:rsidR="009A3C2D" w:rsidRPr="0082484A" w14:paraId="2EE156F5" w14:textId="77777777" w:rsidTr="00272145">
        <w:trPr>
          <w:cantSplit/>
          <w:tblHeader/>
        </w:trPr>
        <w:tc>
          <w:tcPr>
            <w:tcW w:w="1417"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9BE8B48"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bookmarkStart w:id="379" w:name="IDX38"/>
            <w:bookmarkEnd w:id="379"/>
            <w:r w:rsidRPr="0082484A">
              <w:rPr>
                <w:rFonts w:eastAsia="Times New Roman"/>
                <w:bCs/>
                <w:sz w:val="22"/>
                <w:szCs w:val="22"/>
                <w:lang w:eastAsia="en-GB"/>
              </w:rPr>
              <w:t>Action plan developed and received</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DF20FAA"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Diabetes control </w:t>
            </w:r>
          </w:p>
          <w:p w14:paraId="0A4FC3AE"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(n=20)</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112924C"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Risky prescribing (n=25)</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30834E45"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Blood pressure control </w:t>
            </w:r>
          </w:p>
          <w:p w14:paraId="385E6CAE"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(n=11)</w:t>
            </w:r>
          </w:p>
        </w:tc>
        <w:tc>
          <w:tcPr>
            <w:tcW w:w="1474" w:type="dxa"/>
            <w:tcBorders>
              <w:top w:val="single" w:sz="11" w:space="0" w:color="000000"/>
              <w:left w:val="nil"/>
              <w:bottom w:val="single" w:sz="4" w:space="0" w:color="000000"/>
              <w:right w:val="nil"/>
            </w:tcBorders>
            <w:shd w:val="clear" w:color="auto" w:fill="FFFFFF"/>
            <w:tcMar>
              <w:left w:w="67" w:type="dxa"/>
              <w:right w:w="67" w:type="dxa"/>
            </w:tcMar>
            <w:vAlign w:val="bottom"/>
          </w:tcPr>
          <w:p w14:paraId="197C3138"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Anticoagulation in AF (n=11)</w:t>
            </w:r>
          </w:p>
        </w:tc>
        <w:tc>
          <w:tcPr>
            <w:tcW w:w="1474"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4C78FB4C"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 xml:space="preserve">Total </w:t>
            </w:r>
          </w:p>
          <w:p w14:paraId="584D7729" w14:textId="77777777" w:rsidR="009A3C2D" w:rsidRPr="0082484A" w:rsidRDefault="009A3C2D" w:rsidP="009A3C2D">
            <w:pPr>
              <w:autoSpaceDE w:val="0"/>
              <w:autoSpaceDN w:val="0"/>
              <w:adjustRightInd w:val="0"/>
              <w:spacing w:before="67" w:after="67" w:line="240" w:lineRule="auto"/>
              <w:rPr>
                <w:rFonts w:eastAsia="Times New Roman"/>
                <w:bCs/>
                <w:sz w:val="22"/>
                <w:szCs w:val="22"/>
                <w:lang w:eastAsia="en-GB"/>
              </w:rPr>
            </w:pPr>
            <w:r w:rsidRPr="0082484A">
              <w:rPr>
                <w:rFonts w:eastAsia="Times New Roman"/>
                <w:bCs/>
                <w:sz w:val="22"/>
                <w:szCs w:val="22"/>
                <w:lang w:eastAsia="en-GB"/>
              </w:rPr>
              <w:t>(n=67)</w:t>
            </w:r>
          </w:p>
        </w:tc>
      </w:tr>
      <w:tr w:rsidR="009A3C2D" w:rsidRPr="0082484A" w14:paraId="071C5DEB" w14:textId="77777777" w:rsidTr="00272145">
        <w:trPr>
          <w:cantSplit/>
        </w:trPr>
        <w:tc>
          <w:tcPr>
            <w:tcW w:w="1417" w:type="dxa"/>
            <w:tcBorders>
              <w:top w:val="nil"/>
              <w:left w:val="single" w:sz="11" w:space="0" w:color="000000"/>
              <w:bottom w:val="nil"/>
              <w:right w:val="nil"/>
            </w:tcBorders>
            <w:shd w:val="clear" w:color="auto" w:fill="FFFFFF"/>
            <w:tcMar>
              <w:left w:w="67" w:type="dxa"/>
              <w:right w:w="67" w:type="dxa"/>
            </w:tcMar>
          </w:tcPr>
          <w:p w14:paraId="15D1C08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Yes</w:t>
            </w:r>
          </w:p>
        </w:tc>
        <w:tc>
          <w:tcPr>
            <w:tcW w:w="1474" w:type="dxa"/>
            <w:tcBorders>
              <w:top w:val="nil"/>
              <w:left w:val="nil"/>
              <w:bottom w:val="nil"/>
              <w:right w:val="nil"/>
            </w:tcBorders>
            <w:shd w:val="clear" w:color="auto" w:fill="FFFFFF"/>
            <w:tcMar>
              <w:left w:w="67" w:type="dxa"/>
              <w:right w:w="67" w:type="dxa"/>
            </w:tcMar>
          </w:tcPr>
          <w:p w14:paraId="2AD3FED8"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19 (95.00%)</w:t>
            </w:r>
          </w:p>
        </w:tc>
        <w:tc>
          <w:tcPr>
            <w:tcW w:w="1474" w:type="dxa"/>
            <w:tcBorders>
              <w:top w:val="nil"/>
              <w:left w:val="nil"/>
              <w:bottom w:val="nil"/>
              <w:right w:val="nil"/>
            </w:tcBorders>
            <w:shd w:val="clear" w:color="auto" w:fill="FFFFFF"/>
            <w:tcMar>
              <w:left w:w="67" w:type="dxa"/>
              <w:right w:w="67" w:type="dxa"/>
            </w:tcMar>
          </w:tcPr>
          <w:p w14:paraId="21E46B5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24 (96.00%)</w:t>
            </w:r>
          </w:p>
        </w:tc>
        <w:tc>
          <w:tcPr>
            <w:tcW w:w="1474" w:type="dxa"/>
            <w:tcBorders>
              <w:top w:val="nil"/>
              <w:left w:val="nil"/>
              <w:bottom w:val="nil"/>
              <w:right w:val="nil"/>
            </w:tcBorders>
            <w:shd w:val="clear" w:color="auto" w:fill="FFFFFF"/>
            <w:tcMar>
              <w:left w:w="67" w:type="dxa"/>
              <w:right w:w="67" w:type="dxa"/>
            </w:tcMar>
          </w:tcPr>
          <w:p w14:paraId="52F72F17"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10 (90.91%)</w:t>
            </w:r>
          </w:p>
        </w:tc>
        <w:tc>
          <w:tcPr>
            <w:tcW w:w="1474" w:type="dxa"/>
            <w:tcBorders>
              <w:top w:val="nil"/>
              <w:left w:val="nil"/>
              <w:bottom w:val="nil"/>
              <w:right w:val="nil"/>
            </w:tcBorders>
            <w:shd w:val="clear" w:color="auto" w:fill="FFFFFF"/>
            <w:tcMar>
              <w:left w:w="67" w:type="dxa"/>
              <w:right w:w="67" w:type="dxa"/>
            </w:tcMar>
          </w:tcPr>
          <w:p w14:paraId="6FD6659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10 (90.91%)</w:t>
            </w:r>
          </w:p>
        </w:tc>
        <w:tc>
          <w:tcPr>
            <w:tcW w:w="1474" w:type="dxa"/>
            <w:tcBorders>
              <w:top w:val="nil"/>
              <w:left w:val="nil"/>
              <w:bottom w:val="nil"/>
              <w:right w:val="single" w:sz="11" w:space="0" w:color="000000"/>
            </w:tcBorders>
            <w:shd w:val="clear" w:color="auto" w:fill="FFFFFF"/>
            <w:tcMar>
              <w:left w:w="67" w:type="dxa"/>
              <w:right w:w="67" w:type="dxa"/>
            </w:tcMar>
          </w:tcPr>
          <w:p w14:paraId="0F0327D9"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63 (94.03%)</w:t>
            </w:r>
          </w:p>
        </w:tc>
      </w:tr>
      <w:tr w:rsidR="009A3C2D" w:rsidRPr="0082484A" w14:paraId="6406D13D" w14:textId="77777777" w:rsidTr="00272145">
        <w:trPr>
          <w:cantSplit/>
        </w:trPr>
        <w:tc>
          <w:tcPr>
            <w:tcW w:w="1417" w:type="dxa"/>
            <w:tcBorders>
              <w:top w:val="nil"/>
              <w:left w:val="single" w:sz="11" w:space="0" w:color="000000"/>
              <w:bottom w:val="nil"/>
              <w:right w:val="nil"/>
            </w:tcBorders>
            <w:shd w:val="clear" w:color="auto" w:fill="FFFFFF"/>
            <w:tcMar>
              <w:left w:w="67" w:type="dxa"/>
              <w:right w:w="67" w:type="dxa"/>
            </w:tcMar>
          </w:tcPr>
          <w:p w14:paraId="664BA8AE"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No</w:t>
            </w:r>
          </w:p>
        </w:tc>
        <w:tc>
          <w:tcPr>
            <w:tcW w:w="1474" w:type="dxa"/>
            <w:tcBorders>
              <w:top w:val="nil"/>
              <w:left w:val="nil"/>
              <w:bottom w:val="nil"/>
              <w:right w:val="nil"/>
            </w:tcBorders>
            <w:shd w:val="clear" w:color="auto" w:fill="FFFFFF"/>
            <w:tcMar>
              <w:left w:w="67" w:type="dxa"/>
              <w:right w:w="67" w:type="dxa"/>
            </w:tcMar>
          </w:tcPr>
          <w:p w14:paraId="7F9310C5"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(5.00%)</w:t>
            </w:r>
          </w:p>
        </w:tc>
        <w:tc>
          <w:tcPr>
            <w:tcW w:w="1474" w:type="dxa"/>
            <w:tcBorders>
              <w:top w:val="nil"/>
              <w:left w:val="nil"/>
              <w:bottom w:val="nil"/>
              <w:right w:val="nil"/>
            </w:tcBorders>
            <w:shd w:val="clear" w:color="auto" w:fill="FFFFFF"/>
            <w:tcMar>
              <w:left w:w="67" w:type="dxa"/>
              <w:right w:w="67" w:type="dxa"/>
            </w:tcMar>
          </w:tcPr>
          <w:p w14:paraId="47F7558B"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(4.00%)</w:t>
            </w:r>
          </w:p>
        </w:tc>
        <w:tc>
          <w:tcPr>
            <w:tcW w:w="1474" w:type="dxa"/>
            <w:tcBorders>
              <w:top w:val="nil"/>
              <w:left w:val="nil"/>
              <w:bottom w:val="nil"/>
              <w:right w:val="nil"/>
            </w:tcBorders>
            <w:shd w:val="clear" w:color="auto" w:fill="FFFFFF"/>
            <w:tcMar>
              <w:left w:w="67" w:type="dxa"/>
              <w:right w:w="67" w:type="dxa"/>
            </w:tcMar>
          </w:tcPr>
          <w:p w14:paraId="769998A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(9.09%)</w:t>
            </w:r>
          </w:p>
        </w:tc>
        <w:tc>
          <w:tcPr>
            <w:tcW w:w="1474" w:type="dxa"/>
            <w:tcBorders>
              <w:top w:val="nil"/>
              <w:left w:val="nil"/>
              <w:bottom w:val="nil"/>
              <w:right w:val="nil"/>
            </w:tcBorders>
            <w:shd w:val="clear" w:color="auto" w:fill="FFFFFF"/>
            <w:tcMar>
              <w:left w:w="67" w:type="dxa"/>
              <w:right w:w="67" w:type="dxa"/>
            </w:tcMar>
          </w:tcPr>
          <w:p w14:paraId="7D8117E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1 (9.09%)</w:t>
            </w:r>
          </w:p>
        </w:tc>
        <w:tc>
          <w:tcPr>
            <w:tcW w:w="1474" w:type="dxa"/>
            <w:tcBorders>
              <w:top w:val="nil"/>
              <w:left w:val="nil"/>
              <w:bottom w:val="nil"/>
              <w:right w:val="single" w:sz="11" w:space="0" w:color="000000"/>
            </w:tcBorders>
            <w:shd w:val="clear" w:color="auto" w:fill="FFFFFF"/>
            <w:tcMar>
              <w:left w:w="67" w:type="dxa"/>
              <w:right w:w="67" w:type="dxa"/>
            </w:tcMar>
          </w:tcPr>
          <w:p w14:paraId="5C7DDFFD"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r w:rsidRPr="0082484A">
              <w:rPr>
                <w:rFonts w:eastAsia="Times New Roman"/>
                <w:sz w:val="22"/>
                <w:szCs w:val="22"/>
                <w:lang w:eastAsia="en-GB"/>
              </w:rPr>
              <w:t>4 (5.97%)</w:t>
            </w:r>
          </w:p>
        </w:tc>
      </w:tr>
      <w:tr w:rsidR="009A3C2D" w:rsidRPr="0082484A" w14:paraId="590723C2" w14:textId="77777777" w:rsidTr="00272145">
        <w:trPr>
          <w:cantSplit/>
        </w:trPr>
        <w:tc>
          <w:tcPr>
            <w:tcW w:w="1417" w:type="dxa"/>
            <w:tcBorders>
              <w:top w:val="nil"/>
              <w:left w:val="single" w:sz="11" w:space="0" w:color="000000"/>
              <w:bottom w:val="single" w:sz="11" w:space="0" w:color="000000"/>
              <w:right w:val="nil"/>
            </w:tcBorders>
            <w:shd w:val="clear" w:color="auto" w:fill="FFFFFF"/>
            <w:tcMar>
              <w:left w:w="67" w:type="dxa"/>
              <w:right w:w="67" w:type="dxa"/>
            </w:tcMar>
          </w:tcPr>
          <w:p w14:paraId="7495F35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37A44251"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3390F9D0"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5BCC78FA"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74" w:type="dxa"/>
            <w:tcBorders>
              <w:top w:val="nil"/>
              <w:left w:val="nil"/>
              <w:bottom w:val="single" w:sz="11" w:space="0" w:color="000000"/>
              <w:right w:val="nil"/>
            </w:tcBorders>
            <w:shd w:val="clear" w:color="auto" w:fill="FFFFFF"/>
            <w:tcMar>
              <w:left w:w="67" w:type="dxa"/>
              <w:right w:w="67" w:type="dxa"/>
            </w:tcMar>
          </w:tcPr>
          <w:p w14:paraId="4E49F58C"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c>
          <w:tcPr>
            <w:tcW w:w="1474" w:type="dxa"/>
            <w:tcBorders>
              <w:top w:val="nil"/>
              <w:left w:val="nil"/>
              <w:bottom w:val="single" w:sz="11" w:space="0" w:color="000000"/>
              <w:right w:val="single" w:sz="11" w:space="0" w:color="000000"/>
            </w:tcBorders>
            <w:shd w:val="clear" w:color="auto" w:fill="FFFFFF"/>
            <w:tcMar>
              <w:left w:w="67" w:type="dxa"/>
              <w:right w:w="67" w:type="dxa"/>
            </w:tcMar>
          </w:tcPr>
          <w:p w14:paraId="065DD6D3" w14:textId="77777777" w:rsidR="009A3C2D" w:rsidRPr="0082484A" w:rsidRDefault="009A3C2D" w:rsidP="009A3C2D">
            <w:pPr>
              <w:autoSpaceDE w:val="0"/>
              <w:autoSpaceDN w:val="0"/>
              <w:adjustRightInd w:val="0"/>
              <w:spacing w:before="67" w:after="67" w:line="240" w:lineRule="auto"/>
              <w:rPr>
                <w:rFonts w:eastAsia="Times New Roman"/>
                <w:sz w:val="22"/>
                <w:szCs w:val="22"/>
                <w:lang w:eastAsia="en-GB"/>
              </w:rPr>
            </w:pPr>
          </w:p>
        </w:tc>
      </w:tr>
    </w:tbl>
    <w:p w14:paraId="01F3B1C8" w14:textId="77777777" w:rsidR="009A3C2D" w:rsidRPr="0082484A" w:rsidRDefault="009A3C2D" w:rsidP="009A3C2D">
      <w:pPr>
        <w:spacing w:before="0" w:after="160" w:line="259" w:lineRule="auto"/>
        <w:rPr>
          <w:rFonts w:eastAsia="Calibri"/>
          <w:color w:val="FF0000"/>
          <w:sz w:val="22"/>
          <w:szCs w:val="22"/>
        </w:rPr>
      </w:pPr>
    </w:p>
    <w:p w14:paraId="00A86ECE" w14:textId="77777777" w:rsidR="001D1443" w:rsidRPr="0082484A" w:rsidRDefault="001D1443">
      <w:pPr>
        <w:spacing w:before="0" w:after="200"/>
        <w:rPr>
          <w:bCs/>
          <w:sz w:val="22"/>
          <w:szCs w:val="22"/>
        </w:rPr>
      </w:pPr>
      <w:bookmarkStart w:id="380" w:name="_Ref501107933"/>
      <w:bookmarkStart w:id="381" w:name="_Toc8728160"/>
      <w:r w:rsidRPr="0082484A">
        <w:rPr>
          <w:bCs/>
          <w:sz w:val="22"/>
          <w:szCs w:val="22"/>
        </w:rPr>
        <w:br w:type="page"/>
      </w:r>
    </w:p>
    <w:p w14:paraId="15989EEA" w14:textId="4C1992E7" w:rsidR="009A3C2D" w:rsidRPr="0082484A" w:rsidRDefault="009A3C2D" w:rsidP="009A3C2D">
      <w:pPr>
        <w:spacing w:before="0" w:line="240" w:lineRule="auto"/>
        <w:rPr>
          <w:rFonts w:eastAsia="Calibri"/>
          <w:sz w:val="22"/>
          <w:szCs w:val="22"/>
        </w:rPr>
      </w:pPr>
      <w:bookmarkStart w:id="382" w:name="_Ref501107952"/>
      <w:bookmarkStart w:id="383" w:name="_Toc8728162"/>
      <w:bookmarkStart w:id="384" w:name="_Toc19526832"/>
      <w:bookmarkEnd w:id="380"/>
      <w:bookmarkEnd w:id="381"/>
      <w:r w:rsidRPr="0082484A">
        <w:rPr>
          <w:bCs/>
          <w:sz w:val="22"/>
          <w:szCs w:val="22"/>
        </w:rPr>
        <w:t xml:space="preserve">Table </w:t>
      </w:r>
      <w:r w:rsidRPr="0082484A">
        <w:rPr>
          <w:bCs/>
          <w:noProof/>
          <w:sz w:val="22"/>
          <w:szCs w:val="22"/>
        </w:rPr>
        <w:fldChar w:fldCharType="begin"/>
      </w:r>
      <w:r w:rsidRPr="0082484A">
        <w:rPr>
          <w:bCs/>
          <w:noProof/>
          <w:sz w:val="22"/>
          <w:szCs w:val="22"/>
        </w:rPr>
        <w:instrText xml:space="preserve"> SEQ Table \* ARABIC </w:instrText>
      </w:r>
      <w:r w:rsidRPr="0082484A">
        <w:rPr>
          <w:bCs/>
          <w:noProof/>
          <w:sz w:val="22"/>
          <w:szCs w:val="22"/>
        </w:rPr>
        <w:fldChar w:fldCharType="separate"/>
      </w:r>
      <w:r w:rsidR="00CC779E">
        <w:rPr>
          <w:bCs/>
          <w:noProof/>
          <w:sz w:val="22"/>
          <w:szCs w:val="22"/>
        </w:rPr>
        <w:t>103</w:t>
      </w:r>
      <w:r w:rsidRPr="0082484A">
        <w:rPr>
          <w:bCs/>
          <w:noProof/>
          <w:sz w:val="22"/>
          <w:szCs w:val="22"/>
        </w:rPr>
        <w:fldChar w:fldCharType="end"/>
      </w:r>
      <w:bookmarkEnd w:id="382"/>
      <w:r w:rsidRPr="0082484A">
        <w:rPr>
          <w:bCs/>
          <w:sz w:val="22"/>
          <w:szCs w:val="22"/>
        </w:rPr>
        <w:t>: Number of practices in the risky prescribing implementation arm receiving an outreach visit that had computerised prompts set up (WP5)</w:t>
      </w:r>
      <w:bookmarkEnd w:id="383"/>
      <w:bookmarkEnd w:id="384"/>
    </w:p>
    <w:tbl>
      <w:tblPr>
        <w:tblW w:w="0" w:type="auto"/>
        <w:tblLayout w:type="fixed"/>
        <w:tblCellMar>
          <w:left w:w="0" w:type="dxa"/>
          <w:right w:w="0" w:type="dxa"/>
        </w:tblCellMar>
        <w:tblLook w:val="0000" w:firstRow="0" w:lastRow="0" w:firstColumn="0" w:lastColumn="0" w:noHBand="0" w:noVBand="0"/>
      </w:tblPr>
      <w:tblGrid>
        <w:gridCol w:w="2772"/>
        <w:gridCol w:w="1467"/>
      </w:tblGrid>
      <w:tr w:rsidR="009A3C2D" w:rsidRPr="0082484A" w14:paraId="7F572E5D" w14:textId="77777777" w:rsidTr="0082484A">
        <w:trPr>
          <w:cantSplit/>
          <w:tblHeader/>
        </w:trPr>
        <w:tc>
          <w:tcPr>
            <w:tcW w:w="2772" w:type="dxa"/>
            <w:tcBorders>
              <w:top w:val="single" w:sz="11" w:space="0" w:color="000000"/>
              <w:left w:val="single" w:sz="11" w:space="0" w:color="000000"/>
              <w:bottom w:val="single" w:sz="4" w:space="0" w:color="000000"/>
              <w:right w:val="nil"/>
            </w:tcBorders>
            <w:shd w:val="clear" w:color="auto" w:fill="FFFFFF"/>
            <w:tcMar>
              <w:left w:w="67" w:type="dxa"/>
              <w:right w:w="67" w:type="dxa"/>
            </w:tcMar>
            <w:vAlign w:val="bottom"/>
          </w:tcPr>
          <w:p w14:paraId="1B153979" w14:textId="77777777" w:rsidR="009A3C2D" w:rsidRPr="0082484A" w:rsidRDefault="009A3C2D" w:rsidP="009A3C2D">
            <w:pPr>
              <w:adjustRightInd w:val="0"/>
              <w:spacing w:before="67" w:after="67" w:line="259" w:lineRule="auto"/>
              <w:rPr>
                <w:rFonts w:eastAsia="Calibri"/>
                <w:bCs/>
                <w:sz w:val="22"/>
                <w:szCs w:val="22"/>
              </w:rPr>
            </w:pPr>
            <w:bookmarkStart w:id="385" w:name="IDX52"/>
            <w:bookmarkEnd w:id="385"/>
            <w:r w:rsidRPr="0082484A">
              <w:rPr>
                <w:rFonts w:eastAsia="Calibri"/>
                <w:bCs/>
                <w:sz w:val="22"/>
                <w:szCs w:val="22"/>
              </w:rPr>
              <w:t>Computerised prompts set up</w:t>
            </w:r>
            <w:r w:rsidRPr="0082484A">
              <w:rPr>
                <w:rFonts w:eastAsia="Calibri"/>
                <w:bCs/>
                <w:sz w:val="22"/>
                <w:szCs w:val="22"/>
                <w:vertAlign w:val="superscript"/>
              </w:rPr>
              <w:t>a</w:t>
            </w:r>
          </w:p>
        </w:tc>
        <w:tc>
          <w:tcPr>
            <w:tcW w:w="1467" w:type="dxa"/>
            <w:tcBorders>
              <w:top w:val="single" w:sz="11" w:space="0" w:color="000000"/>
              <w:left w:val="nil"/>
              <w:bottom w:val="single" w:sz="4" w:space="0" w:color="000000"/>
              <w:right w:val="single" w:sz="11" w:space="0" w:color="000000"/>
            </w:tcBorders>
            <w:shd w:val="clear" w:color="auto" w:fill="FFFFFF"/>
            <w:tcMar>
              <w:left w:w="67" w:type="dxa"/>
              <w:right w:w="67" w:type="dxa"/>
            </w:tcMar>
            <w:vAlign w:val="bottom"/>
          </w:tcPr>
          <w:p w14:paraId="184A8EDB" w14:textId="77777777" w:rsidR="009A3C2D" w:rsidRPr="0082484A" w:rsidRDefault="009A3C2D" w:rsidP="009A3C2D">
            <w:pPr>
              <w:adjustRightInd w:val="0"/>
              <w:spacing w:before="67" w:after="67" w:line="259" w:lineRule="auto"/>
              <w:rPr>
                <w:rFonts w:eastAsia="Calibri"/>
                <w:bCs/>
                <w:sz w:val="22"/>
                <w:szCs w:val="22"/>
              </w:rPr>
            </w:pPr>
            <w:r w:rsidRPr="0082484A">
              <w:rPr>
                <w:rFonts w:eastAsia="Calibri"/>
                <w:bCs/>
                <w:sz w:val="22"/>
                <w:szCs w:val="22"/>
              </w:rPr>
              <w:t>Risky prescribing (n=25)</w:t>
            </w:r>
          </w:p>
        </w:tc>
      </w:tr>
      <w:tr w:rsidR="009A3C2D" w:rsidRPr="0082484A" w14:paraId="67539F16" w14:textId="77777777" w:rsidTr="0082484A">
        <w:trPr>
          <w:cantSplit/>
        </w:trPr>
        <w:tc>
          <w:tcPr>
            <w:tcW w:w="2772" w:type="dxa"/>
            <w:tcBorders>
              <w:top w:val="nil"/>
              <w:left w:val="single" w:sz="11" w:space="0" w:color="000000"/>
              <w:bottom w:val="nil"/>
              <w:right w:val="nil"/>
            </w:tcBorders>
            <w:shd w:val="clear" w:color="auto" w:fill="FFFFFF"/>
            <w:tcMar>
              <w:left w:w="67" w:type="dxa"/>
              <w:right w:w="67" w:type="dxa"/>
            </w:tcMar>
          </w:tcPr>
          <w:p w14:paraId="4E9A9893" w14:textId="77777777" w:rsidR="009A3C2D" w:rsidRPr="0082484A" w:rsidRDefault="009A3C2D" w:rsidP="009A3C2D">
            <w:pPr>
              <w:adjustRightInd w:val="0"/>
              <w:spacing w:before="67" w:after="67" w:line="259" w:lineRule="auto"/>
              <w:rPr>
                <w:rFonts w:eastAsia="Calibri"/>
                <w:sz w:val="22"/>
                <w:szCs w:val="22"/>
              </w:rPr>
            </w:pPr>
            <w:r w:rsidRPr="0082484A">
              <w:rPr>
                <w:rFonts w:eastAsia="Calibri"/>
                <w:sz w:val="22"/>
                <w:szCs w:val="22"/>
              </w:rPr>
              <w:t>Yes</w:t>
            </w:r>
          </w:p>
        </w:tc>
        <w:tc>
          <w:tcPr>
            <w:tcW w:w="1467" w:type="dxa"/>
            <w:tcBorders>
              <w:top w:val="nil"/>
              <w:left w:val="nil"/>
              <w:bottom w:val="nil"/>
              <w:right w:val="single" w:sz="11" w:space="0" w:color="000000"/>
            </w:tcBorders>
            <w:shd w:val="clear" w:color="auto" w:fill="FFFFFF"/>
            <w:tcMar>
              <w:left w:w="67" w:type="dxa"/>
              <w:right w:w="67" w:type="dxa"/>
            </w:tcMar>
          </w:tcPr>
          <w:p w14:paraId="1BDC23BC" w14:textId="77777777" w:rsidR="009A3C2D" w:rsidRPr="0082484A" w:rsidRDefault="009A3C2D" w:rsidP="009A3C2D">
            <w:pPr>
              <w:adjustRightInd w:val="0"/>
              <w:spacing w:before="67" w:after="67" w:line="259" w:lineRule="auto"/>
              <w:rPr>
                <w:rFonts w:eastAsia="Calibri"/>
                <w:sz w:val="22"/>
                <w:szCs w:val="22"/>
              </w:rPr>
            </w:pPr>
            <w:r w:rsidRPr="0082484A">
              <w:rPr>
                <w:rFonts w:eastAsia="Calibri"/>
                <w:sz w:val="22"/>
                <w:szCs w:val="22"/>
              </w:rPr>
              <w:t>8 (32.00%)</w:t>
            </w:r>
          </w:p>
        </w:tc>
      </w:tr>
      <w:tr w:rsidR="009A3C2D" w:rsidRPr="0082484A" w14:paraId="23E2A3FA" w14:textId="77777777" w:rsidTr="0082484A">
        <w:trPr>
          <w:cantSplit/>
        </w:trPr>
        <w:tc>
          <w:tcPr>
            <w:tcW w:w="2772" w:type="dxa"/>
            <w:tcBorders>
              <w:top w:val="nil"/>
              <w:left w:val="single" w:sz="11" w:space="0" w:color="000000"/>
              <w:bottom w:val="nil"/>
              <w:right w:val="nil"/>
            </w:tcBorders>
            <w:shd w:val="clear" w:color="auto" w:fill="FFFFFF"/>
            <w:tcMar>
              <w:left w:w="67" w:type="dxa"/>
              <w:right w:w="67" w:type="dxa"/>
            </w:tcMar>
          </w:tcPr>
          <w:p w14:paraId="0E0B0D40" w14:textId="77777777" w:rsidR="009A3C2D" w:rsidRPr="0082484A" w:rsidRDefault="009A3C2D" w:rsidP="009A3C2D">
            <w:pPr>
              <w:adjustRightInd w:val="0"/>
              <w:spacing w:before="67" w:after="67" w:line="259" w:lineRule="auto"/>
              <w:rPr>
                <w:rFonts w:eastAsia="Calibri"/>
                <w:sz w:val="22"/>
                <w:szCs w:val="22"/>
              </w:rPr>
            </w:pPr>
            <w:r w:rsidRPr="0082484A">
              <w:rPr>
                <w:rFonts w:eastAsia="Calibri"/>
                <w:sz w:val="22"/>
                <w:szCs w:val="22"/>
              </w:rPr>
              <w:t>No</w:t>
            </w:r>
          </w:p>
        </w:tc>
        <w:tc>
          <w:tcPr>
            <w:tcW w:w="1467" w:type="dxa"/>
            <w:tcBorders>
              <w:top w:val="nil"/>
              <w:left w:val="nil"/>
              <w:bottom w:val="nil"/>
              <w:right w:val="single" w:sz="11" w:space="0" w:color="000000"/>
            </w:tcBorders>
            <w:shd w:val="clear" w:color="auto" w:fill="FFFFFF"/>
            <w:tcMar>
              <w:left w:w="67" w:type="dxa"/>
              <w:right w:w="67" w:type="dxa"/>
            </w:tcMar>
          </w:tcPr>
          <w:p w14:paraId="59080632" w14:textId="77777777" w:rsidR="009A3C2D" w:rsidRPr="0082484A" w:rsidRDefault="009A3C2D" w:rsidP="009A3C2D">
            <w:pPr>
              <w:adjustRightInd w:val="0"/>
              <w:spacing w:before="67" w:after="67" w:line="259" w:lineRule="auto"/>
              <w:rPr>
                <w:rFonts w:eastAsia="Calibri"/>
                <w:sz w:val="22"/>
                <w:szCs w:val="22"/>
              </w:rPr>
            </w:pPr>
            <w:r w:rsidRPr="0082484A">
              <w:rPr>
                <w:rFonts w:eastAsia="Calibri"/>
                <w:sz w:val="22"/>
                <w:szCs w:val="22"/>
              </w:rPr>
              <w:t>17 (68.00%)</w:t>
            </w:r>
          </w:p>
        </w:tc>
      </w:tr>
      <w:tr w:rsidR="009A3C2D" w:rsidRPr="0082484A" w14:paraId="285AF2BA" w14:textId="77777777" w:rsidTr="0082484A">
        <w:trPr>
          <w:cantSplit/>
        </w:trPr>
        <w:tc>
          <w:tcPr>
            <w:tcW w:w="2772" w:type="dxa"/>
            <w:tcBorders>
              <w:top w:val="nil"/>
              <w:left w:val="single" w:sz="11" w:space="0" w:color="000000"/>
              <w:bottom w:val="single" w:sz="11" w:space="0" w:color="000000"/>
              <w:right w:val="nil"/>
            </w:tcBorders>
            <w:shd w:val="clear" w:color="auto" w:fill="FFFFFF"/>
            <w:tcMar>
              <w:left w:w="67" w:type="dxa"/>
              <w:right w:w="67" w:type="dxa"/>
            </w:tcMar>
          </w:tcPr>
          <w:p w14:paraId="48B9724E" w14:textId="77777777" w:rsidR="009A3C2D" w:rsidRPr="0082484A" w:rsidRDefault="009A3C2D" w:rsidP="009A3C2D">
            <w:pPr>
              <w:adjustRightInd w:val="0"/>
              <w:spacing w:before="67" w:after="67" w:line="259" w:lineRule="auto"/>
              <w:rPr>
                <w:rFonts w:eastAsia="Calibri"/>
                <w:color w:val="FF0000"/>
                <w:sz w:val="22"/>
                <w:szCs w:val="22"/>
              </w:rPr>
            </w:pPr>
          </w:p>
        </w:tc>
        <w:tc>
          <w:tcPr>
            <w:tcW w:w="1467" w:type="dxa"/>
            <w:tcBorders>
              <w:top w:val="nil"/>
              <w:left w:val="nil"/>
              <w:bottom w:val="single" w:sz="11" w:space="0" w:color="000000"/>
              <w:right w:val="single" w:sz="11" w:space="0" w:color="000000"/>
            </w:tcBorders>
            <w:shd w:val="clear" w:color="auto" w:fill="FFFFFF"/>
            <w:tcMar>
              <w:left w:w="67" w:type="dxa"/>
              <w:right w:w="67" w:type="dxa"/>
            </w:tcMar>
          </w:tcPr>
          <w:p w14:paraId="0D62F4ED" w14:textId="77777777" w:rsidR="009A3C2D" w:rsidRPr="0082484A" w:rsidRDefault="009A3C2D" w:rsidP="009A3C2D">
            <w:pPr>
              <w:adjustRightInd w:val="0"/>
              <w:spacing w:before="67" w:after="67" w:line="259" w:lineRule="auto"/>
              <w:rPr>
                <w:rFonts w:eastAsia="Calibri"/>
                <w:color w:val="FF0000"/>
                <w:sz w:val="22"/>
                <w:szCs w:val="22"/>
              </w:rPr>
            </w:pPr>
          </w:p>
        </w:tc>
      </w:tr>
    </w:tbl>
    <w:p w14:paraId="441EA01D" w14:textId="77777777" w:rsidR="009A3C2D" w:rsidRPr="0082484A" w:rsidRDefault="009A3C2D" w:rsidP="009A3C2D">
      <w:pPr>
        <w:spacing w:before="0" w:after="160" w:line="259" w:lineRule="auto"/>
        <w:rPr>
          <w:sz w:val="22"/>
          <w:szCs w:val="22"/>
        </w:rPr>
      </w:pPr>
      <w:r w:rsidRPr="0082484A">
        <w:rPr>
          <w:rFonts w:eastAsia="Calibri"/>
          <w:sz w:val="22"/>
          <w:szCs w:val="22"/>
          <w:vertAlign w:val="superscript"/>
        </w:rPr>
        <w:t xml:space="preserve">a </w:t>
      </w:r>
      <w:r w:rsidRPr="0082484A">
        <w:rPr>
          <w:rFonts w:eastAsia="Calibri"/>
          <w:sz w:val="22"/>
          <w:szCs w:val="22"/>
        </w:rPr>
        <w:t>Set-up of prompts does not necessarily imply usage.</w:t>
      </w:r>
    </w:p>
    <w:p w14:paraId="65F14A81" w14:textId="77777777" w:rsidR="009A3C2D" w:rsidRPr="0082484A" w:rsidRDefault="009A3C2D" w:rsidP="009A3C2D">
      <w:pPr>
        <w:spacing w:before="0" w:after="200"/>
        <w:rPr>
          <w:bCs/>
          <w:sz w:val="22"/>
          <w:szCs w:val="22"/>
        </w:rPr>
      </w:pPr>
      <w:r w:rsidRPr="0082484A">
        <w:rPr>
          <w:sz w:val="22"/>
          <w:szCs w:val="22"/>
        </w:rPr>
        <w:br w:type="page"/>
      </w:r>
    </w:p>
    <w:p w14:paraId="0B20FC62" w14:textId="65E33F2F" w:rsidR="00952E85" w:rsidRPr="0082484A" w:rsidRDefault="00952E85" w:rsidP="00A02913">
      <w:pPr>
        <w:pStyle w:val="Heading2"/>
        <w:rPr>
          <w:sz w:val="22"/>
          <w:szCs w:val="22"/>
        </w:rPr>
      </w:pPr>
      <w:r w:rsidRPr="0082484A">
        <w:rPr>
          <w:sz w:val="22"/>
          <w:szCs w:val="22"/>
        </w:rPr>
        <w:t>References</w:t>
      </w:r>
    </w:p>
    <w:p w14:paraId="20811A1C" w14:textId="77777777" w:rsidR="00952E85" w:rsidRPr="0082484A" w:rsidRDefault="00952E85" w:rsidP="002A237B">
      <w:pPr>
        <w:rPr>
          <w:sz w:val="22"/>
          <w:szCs w:val="22"/>
        </w:rPr>
      </w:pPr>
    </w:p>
    <w:p w14:paraId="1AA3E6A0" w14:textId="77777777" w:rsidR="00952E85" w:rsidRPr="0082484A" w:rsidRDefault="00952E85" w:rsidP="00952E85">
      <w:pPr>
        <w:pStyle w:val="EndNoteBibliography"/>
        <w:spacing w:after="0"/>
        <w:rPr>
          <w:sz w:val="22"/>
        </w:rPr>
      </w:pPr>
      <w:r w:rsidRPr="0082484A">
        <w:rPr>
          <w:sz w:val="22"/>
        </w:rPr>
        <w:fldChar w:fldCharType="begin"/>
      </w:r>
      <w:r w:rsidRPr="0082484A">
        <w:rPr>
          <w:sz w:val="22"/>
        </w:rPr>
        <w:instrText xml:space="preserve"> ADDIN EN.REFLIST </w:instrText>
      </w:r>
      <w:r w:rsidRPr="0082484A">
        <w:rPr>
          <w:sz w:val="22"/>
        </w:rPr>
        <w:fldChar w:fldCharType="separate"/>
      </w:r>
      <w:r w:rsidRPr="0082484A">
        <w:rPr>
          <w:sz w:val="22"/>
        </w:rPr>
        <w:t>1.</w:t>
      </w:r>
      <w:r w:rsidRPr="0082484A">
        <w:rPr>
          <w:sz w:val="22"/>
        </w:rPr>
        <w:tab/>
        <w:t xml:space="preserve">National Institute for Health and Clinical Excellence. </w:t>
      </w:r>
      <w:r w:rsidRPr="0082484A">
        <w:rPr>
          <w:i/>
          <w:sz w:val="22"/>
        </w:rPr>
        <w:t>Osteoarthritis: care and management [CG177]</w:t>
      </w:r>
      <w:r w:rsidRPr="0082484A">
        <w:rPr>
          <w:sz w:val="22"/>
        </w:rPr>
        <w:t xml:space="preserve">. London; 2014 </w:t>
      </w:r>
    </w:p>
    <w:p w14:paraId="039EDD59" w14:textId="77777777" w:rsidR="00952E85" w:rsidRPr="0082484A" w:rsidRDefault="00952E85" w:rsidP="00952E85">
      <w:pPr>
        <w:pStyle w:val="EndNoteBibliography"/>
        <w:spacing w:after="0"/>
        <w:rPr>
          <w:sz w:val="22"/>
        </w:rPr>
      </w:pPr>
      <w:r w:rsidRPr="0082484A">
        <w:rPr>
          <w:sz w:val="22"/>
        </w:rPr>
        <w:t>2.</w:t>
      </w:r>
      <w:r w:rsidRPr="0082484A">
        <w:rPr>
          <w:sz w:val="22"/>
        </w:rPr>
        <w:tab/>
        <w:t>Brown TJ, Hooper L, Elliott RA, Payne K, Webb R, Roberts C</w:t>
      </w:r>
      <w:r w:rsidRPr="0082484A">
        <w:rPr>
          <w:i/>
          <w:sz w:val="22"/>
        </w:rPr>
        <w:t>, et al.</w:t>
      </w:r>
      <w:r w:rsidRPr="0082484A">
        <w:rPr>
          <w:sz w:val="22"/>
        </w:rPr>
        <w:t xml:space="preserve"> A comparison of the cost-effectiveness of five strategies for the prevention of non-steroidal anti-inflammatory drug-induced gastrointestinal toxicity: a systematic review with economic modelling. </w:t>
      </w:r>
      <w:r w:rsidRPr="0082484A">
        <w:rPr>
          <w:i/>
          <w:sz w:val="22"/>
        </w:rPr>
        <w:t>Health Technology Assessment</w:t>
      </w:r>
      <w:r w:rsidRPr="0082484A">
        <w:rPr>
          <w:sz w:val="22"/>
        </w:rPr>
        <w:t xml:space="preserve"> 2006;</w:t>
      </w:r>
      <w:r w:rsidRPr="0082484A">
        <w:rPr>
          <w:b/>
          <w:sz w:val="22"/>
        </w:rPr>
        <w:t>10</w:t>
      </w:r>
      <w:r w:rsidRPr="0082484A">
        <w:rPr>
          <w:sz w:val="22"/>
        </w:rPr>
        <w:t>:iii-iv, xi-xiii, 1-183.</w:t>
      </w:r>
    </w:p>
    <w:p w14:paraId="459ED418" w14:textId="0F7D7173" w:rsidR="00952E85" w:rsidRPr="0082484A" w:rsidRDefault="00952E85" w:rsidP="00952E85">
      <w:pPr>
        <w:pStyle w:val="EndNoteBibliography"/>
        <w:spacing w:after="0"/>
        <w:rPr>
          <w:sz w:val="22"/>
        </w:rPr>
      </w:pPr>
      <w:r w:rsidRPr="0082484A">
        <w:rPr>
          <w:sz w:val="22"/>
        </w:rPr>
        <w:t>3.</w:t>
      </w:r>
      <w:r w:rsidRPr="0082484A">
        <w:rPr>
          <w:sz w:val="22"/>
        </w:rPr>
        <w:tab/>
        <w:t xml:space="preserve">Hernandez-Diaz S, Rodriguez LAG. Association between nonsteroidal anti-inflammatory drugs and upper gastrointestinal tract bleeding/perforation - An overview of epidemiologic studies published in the 1990s. </w:t>
      </w:r>
      <w:r w:rsidRPr="0082484A">
        <w:rPr>
          <w:i/>
          <w:sz w:val="22"/>
        </w:rPr>
        <w:t>Archives of Internal Medicine</w:t>
      </w:r>
      <w:r w:rsidRPr="0082484A">
        <w:rPr>
          <w:sz w:val="22"/>
        </w:rPr>
        <w:t xml:space="preserve"> 2000;</w:t>
      </w:r>
      <w:r w:rsidRPr="0082484A">
        <w:rPr>
          <w:b/>
          <w:sz w:val="22"/>
        </w:rPr>
        <w:t>160</w:t>
      </w:r>
      <w:r w:rsidRPr="0082484A">
        <w:rPr>
          <w:sz w:val="22"/>
        </w:rPr>
        <w:t xml:space="preserve">:2093-9. </w:t>
      </w:r>
      <w:hyperlink r:id="rId6" w:history="1">
        <w:r w:rsidRPr="0082484A">
          <w:rPr>
            <w:rStyle w:val="Hyperlink"/>
            <w:sz w:val="22"/>
          </w:rPr>
          <w:t>https://doi.org/DOI</w:t>
        </w:r>
      </w:hyperlink>
      <w:r w:rsidRPr="0082484A">
        <w:rPr>
          <w:sz w:val="22"/>
        </w:rPr>
        <w:t xml:space="preserve"> 10.1001/archinte.160.14.2093</w:t>
      </w:r>
    </w:p>
    <w:p w14:paraId="72E1C8CD" w14:textId="77777777" w:rsidR="00952E85" w:rsidRPr="0082484A" w:rsidRDefault="00952E85" w:rsidP="00952E85">
      <w:pPr>
        <w:pStyle w:val="EndNoteBibliography"/>
        <w:spacing w:after="0"/>
        <w:rPr>
          <w:sz w:val="22"/>
        </w:rPr>
      </w:pPr>
      <w:r w:rsidRPr="0082484A">
        <w:rPr>
          <w:sz w:val="22"/>
        </w:rPr>
        <w:t>4.</w:t>
      </w:r>
      <w:r w:rsidRPr="0082484A">
        <w:rPr>
          <w:sz w:val="22"/>
        </w:rPr>
        <w:tab/>
        <w:t xml:space="preserve">Laine L. Proton pump inhibitor co-therapy with nonsteroidal anti-inflammatory drugs--nice or necessary? </w:t>
      </w:r>
      <w:r w:rsidRPr="0082484A">
        <w:rPr>
          <w:i/>
          <w:sz w:val="22"/>
        </w:rPr>
        <w:t>Rev Gastroenterol Disord</w:t>
      </w:r>
      <w:r w:rsidRPr="0082484A">
        <w:rPr>
          <w:sz w:val="22"/>
        </w:rPr>
        <w:t xml:space="preserve"> 2004;</w:t>
      </w:r>
      <w:r w:rsidRPr="0082484A">
        <w:rPr>
          <w:b/>
          <w:sz w:val="22"/>
        </w:rPr>
        <w:t>4 Suppl 4</w:t>
      </w:r>
      <w:r w:rsidRPr="0082484A">
        <w:rPr>
          <w:sz w:val="22"/>
        </w:rPr>
        <w:t>:S33-41.</w:t>
      </w:r>
    </w:p>
    <w:p w14:paraId="316DFFB1" w14:textId="5A75FAE7" w:rsidR="00952E85" w:rsidRPr="0082484A" w:rsidRDefault="00952E85" w:rsidP="00952E85">
      <w:pPr>
        <w:pStyle w:val="EndNoteBibliography"/>
        <w:spacing w:after="0"/>
        <w:rPr>
          <w:sz w:val="22"/>
        </w:rPr>
      </w:pPr>
      <w:r w:rsidRPr="0082484A">
        <w:rPr>
          <w:sz w:val="22"/>
        </w:rPr>
        <w:t>5.</w:t>
      </w:r>
      <w:r w:rsidRPr="0082484A">
        <w:rPr>
          <w:sz w:val="22"/>
        </w:rPr>
        <w:tab/>
        <w:t xml:space="preserve">McQuaid KR, Laine L. Systematic review and meta-analysis of adverse events of low-dose aspirin and clopidogrel in randomized controlled trials. </w:t>
      </w:r>
      <w:r w:rsidRPr="0082484A">
        <w:rPr>
          <w:i/>
          <w:sz w:val="22"/>
        </w:rPr>
        <w:t>Am J Med</w:t>
      </w:r>
      <w:r w:rsidRPr="0082484A">
        <w:rPr>
          <w:sz w:val="22"/>
        </w:rPr>
        <w:t xml:space="preserve"> 2006;</w:t>
      </w:r>
      <w:r w:rsidRPr="0082484A">
        <w:rPr>
          <w:b/>
          <w:sz w:val="22"/>
        </w:rPr>
        <w:t>119</w:t>
      </w:r>
      <w:r w:rsidRPr="0082484A">
        <w:rPr>
          <w:sz w:val="22"/>
        </w:rPr>
        <w:t xml:space="preserve">:624-38. </w:t>
      </w:r>
      <w:hyperlink r:id="rId7" w:history="1">
        <w:r w:rsidRPr="0082484A">
          <w:rPr>
            <w:rStyle w:val="Hyperlink"/>
            <w:sz w:val="22"/>
          </w:rPr>
          <w:t>https://doi.org/10.1016/j.amjmed.2005.10.039</w:t>
        </w:r>
      </w:hyperlink>
    </w:p>
    <w:p w14:paraId="6F96CDB9" w14:textId="7B275D9C" w:rsidR="00952E85" w:rsidRPr="0082484A" w:rsidRDefault="00952E85" w:rsidP="00952E85">
      <w:pPr>
        <w:pStyle w:val="EndNoteBibliography"/>
        <w:spacing w:after="0"/>
        <w:rPr>
          <w:sz w:val="22"/>
        </w:rPr>
      </w:pPr>
      <w:r w:rsidRPr="0082484A">
        <w:rPr>
          <w:sz w:val="22"/>
        </w:rPr>
        <w:t>6.</w:t>
      </w:r>
      <w:r w:rsidRPr="0082484A">
        <w:rPr>
          <w:sz w:val="22"/>
        </w:rPr>
        <w:tab/>
        <w:t>Hallas J, Dall M, Andries A, Andersen BS, Aalykke C, Hansen JM</w:t>
      </w:r>
      <w:r w:rsidRPr="0082484A">
        <w:rPr>
          <w:i/>
          <w:sz w:val="22"/>
        </w:rPr>
        <w:t>, et al.</w:t>
      </w:r>
      <w:r w:rsidRPr="0082484A">
        <w:rPr>
          <w:sz w:val="22"/>
        </w:rPr>
        <w:t xml:space="preserve"> Use of single and combined antithrombotic therapy and risk of serious upper gastrointestinal bleeding: population based case-control study. </w:t>
      </w:r>
      <w:r w:rsidRPr="0082484A">
        <w:rPr>
          <w:i/>
          <w:sz w:val="22"/>
        </w:rPr>
        <w:t>BMJ</w:t>
      </w:r>
      <w:r w:rsidRPr="0082484A">
        <w:rPr>
          <w:sz w:val="22"/>
        </w:rPr>
        <w:t xml:space="preserve"> 2006;</w:t>
      </w:r>
      <w:r w:rsidRPr="0082484A">
        <w:rPr>
          <w:b/>
          <w:sz w:val="22"/>
        </w:rPr>
        <w:t>333</w:t>
      </w:r>
      <w:r w:rsidRPr="0082484A">
        <w:rPr>
          <w:sz w:val="22"/>
        </w:rPr>
        <w:t xml:space="preserve">:726-8a. </w:t>
      </w:r>
      <w:hyperlink r:id="rId8" w:history="1">
        <w:r w:rsidRPr="0082484A">
          <w:rPr>
            <w:rStyle w:val="Hyperlink"/>
            <w:sz w:val="22"/>
          </w:rPr>
          <w:t>https://doi.org/10.1136/bmj.38947.697558.AE</w:t>
        </w:r>
      </w:hyperlink>
    </w:p>
    <w:p w14:paraId="685CE4F7" w14:textId="303F26E1" w:rsidR="00952E85" w:rsidRPr="0082484A" w:rsidRDefault="00952E85" w:rsidP="00952E85">
      <w:pPr>
        <w:pStyle w:val="EndNoteBibliography"/>
        <w:spacing w:after="0"/>
        <w:rPr>
          <w:sz w:val="22"/>
        </w:rPr>
      </w:pPr>
      <w:r w:rsidRPr="0082484A">
        <w:rPr>
          <w:sz w:val="22"/>
        </w:rPr>
        <w:t>7.</w:t>
      </w:r>
      <w:r w:rsidRPr="0082484A">
        <w:rPr>
          <w:sz w:val="22"/>
        </w:rPr>
        <w:tab/>
        <w:t xml:space="preserve">Delaney JA, Opatrny L, Brophy JM, Suissa S. Drug-drug interactions between antithrombotic medications and the risk of gastrointestinal bleeding. </w:t>
      </w:r>
      <w:r w:rsidRPr="0082484A">
        <w:rPr>
          <w:i/>
          <w:sz w:val="22"/>
        </w:rPr>
        <w:t>Can Med Assoc J</w:t>
      </w:r>
      <w:r w:rsidRPr="0082484A">
        <w:rPr>
          <w:sz w:val="22"/>
        </w:rPr>
        <w:t xml:space="preserve"> 2007;</w:t>
      </w:r>
      <w:r w:rsidRPr="0082484A">
        <w:rPr>
          <w:b/>
          <w:sz w:val="22"/>
        </w:rPr>
        <w:t>177</w:t>
      </w:r>
      <w:r w:rsidRPr="0082484A">
        <w:rPr>
          <w:sz w:val="22"/>
        </w:rPr>
        <w:t xml:space="preserve">:347-51. </w:t>
      </w:r>
      <w:hyperlink r:id="rId9" w:history="1">
        <w:r w:rsidRPr="0082484A">
          <w:rPr>
            <w:rStyle w:val="Hyperlink"/>
            <w:sz w:val="22"/>
          </w:rPr>
          <w:t>https://doi.org/10.1053/cmaj.070186</w:t>
        </w:r>
      </w:hyperlink>
    </w:p>
    <w:p w14:paraId="72E5C01C" w14:textId="77777777" w:rsidR="00952E85" w:rsidRPr="0082484A" w:rsidRDefault="00952E85" w:rsidP="00952E85">
      <w:pPr>
        <w:pStyle w:val="EndNoteBibliography"/>
        <w:spacing w:after="0"/>
        <w:rPr>
          <w:sz w:val="22"/>
        </w:rPr>
      </w:pPr>
      <w:r w:rsidRPr="0082484A">
        <w:rPr>
          <w:sz w:val="22"/>
        </w:rPr>
        <w:t>8.</w:t>
      </w:r>
      <w:r w:rsidRPr="0082484A">
        <w:rPr>
          <w:sz w:val="22"/>
        </w:rPr>
        <w:tab/>
        <w:t xml:space="preserve">Feenstra J, Heerdink ER, Grobbee DE, Stricker BH. Association of nonsteroidal anti-inflammatory drugs with first occurrence of heart failure and with relapsing heart failure: the Rotterdam Study. </w:t>
      </w:r>
      <w:r w:rsidRPr="0082484A">
        <w:rPr>
          <w:i/>
          <w:sz w:val="22"/>
        </w:rPr>
        <w:t>Arch Intern Med</w:t>
      </w:r>
      <w:r w:rsidRPr="0082484A">
        <w:rPr>
          <w:sz w:val="22"/>
        </w:rPr>
        <w:t xml:space="preserve"> 2002;</w:t>
      </w:r>
      <w:r w:rsidRPr="0082484A">
        <w:rPr>
          <w:b/>
          <w:sz w:val="22"/>
        </w:rPr>
        <w:t>162</w:t>
      </w:r>
      <w:r w:rsidRPr="0082484A">
        <w:rPr>
          <w:sz w:val="22"/>
        </w:rPr>
        <w:t>:265-70.</w:t>
      </w:r>
    </w:p>
    <w:p w14:paraId="0F88E5A1" w14:textId="77777777" w:rsidR="00952E85" w:rsidRPr="0082484A" w:rsidRDefault="00952E85" w:rsidP="00952E85">
      <w:pPr>
        <w:pStyle w:val="EndNoteBibliography"/>
        <w:spacing w:after="0"/>
        <w:rPr>
          <w:sz w:val="22"/>
        </w:rPr>
      </w:pPr>
      <w:r w:rsidRPr="0082484A">
        <w:rPr>
          <w:sz w:val="22"/>
        </w:rPr>
        <w:t>9.</w:t>
      </w:r>
      <w:r w:rsidRPr="0082484A">
        <w:rPr>
          <w:sz w:val="22"/>
        </w:rPr>
        <w:tab/>
        <w:t xml:space="preserve">National Institute for Health and Care Excellence. </w:t>
      </w:r>
      <w:r w:rsidRPr="0082484A">
        <w:rPr>
          <w:i/>
          <w:sz w:val="22"/>
        </w:rPr>
        <w:t>Acute kidney injury: prevention, detection and management [CG169]</w:t>
      </w:r>
      <w:r w:rsidRPr="0082484A">
        <w:rPr>
          <w:sz w:val="22"/>
        </w:rPr>
        <w:t>; 2013.</w:t>
      </w:r>
    </w:p>
    <w:p w14:paraId="62179F4D" w14:textId="01C34D4D" w:rsidR="00952E85" w:rsidRPr="0082484A" w:rsidRDefault="00952E85" w:rsidP="00952E85">
      <w:pPr>
        <w:pStyle w:val="EndNoteBibliography"/>
        <w:rPr>
          <w:sz w:val="22"/>
        </w:rPr>
      </w:pPr>
      <w:r w:rsidRPr="0082484A">
        <w:rPr>
          <w:sz w:val="22"/>
        </w:rPr>
        <w:t>10.</w:t>
      </w:r>
      <w:r w:rsidRPr="0082484A">
        <w:rPr>
          <w:sz w:val="22"/>
        </w:rPr>
        <w:tab/>
        <w:t>Gooch K, Culleton BF, Manns BJ, Zhang JG, Alfonso H, Tonelli M</w:t>
      </w:r>
      <w:r w:rsidRPr="0082484A">
        <w:rPr>
          <w:i/>
          <w:sz w:val="22"/>
        </w:rPr>
        <w:t>, et al.</w:t>
      </w:r>
      <w:r w:rsidRPr="0082484A">
        <w:rPr>
          <w:sz w:val="22"/>
        </w:rPr>
        <w:t xml:space="preserve"> NSAID use and progression of chronic kidney disease. </w:t>
      </w:r>
      <w:r w:rsidRPr="0082484A">
        <w:rPr>
          <w:i/>
          <w:sz w:val="22"/>
        </w:rPr>
        <w:t>American Journal of Medicine</w:t>
      </w:r>
      <w:r w:rsidRPr="0082484A">
        <w:rPr>
          <w:sz w:val="22"/>
        </w:rPr>
        <w:t xml:space="preserve"> 2007;</w:t>
      </w:r>
      <w:r w:rsidRPr="0082484A">
        <w:rPr>
          <w:b/>
          <w:sz w:val="22"/>
        </w:rPr>
        <w:t>120</w:t>
      </w:r>
      <w:r w:rsidRPr="0082484A">
        <w:rPr>
          <w:sz w:val="22"/>
        </w:rPr>
        <w:t xml:space="preserve">. </w:t>
      </w:r>
      <w:hyperlink r:id="rId10" w:history="1">
        <w:r w:rsidRPr="0082484A">
          <w:rPr>
            <w:rStyle w:val="Hyperlink"/>
            <w:sz w:val="22"/>
          </w:rPr>
          <w:t>https://doi.org/ARTN</w:t>
        </w:r>
      </w:hyperlink>
      <w:r w:rsidRPr="0082484A">
        <w:rPr>
          <w:sz w:val="22"/>
        </w:rPr>
        <w:t xml:space="preserve"> 280.e1</w:t>
      </w:r>
    </w:p>
    <w:p w14:paraId="286F2250" w14:textId="77777777" w:rsidR="00952E85" w:rsidRPr="0082484A" w:rsidRDefault="00952E85" w:rsidP="00952E85">
      <w:pPr>
        <w:pStyle w:val="EndNoteBibliography"/>
        <w:spacing w:after="0"/>
        <w:rPr>
          <w:sz w:val="22"/>
        </w:rPr>
      </w:pPr>
      <w:r w:rsidRPr="0082484A">
        <w:rPr>
          <w:sz w:val="22"/>
        </w:rPr>
        <w:t>10.1016/j.amjmed.2006.02.015</w:t>
      </w:r>
    </w:p>
    <w:p w14:paraId="7562BAF8" w14:textId="3C7921FE" w:rsidR="00952E85" w:rsidRPr="0082484A" w:rsidRDefault="00952E85" w:rsidP="00952E85">
      <w:pPr>
        <w:pStyle w:val="EndNoteBibliography"/>
        <w:rPr>
          <w:sz w:val="22"/>
        </w:rPr>
      </w:pPr>
      <w:r w:rsidRPr="0082484A">
        <w:rPr>
          <w:sz w:val="22"/>
        </w:rPr>
        <w:t>11.</w:t>
      </w:r>
      <w:r w:rsidRPr="0082484A">
        <w:rPr>
          <w:sz w:val="22"/>
        </w:rPr>
        <w:tab/>
        <w:t xml:space="preserve">Zhang XY, Donnan PT, Bell S, Guthrie B. Non-steroidal anti-inflammatory drug induced acute kidney injury in the community dwelling general population and people with chronic kidney disease: systematic review and meta-analysis. </w:t>
      </w:r>
      <w:r w:rsidRPr="0082484A">
        <w:rPr>
          <w:i/>
          <w:sz w:val="22"/>
        </w:rPr>
        <w:t>Bmc Nephrology</w:t>
      </w:r>
      <w:r w:rsidRPr="0082484A">
        <w:rPr>
          <w:sz w:val="22"/>
        </w:rPr>
        <w:t xml:space="preserve"> 2017;</w:t>
      </w:r>
      <w:r w:rsidRPr="0082484A">
        <w:rPr>
          <w:b/>
          <w:sz w:val="22"/>
        </w:rPr>
        <w:t>18</w:t>
      </w:r>
      <w:r w:rsidRPr="0082484A">
        <w:rPr>
          <w:sz w:val="22"/>
        </w:rPr>
        <w:t xml:space="preserve">. </w:t>
      </w:r>
      <w:hyperlink r:id="rId11" w:history="1">
        <w:r w:rsidRPr="0082484A">
          <w:rPr>
            <w:rStyle w:val="Hyperlink"/>
            <w:sz w:val="22"/>
          </w:rPr>
          <w:t>https://doi.org/ARTN</w:t>
        </w:r>
      </w:hyperlink>
      <w:r w:rsidRPr="0082484A">
        <w:rPr>
          <w:sz w:val="22"/>
        </w:rPr>
        <w:t xml:space="preserve"> 256</w:t>
      </w:r>
    </w:p>
    <w:p w14:paraId="3FF69D4A" w14:textId="77777777" w:rsidR="00952E85" w:rsidRPr="0082484A" w:rsidRDefault="00952E85" w:rsidP="00952E85">
      <w:pPr>
        <w:pStyle w:val="EndNoteBibliography"/>
        <w:spacing w:after="0"/>
        <w:rPr>
          <w:sz w:val="22"/>
        </w:rPr>
      </w:pPr>
      <w:r w:rsidRPr="0082484A">
        <w:rPr>
          <w:sz w:val="22"/>
        </w:rPr>
        <w:t>10.1186/s12882-017-0673-8</w:t>
      </w:r>
    </w:p>
    <w:p w14:paraId="17623552" w14:textId="0E19EEC3" w:rsidR="00952E85" w:rsidRPr="0082484A" w:rsidRDefault="00952E85" w:rsidP="00952E85">
      <w:pPr>
        <w:pStyle w:val="EndNoteBibliography"/>
        <w:spacing w:after="0"/>
        <w:rPr>
          <w:sz w:val="22"/>
        </w:rPr>
      </w:pPr>
      <w:r w:rsidRPr="0082484A">
        <w:rPr>
          <w:sz w:val="22"/>
        </w:rPr>
        <w:t>12.</w:t>
      </w:r>
      <w:r w:rsidRPr="0082484A">
        <w:rPr>
          <w:sz w:val="22"/>
        </w:rPr>
        <w:tab/>
        <w:t xml:space="preserve">Villar E, Remontet L, Labeeuw M, Ecochard R. Effect of age, gender, and in diabetes on excess death in end-stage renal failure. </w:t>
      </w:r>
      <w:r w:rsidRPr="0082484A">
        <w:rPr>
          <w:i/>
          <w:sz w:val="22"/>
        </w:rPr>
        <w:t>J Am Soc Nephrol</w:t>
      </w:r>
      <w:r w:rsidRPr="0082484A">
        <w:rPr>
          <w:sz w:val="22"/>
        </w:rPr>
        <w:t xml:space="preserve"> 2007;</w:t>
      </w:r>
      <w:r w:rsidRPr="0082484A">
        <w:rPr>
          <w:b/>
          <w:sz w:val="22"/>
        </w:rPr>
        <w:t>18</w:t>
      </w:r>
      <w:r w:rsidRPr="0082484A">
        <w:rPr>
          <w:sz w:val="22"/>
        </w:rPr>
        <w:t xml:space="preserve">:2125-34. </w:t>
      </w:r>
      <w:hyperlink r:id="rId12" w:history="1">
        <w:r w:rsidRPr="0082484A">
          <w:rPr>
            <w:rStyle w:val="Hyperlink"/>
            <w:sz w:val="22"/>
          </w:rPr>
          <w:t>https://doi.org/10.1681/Asn.2006091048</w:t>
        </w:r>
      </w:hyperlink>
    </w:p>
    <w:p w14:paraId="438FA67F" w14:textId="77777777" w:rsidR="00952E85" w:rsidRPr="0082484A" w:rsidRDefault="00952E85" w:rsidP="00952E85">
      <w:pPr>
        <w:pStyle w:val="EndNoteBibliography"/>
        <w:spacing w:after="0"/>
        <w:rPr>
          <w:sz w:val="22"/>
        </w:rPr>
      </w:pPr>
      <w:r w:rsidRPr="0082484A">
        <w:rPr>
          <w:sz w:val="22"/>
        </w:rPr>
        <w:t>13.</w:t>
      </w:r>
      <w:r w:rsidRPr="0082484A">
        <w:rPr>
          <w:sz w:val="22"/>
        </w:rPr>
        <w:tab/>
        <w:t xml:space="preserve">National Institute for Health and Clinical Excellence (NICE). </w:t>
      </w:r>
      <w:r w:rsidRPr="0082484A">
        <w:rPr>
          <w:i/>
          <w:sz w:val="22"/>
        </w:rPr>
        <w:t>Hypertension: the clinical management of primary hypertension in adults [CG127]</w:t>
      </w:r>
      <w:r w:rsidRPr="0082484A">
        <w:rPr>
          <w:sz w:val="22"/>
        </w:rPr>
        <w:t>. London: Royal College of Physicians; 2011.</w:t>
      </w:r>
    </w:p>
    <w:p w14:paraId="5AF3604B" w14:textId="13E95F06" w:rsidR="00952E85" w:rsidRPr="0082484A" w:rsidRDefault="00952E85" w:rsidP="00952E85">
      <w:pPr>
        <w:pStyle w:val="EndNoteBibliography"/>
        <w:spacing w:after="0"/>
        <w:rPr>
          <w:sz w:val="22"/>
        </w:rPr>
      </w:pPr>
      <w:r w:rsidRPr="0082484A">
        <w:rPr>
          <w:sz w:val="22"/>
        </w:rPr>
        <w:t>14.</w:t>
      </w:r>
      <w:r w:rsidRPr="0082484A">
        <w:rPr>
          <w:sz w:val="22"/>
        </w:rPr>
        <w:tab/>
        <w:t>Ward S, Jones ML, Pandor A, Holmes M, Ara R, Ryan A</w:t>
      </w:r>
      <w:r w:rsidRPr="0082484A">
        <w:rPr>
          <w:i/>
          <w:sz w:val="22"/>
        </w:rPr>
        <w:t>, et al.</w:t>
      </w:r>
      <w:r w:rsidRPr="0082484A">
        <w:rPr>
          <w:sz w:val="22"/>
        </w:rPr>
        <w:t xml:space="preserve"> A systematic review and economic evaluation of statins for the prevention of coronary events. </w:t>
      </w:r>
      <w:r w:rsidRPr="0082484A">
        <w:rPr>
          <w:i/>
          <w:sz w:val="22"/>
        </w:rPr>
        <w:t>Health Technology Assessment</w:t>
      </w:r>
      <w:r w:rsidRPr="0082484A">
        <w:rPr>
          <w:sz w:val="22"/>
        </w:rPr>
        <w:t xml:space="preserve"> 2007;</w:t>
      </w:r>
      <w:r w:rsidRPr="0082484A">
        <w:rPr>
          <w:b/>
          <w:sz w:val="22"/>
        </w:rPr>
        <w:t>11</w:t>
      </w:r>
      <w:r w:rsidRPr="0082484A">
        <w:rPr>
          <w:sz w:val="22"/>
        </w:rPr>
        <w:t xml:space="preserve">:1-+. </w:t>
      </w:r>
      <w:hyperlink r:id="rId13" w:history="1">
        <w:r w:rsidRPr="0082484A">
          <w:rPr>
            <w:rStyle w:val="Hyperlink"/>
            <w:sz w:val="22"/>
          </w:rPr>
          <w:t>https://doi.org/10.3310/hta11140</w:t>
        </w:r>
      </w:hyperlink>
    </w:p>
    <w:p w14:paraId="766E8429" w14:textId="7AEF14C9" w:rsidR="00952E85" w:rsidRPr="0082484A" w:rsidRDefault="00952E85" w:rsidP="00952E85">
      <w:pPr>
        <w:pStyle w:val="EndNoteBibliography"/>
        <w:rPr>
          <w:sz w:val="22"/>
        </w:rPr>
      </w:pPr>
      <w:r w:rsidRPr="0082484A">
        <w:rPr>
          <w:sz w:val="22"/>
        </w:rPr>
        <w:t>15.</w:t>
      </w:r>
      <w:r w:rsidRPr="0082484A">
        <w:rPr>
          <w:sz w:val="22"/>
        </w:rPr>
        <w:tab/>
        <w:t xml:space="preserve">Hippisley-Cox J, Coupland C, Brindle P. Development and validation of QRISK3 risk prediction algorithms to estimate future risk of cardiovascular disease: prospective cohort study. </w:t>
      </w:r>
      <w:r w:rsidRPr="0082484A">
        <w:rPr>
          <w:i/>
          <w:sz w:val="22"/>
        </w:rPr>
        <w:t>BMJ</w:t>
      </w:r>
      <w:r w:rsidRPr="0082484A">
        <w:rPr>
          <w:sz w:val="22"/>
        </w:rPr>
        <w:t xml:space="preserve"> 2017;</w:t>
      </w:r>
      <w:r w:rsidRPr="0082484A">
        <w:rPr>
          <w:b/>
          <w:sz w:val="22"/>
        </w:rPr>
        <w:t>357</w:t>
      </w:r>
      <w:r w:rsidRPr="0082484A">
        <w:rPr>
          <w:sz w:val="22"/>
        </w:rPr>
        <w:t xml:space="preserve">. </w:t>
      </w:r>
      <w:hyperlink r:id="rId14" w:history="1">
        <w:r w:rsidRPr="0082484A">
          <w:rPr>
            <w:rStyle w:val="Hyperlink"/>
            <w:sz w:val="22"/>
          </w:rPr>
          <w:t>https://doi.org/ARTN</w:t>
        </w:r>
      </w:hyperlink>
      <w:r w:rsidRPr="0082484A">
        <w:rPr>
          <w:sz w:val="22"/>
        </w:rPr>
        <w:t xml:space="preserve"> j2099</w:t>
      </w:r>
    </w:p>
    <w:p w14:paraId="5780740E" w14:textId="77777777" w:rsidR="00952E85" w:rsidRPr="0082484A" w:rsidRDefault="00952E85" w:rsidP="00952E85">
      <w:pPr>
        <w:pStyle w:val="EndNoteBibliography"/>
        <w:spacing w:after="0"/>
        <w:rPr>
          <w:sz w:val="22"/>
        </w:rPr>
      </w:pPr>
      <w:r w:rsidRPr="0082484A">
        <w:rPr>
          <w:sz w:val="22"/>
        </w:rPr>
        <w:t>10.1136/bmj.j2099</w:t>
      </w:r>
    </w:p>
    <w:p w14:paraId="25F2A0CC" w14:textId="40FD5848" w:rsidR="00952E85" w:rsidRPr="0082484A" w:rsidRDefault="00952E85" w:rsidP="00952E85">
      <w:pPr>
        <w:pStyle w:val="EndNoteBibliography"/>
        <w:spacing w:after="0"/>
        <w:rPr>
          <w:sz w:val="22"/>
        </w:rPr>
      </w:pPr>
      <w:r w:rsidRPr="0082484A">
        <w:rPr>
          <w:sz w:val="22"/>
        </w:rPr>
        <w:t>16.</w:t>
      </w:r>
      <w:r w:rsidRPr="0082484A">
        <w:rPr>
          <w:sz w:val="22"/>
        </w:rPr>
        <w:tab/>
        <w:t xml:space="preserve">Soriano LC, Fowkes FGR, Johansson S, Allum AM, Rodriguez LAG. Cardiovascular outcomes for patients with symptomatic peripheral artery disease: A cohort study in The Health Improvement Network (THIN) in the UK. </w:t>
      </w:r>
      <w:r w:rsidRPr="0082484A">
        <w:rPr>
          <w:i/>
          <w:sz w:val="22"/>
        </w:rPr>
        <w:t>Eur J Prev Cardiol</w:t>
      </w:r>
      <w:r w:rsidRPr="0082484A">
        <w:rPr>
          <w:sz w:val="22"/>
        </w:rPr>
        <w:t xml:space="preserve"> 2017;</w:t>
      </w:r>
      <w:r w:rsidRPr="0082484A">
        <w:rPr>
          <w:b/>
          <w:sz w:val="22"/>
        </w:rPr>
        <w:t>24</w:t>
      </w:r>
      <w:r w:rsidRPr="0082484A">
        <w:rPr>
          <w:sz w:val="22"/>
        </w:rPr>
        <w:t xml:space="preserve">:1927-37. </w:t>
      </w:r>
      <w:hyperlink r:id="rId15" w:history="1">
        <w:r w:rsidRPr="0082484A">
          <w:rPr>
            <w:rStyle w:val="Hyperlink"/>
            <w:sz w:val="22"/>
          </w:rPr>
          <w:t>https://doi.org/10.1177/2047487317736824</w:t>
        </w:r>
      </w:hyperlink>
    </w:p>
    <w:p w14:paraId="64FAB645" w14:textId="5230A656" w:rsidR="00952E85" w:rsidRPr="0082484A" w:rsidRDefault="00952E85" w:rsidP="00952E85">
      <w:pPr>
        <w:pStyle w:val="EndNoteBibliography"/>
        <w:spacing w:after="0"/>
        <w:rPr>
          <w:sz w:val="22"/>
        </w:rPr>
      </w:pPr>
      <w:r w:rsidRPr="0082484A">
        <w:rPr>
          <w:sz w:val="22"/>
        </w:rPr>
        <w:t>17.</w:t>
      </w:r>
      <w:r w:rsidRPr="0082484A">
        <w:rPr>
          <w:sz w:val="22"/>
        </w:rPr>
        <w:tab/>
        <w:t>Bronnum-Hansen H, Jorgensen T, Davidsen M, Madsen M, Osler M, Gerdes LU</w:t>
      </w:r>
      <w:r w:rsidRPr="0082484A">
        <w:rPr>
          <w:i/>
          <w:sz w:val="22"/>
        </w:rPr>
        <w:t>, et al.</w:t>
      </w:r>
      <w:r w:rsidRPr="0082484A">
        <w:rPr>
          <w:sz w:val="22"/>
        </w:rPr>
        <w:t xml:space="preserve"> Survival and cause of death after myocardial infarction: The Danish MONICA study. </w:t>
      </w:r>
      <w:r w:rsidRPr="0082484A">
        <w:rPr>
          <w:i/>
          <w:sz w:val="22"/>
        </w:rPr>
        <w:t>J Clin Epidemiol</w:t>
      </w:r>
      <w:r w:rsidRPr="0082484A">
        <w:rPr>
          <w:sz w:val="22"/>
        </w:rPr>
        <w:t xml:space="preserve"> 2001;</w:t>
      </w:r>
      <w:r w:rsidRPr="0082484A">
        <w:rPr>
          <w:b/>
          <w:sz w:val="22"/>
        </w:rPr>
        <w:t>54</w:t>
      </w:r>
      <w:r w:rsidRPr="0082484A">
        <w:rPr>
          <w:sz w:val="22"/>
        </w:rPr>
        <w:t xml:space="preserve">:1244-50. </w:t>
      </w:r>
      <w:hyperlink r:id="rId16" w:history="1">
        <w:r w:rsidRPr="0082484A">
          <w:rPr>
            <w:rStyle w:val="Hyperlink"/>
            <w:sz w:val="22"/>
          </w:rPr>
          <w:t>https://doi.org/Doi</w:t>
        </w:r>
      </w:hyperlink>
      <w:r w:rsidRPr="0082484A">
        <w:rPr>
          <w:sz w:val="22"/>
        </w:rPr>
        <w:t xml:space="preserve"> 10.1016/S0895-4356(01)00405-X</w:t>
      </w:r>
    </w:p>
    <w:p w14:paraId="1342BA4C" w14:textId="77777777" w:rsidR="00952E85" w:rsidRPr="0082484A" w:rsidRDefault="00952E85" w:rsidP="00952E85">
      <w:pPr>
        <w:pStyle w:val="EndNoteBibliography"/>
        <w:spacing w:after="0"/>
        <w:rPr>
          <w:sz w:val="22"/>
        </w:rPr>
      </w:pPr>
      <w:r w:rsidRPr="0082484A">
        <w:rPr>
          <w:sz w:val="22"/>
        </w:rPr>
        <w:t>18.</w:t>
      </w:r>
      <w:r w:rsidRPr="0082484A">
        <w:rPr>
          <w:sz w:val="22"/>
        </w:rPr>
        <w:tab/>
        <w:t xml:space="preserve">National Institute for Health and Clinical Excellence (NICE). </w:t>
      </w:r>
      <w:r w:rsidRPr="0082484A">
        <w:rPr>
          <w:i/>
          <w:sz w:val="22"/>
        </w:rPr>
        <w:t>Unstable angina and NSTEMI: early management [CG94]</w:t>
      </w:r>
      <w:r w:rsidRPr="0082484A">
        <w:rPr>
          <w:sz w:val="22"/>
        </w:rPr>
        <w:t>; 2010.</w:t>
      </w:r>
    </w:p>
    <w:p w14:paraId="76675313" w14:textId="2F6A0577" w:rsidR="00952E85" w:rsidRPr="0082484A" w:rsidRDefault="00952E85" w:rsidP="00952E85">
      <w:pPr>
        <w:pStyle w:val="EndNoteBibliography"/>
        <w:spacing w:after="0"/>
        <w:rPr>
          <w:sz w:val="22"/>
        </w:rPr>
      </w:pPr>
      <w:r w:rsidRPr="0082484A">
        <w:rPr>
          <w:sz w:val="22"/>
        </w:rPr>
        <w:t>19.</w:t>
      </w:r>
      <w:r w:rsidRPr="0082484A">
        <w:rPr>
          <w:sz w:val="22"/>
        </w:rPr>
        <w:tab/>
        <w:t xml:space="preserve">Rosengren A, Wilhelmsen L, Hagman M, Wedel H. Natural history of myocardial infarction and angina pectoris in a general population sample of middle-aged men: a 16-year follow-up of the primary prevention study, Goteborg, Sweden. </w:t>
      </w:r>
      <w:r w:rsidRPr="0082484A">
        <w:rPr>
          <w:i/>
          <w:sz w:val="22"/>
        </w:rPr>
        <w:t>Journal of Internal Medicine</w:t>
      </w:r>
      <w:r w:rsidRPr="0082484A">
        <w:rPr>
          <w:sz w:val="22"/>
        </w:rPr>
        <w:t xml:space="preserve"> 1998;</w:t>
      </w:r>
      <w:r w:rsidRPr="0082484A">
        <w:rPr>
          <w:b/>
          <w:sz w:val="22"/>
        </w:rPr>
        <w:t>244</w:t>
      </w:r>
      <w:r w:rsidRPr="0082484A">
        <w:rPr>
          <w:sz w:val="22"/>
        </w:rPr>
        <w:t xml:space="preserve">:495-505. </w:t>
      </w:r>
      <w:hyperlink r:id="rId17" w:history="1">
        <w:r w:rsidRPr="0082484A">
          <w:rPr>
            <w:rStyle w:val="Hyperlink"/>
            <w:sz w:val="22"/>
          </w:rPr>
          <w:t>https://doi.org/DOI</w:t>
        </w:r>
      </w:hyperlink>
      <w:r w:rsidRPr="0082484A">
        <w:rPr>
          <w:sz w:val="22"/>
        </w:rPr>
        <w:t xml:space="preserve"> 10.1111/j.1365-2796.1998.00394.x</w:t>
      </w:r>
    </w:p>
    <w:p w14:paraId="7790C085" w14:textId="11606001" w:rsidR="00952E85" w:rsidRPr="0082484A" w:rsidRDefault="00952E85" w:rsidP="00952E85">
      <w:pPr>
        <w:pStyle w:val="EndNoteBibliography"/>
        <w:spacing w:after="0"/>
        <w:rPr>
          <w:sz w:val="22"/>
        </w:rPr>
      </w:pPr>
      <w:r w:rsidRPr="0082484A">
        <w:rPr>
          <w:sz w:val="22"/>
        </w:rPr>
        <w:t>20.</w:t>
      </w:r>
      <w:r w:rsidRPr="0082484A">
        <w:rPr>
          <w:sz w:val="22"/>
        </w:rPr>
        <w:tab/>
        <w:t xml:space="preserve">Bronnum-Hansen H, Davidsen M, Thorvaldsen P, Grp DMS. Long-term survival and causes of death after stroke. </w:t>
      </w:r>
      <w:r w:rsidRPr="0082484A">
        <w:rPr>
          <w:i/>
          <w:sz w:val="22"/>
        </w:rPr>
        <w:t>Stroke</w:t>
      </w:r>
      <w:r w:rsidRPr="0082484A">
        <w:rPr>
          <w:sz w:val="22"/>
        </w:rPr>
        <w:t xml:space="preserve"> 2001;</w:t>
      </w:r>
      <w:r w:rsidRPr="0082484A">
        <w:rPr>
          <w:b/>
          <w:sz w:val="22"/>
        </w:rPr>
        <w:t>32</w:t>
      </w:r>
      <w:r w:rsidRPr="0082484A">
        <w:rPr>
          <w:sz w:val="22"/>
        </w:rPr>
        <w:t xml:space="preserve">:2131-6. </w:t>
      </w:r>
      <w:hyperlink r:id="rId18" w:history="1">
        <w:r w:rsidRPr="0082484A">
          <w:rPr>
            <w:rStyle w:val="Hyperlink"/>
            <w:sz w:val="22"/>
          </w:rPr>
          <w:t>https://doi.org/DOI</w:t>
        </w:r>
      </w:hyperlink>
      <w:r w:rsidRPr="0082484A">
        <w:rPr>
          <w:sz w:val="22"/>
        </w:rPr>
        <w:t xml:space="preserve"> 10.1161/hs0901.094253</w:t>
      </w:r>
    </w:p>
    <w:p w14:paraId="042E4031" w14:textId="394FBB90" w:rsidR="00952E85" w:rsidRPr="0082484A" w:rsidRDefault="00952E85" w:rsidP="00952E85">
      <w:pPr>
        <w:pStyle w:val="EndNoteBibliography"/>
        <w:spacing w:after="0"/>
        <w:rPr>
          <w:sz w:val="22"/>
        </w:rPr>
      </w:pPr>
      <w:r w:rsidRPr="0082484A">
        <w:rPr>
          <w:sz w:val="22"/>
        </w:rPr>
        <w:t>21.</w:t>
      </w:r>
      <w:r w:rsidRPr="0082484A">
        <w:rPr>
          <w:sz w:val="22"/>
        </w:rPr>
        <w:tab/>
        <w:t xml:space="preserve">Dennis M, Bamford J, Sandercock P, Warlow C. Prognosis of Transient Ischemic Attacks in the Oxfordshire-Community-Stroke-Project. </w:t>
      </w:r>
      <w:r w:rsidRPr="0082484A">
        <w:rPr>
          <w:i/>
          <w:sz w:val="22"/>
        </w:rPr>
        <w:t>Stroke</w:t>
      </w:r>
      <w:r w:rsidRPr="0082484A">
        <w:rPr>
          <w:sz w:val="22"/>
        </w:rPr>
        <w:t xml:space="preserve"> 1990;</w:t>
      </w:r>
      <w:r w:rsidRPr="0082484A">
        <w:rPr>
          <w:b/>
          <w:sz w:val="22"/>
        </w:rPr>
        <w:t>21</w:t>
      </w:r>
      <w:r w:rsidRPr="0082484A">
        <w:rPr>
          <w:sz w:val="22"/>
        </w:rPr>
        <w:t xml:space="preserve">:848-53. </w:t>
      </w:r>
      <w:hyperlink r:id="rId19" w:history="1">
        <w:r w:rsidRPr="0082484A">
          <w:rPr>
            <w:rStyle w:val="Hyperlink"/>
            <w:sz w:val="22"/>
          </w:rPr>
          <w:t>https://doi.org/Doi</w:t>
        </w:r>
      </w:hyperlink>
      <w:r w:rsidRPr="0082484A">
        <w:rPr>
          <w:sz w:val="22"/>
        </w:rPr>
        <w:t xml:space="preserve"> 10.1161/01.Str.21.6.848</w:t>
      </w:r>
    </w:p>
    <w:p w14:paraId="1AF861E6" w14:textId="42DB5BCE" w:rsidR="00952E85" w:rsidRPr="0082484A" w:rsidRDefault="00952E85" w:rsidP="00952E85">
      <w:pPr>
        <w:pStyle w:val="EndNoteBibliography"/>
        <w:rPr>
          <w:sz w:val="22"/>
        </w:rPr>
      </w:pPr>
      <w:r w:rsidRPr="0082484A">
        <w:rPr>
          <w:sz w:val="22"/>
        </w:rPr>
        <w:t>22.</w:t>
      </w:r>
      <w:r w:rsidRPr="0082484A">
        <w:rPr>
          <w:sz w:val="22"/>
        </w:rPr>
        <w:tab/>
        <w:t xml:space="preserve">Law MR, Morris JK, Wald NJ. Use of blood pressure lowering drugs in the prevention of cardiovascular disease: meta-analysis of 147 randomised trials in the context of expectations from prospective epidemiological studies. </w:t>
      </w:r>
      <w:r w:rsidRPr="0082484A">
        <w:rPr>
          <w:i/>
          <w:sz w:val="22"/>
        </w:rPr>
        <w:t>BMJ</w:t>
      </w:r>
      <w:r w:rsidRPr="0082484A">
        <w:rPr>
          <w:sz w:val="22"/>
        </w:rPr>
        <w:t xml:space="preserve"> 2009;</w:t>
      </w:r>
      <w:r w:rsidRPr="0082484A">
        <w:rPr>
          <w:b/>
          <w:sz w:val="22"/>
        </w:rPr>
        <w:t>338</w:t>
      </w:r>
      <w:r w:rsidRPr="0082484A">
        <w:rPr>
          <w:sz w:val="22"/>
        </w:rPr>
        <w:t xml:space="preserve">. </w:t>
      </w:r>
      <w:hyperlink r:id="rId20" w:history="1">
        <w:r w:rsidRPr="0082484A">
          <w:rPr>
            <w:rStyle w:val="Hyperlink"/>
            <w:sz w:val="22"/>
          </w:rPr>
          <w:t>https://doi.org/ARTN</w:t>
        </w:r>
      </w:hyperlink>
      <w:r w:rsidRPr="0082484A">
        <w:rPr>
          <w:sz w:val="22"/>
        </w:rPr>
        <w:t xml:space="preserve"> b1665</w:t>
      </w:r>
    </w:p>
    <w:p w14:paraId="67FFE365" w14:textId="77777777" w:rsidR="00952E85" w:rsidRPr="0082484A" w:rsidRDefault="00952E85" w:rsidP="00952E85">
      <w:pPr>
        <w:pStyle w:val="EndNoteBibliography"/>
        <w:spacing w:after="0"/>
        <w:rPr>
          <w:sz w:val="22"/>
        </w:rPr>
      </w:pPr>
      <w:r w:rsidRPr="0082484A">
        <w:rPr>
          <w:sz w:val="22"/>
        </w:rPr>
        <w:t>10.1136/bmj.b1665</w:t>
      </w:r>
    </w:p>
    <w:p w14:paraId="14F0306E" w14:textId="745DB52A" w:rsidR="00952E85" w:rsidRPr="0082484A" w:rsidRDefault="00952E85" w:rsidP="00952E85">
      <w:pPr>
        <w:pStyle w:val="EndNoteBibliography"/>
        <w:spacing w:after="0"/>
        <w:rPr>
          <w:sz w:val="22"/>
        </w:rPr>
      </w:pPr>
      <w:r w:rsidRPr="0082484A">
        <w:rPr>
          <w:sz w:val="22"/>
        </w:rPr>
        <w:t>23.</w:t>
      </w:r>
      <w:r w:rsidRPr="0082484A">
        <w:rPr>
          <w:sz w:val="22"/>
        </w:rPr>
        <w:tab/>
        <w:t xml:space="preserve">Public Health England. </w:t>
      </w:r>
      <w:r w:rsidRPr="0082484A">
        <w:rPr>
          <w:i/>
          <w:sz w:val="22"/>
        </w:rPr>
        <w:t>Diabetes Prevalence Model</w:t>
      </w:r>
      <w:r w:rsidRPr="0082484A">
        <w:rPr>
          <w:sz w:val="22"/>
        </w:rPr>
        <w:t xml:space="preserve">. 2016. URL: </w:t>
      </w:r>
      <w:hyperlink r:id="rId21" w:history="1">
        <w:r w:rsidRPr="0082484A">
          <w:rPr>
            <w:rStyle w:val="Hyperlink"/>
            <w:sz w:val="22"/>
          </w:rPr>
          <w:t>https://www.gov.uk/government/uploads/system/uploads/attachment_data/file/612306/Diabetesprevalencemodelbriefing.pdf</w:t>
        </w:r>
      </w:hyperlink>
      <w:r w:rsidRPr="0082484A">
        <w:rPr>
          <w:sz w:val="22"/>
        </w:rPr>
        <w:t xml:space="preserve"> (accessed 26/04/2019).</w:t>
      </w:r>
    </w:p>
    <w:p w14:paraId="017C239B" w14:textId="49FC0976" w:rsidR="00952E85" w:rsidRPr="0082484A" w:rsidRDefault="00952E85" w:rsidP="00952E85">
      <w:pPr>
        <w:pStyle w:val="EndNoteBibliography"/>
        <w:spacing w:after="0"/>
        <w:rPr>
          <w:sz w:val="22"/>
        </w:rPr>
      </w:pPr>
      <w:r w:rsidRPr="0082484A">
        <w:rPr>
          <w:sz w:val="22"/>
        </w:rPr>
        <w:t>24.</w:t>
      </w:r>
      <w:r w:rsidRPr="0082484A">
        <w:rPr>
          <w:sz w:val="22"/>
        </w:rPr>
        <w:tab/>
        <w:t>Holbrook T, Tang YX, Das R, Shankar RR, Tunceli K, Williams J</w:t>
      </w:r>
      <w:r w:rsidRPr="0082484A">
        <w:rPr>
          <w:i/>
          <w:sz w:val="22"/>
        </w:rPr>
        <w:t>, et al.</w:t>
      </w:r>
      <w:r w:rsidRPr="0082484A">
        <w:rPr>
          <w:sz w:val="22"/>
        </w:rPr>
        <w:t xml:space="preserve"> Direct medical costs of severe hypoglycaemic events in patients with type 2 diabetes in England: A retrospective database study. </w:t>
      </w:r>
      <w:r w:rsidRPr="0082484A">
        <w:rPr>
          <w:i/>
          <w:sz w:val="22"/>
        </w:rPr>
        <w:t>International Journal of Clinical Practice,</w:t>
      </w:r>
      <w:r w:rsidRPr="0082484A">
        <w:rPr>
          <w:sz w:val="22"/>
        </w:rPr>
        <w:t xml:space="preserve"> 2017;</w:t>
      </w:r>
      <w:r w:rsidRPr="0082484A">
        <w:rPr>
          <w:b/>
          <w:sz w:val="22"/>
        </w:rPr>
        <w:t>71</w:t>
      </w:r>
      <w:r w:rsidRPr="0082484A">
        <w:rPr>
          <w:sz w:val="22"/>
        </w:rPr>
        <w:t xml:space="preserve">. </w:t>
      </w:r>
      <w:hyperlink r:id="rId22" w:history="1">
        <w:r w:rsidRPr="0082484A">
          <w:rPr>
            <w:rStyle w:val="Hyperlink"/>
            <w:sz w:val="22"/>
          </w:rPr>
          <w:t>https://doi.org/ARTN</w:t>
        </w:r>
      </w:hyperlink>
      <w:r w:rsidRPr="0082484A">
        <w:rPr>
          <w:sz w:val="22"/>
        </w:rPr>
        <w:t xml:space="preserve"> e1295810.1111/ijcp.12958</w:t>
      </w:r>
    </w:p>
    <w:p w14:paraId="2DDB490F" w14:textId="6503E1C9" w:rsidR="00952E85" w:rsidRPr="0082484A" w:rsidRDefault="00952E85" w:rsidP="00952E85">
      <w:pPr>
        <w:pStyle w:val="EndNoteBibliography"/>
        <w:spacing w:after="0"/>
        <w:rPr>
          <w:sz w:val="22"/>
        </w:rPr>
      </w:pPr>
      <w:r w:rsidRPr="0082484A">
        <w:rPr>
          <w:sz w:val="22"/>
        </w:rPr>
        <w:t>25.</w:t>
      </w:r>
      <w:r w:rsidRPr="0082484A">
        <w:rPr>
          <w:sz w:val="22"/>
        </w:rPr>
        <w:tab/>
        <w:t xml:space="preserve">Collier A, Ghosh S, Hair M, Waugh N. Gender differences and patterns of cardiovascular risk factors in Type 1 and Type 2 diabetes: a population-based analysis from a Scottish region. </w:t>
      </w:r>
      <w:r w:rsidRPr="0082484A">
        <w:rPr>
          <w:i/>
          <w:sz w:val="22"/>
        </w:rPr>
        <w:t>Diabet Med</w:t>
      </w:r>
      <w:r w:rsidRPr="0082484A">
        <w:rPr>
          <w:sz w:val="22"/>
        </w:rPr>
        <w:t xml:space="preserve"> 2015;</w:t>
      </w:r>
      <w:r w:rsidRPr="0082484A">
        <w:rPr>
          <w:b/>
          <w:sz w:val="22"/>
        </w:rPr>
        <w:t>32</w:t>
      </w:r>
      <w:r w:rsidRPr="0082484A">
        <w:rPr>
          <w:sz w:val="22"/>
        </w:rPr>
        <w:t xml:space="preserve">:42-6. </w:t>
      </w:r>
      <w:hyperlink r:id="rId23" w:history="1">
        <w:r w:rsidRPr="0082484A">
          <w:rPr>
            <w:rStyle w:val="Hyperlink"/>
            <w:sz w:val="22"/>
          </w:rPr>
          <w:t>https://doi.org/10.1111/dme.12569</w:t>
        </w:r>
      </w:hyperlink>
    </w:p>
    <w:p w14:paraId="1FE203E2" w14:textId="77777777" w:rsidR="00952E85" w:rsidRPr="0082484A" w:rsidRDefault="00952E85" w:rsidP="00952E85">
      <w:pPr>
        <w:pStyle w:val="EndNoteBibliography"/>
        <w:spacing w:after="0"/>
        <w:rPr>
          <w:sz w:val="22"/>
        </w:rPr>
      </w:pPr>
      <w:r w:rsidRPr="0082484A">
        <w:rPr>
          <w:sz w:val="22"/>
        </w:rPr>
        <w:t>26.</w:t>
      </w:r>
      <w:r w:rsidRPr="0082484A">
        <w:rPr>
          <w:sz w:val="22"/>
        </w:rPr>
        <w:tab/>
        <w:t xml:space="preserve">Moody A. Adult anthropometric measures, overweight and obesity. In: Craig R, Mindell J, editors. </w:t>
      </w:r>
      <w:r w:rsidRPr="0082484A">
        <w:rPr>
          <w:i/>
          <w:sz w:val="22"/>
        </w:rPr>
        <w:t>Health Survey for England – 2012 (Report). Volume 1: Health, social care and lifestyles. Health and Social Care Information Centre</w:t>
      </w:r>
      <w:r w:rsidRPr="0082484A">
        <w:rPr>
          <w:sz w:val="22"/>
        </w:rPr>
        <w:t>; 2010:20.</w:t>
      </w:r>
    </w:p>
    <w:p w14:paraId="3A90B8A6" w14:textId="60F9C7C4" w:rsidR="00952E85" w:rsidRPr="0082484A" w:rsidRDefault="00952E85" w:rsidP="00952E85">
      <w:pPr>
        <w:pStyle w:val="EndNoteBibliography"/>
        <w:spacing w:after="0"/>
        <w:rPr>
          <w:sz w:val="22"/>
        </w:rPr>
      </w:pPr>
      <w:r w:rsidRPr="0082484A">
        <w:rPr>
          <w:sz w:val="22"/>
        </w:rPr>
        <w:t>27.</w:t>
      </w:r>
      <w:r w:rsidRPr="0082484A">
        <w:rPr>
          <w:sz w:val="22"/>
        </w:rPr>
        <w:tab/>
        <w:t xml:space="preserve">Macedo AF, Douglas I, Smeeth L, Forbes H, Ebrahim S. Statins and the risk of type 2 diabetes mellitus: cohort study using the UK clinical practice pesearch datalink. </w:t>
      </w:r>
      <w:r w:rsidRPr="0082484A">
        <w:rPr>
          <w:i/>
          <w:sz w:val="22"/>
        </w:rPr>
        <w:t>BMC Cardiovasc Disord</w:t>
      </w:r>
      <w:r w:rsidRPr="0082484A">
        <w:rPr>
          <w:sz w:val="22"/>
        </w:rPr>
        <w:t xml:space="preserve"> 2014;</w:t>
      </w:r>
      <w:r w:rsidRPr="0082484A">
        <w:rPr>
          <w:b/>
          <w:sz w:val="22"/>
        </w:rPr>
        <w:t>14</w:t>
      </w:r>
      <w:r w:rsidRPr="0082484A">
        <w:rPr>
          <w:sz w:val="22"/>
        </w:rPr>
        <w:t xml:space="preserve">:85. </w:t>
      </w:r>
      <w:hyperlink r:id="rId24" w:history="1">
        <w:r w:rsidRPr="0082484A">
          <w:rPr>
            <w:rStyle w:val="Hyperlink"/>
            <w:sz w:val="22"/>
          </w:rPr>
          <w:t>https://doi.org/10.1186/1471-2261-14-85</w:t>
        </w:r>
      </w:hyperlink>
    </w:p>
    <w:p w14:paraId="1757A9B3" w14:textId="69718BAF" w:rsidR="00952E85" w:rsidRPr="0082484A" w:rsidRDefault="00952E85" w:rsidP="00952E85">
      <w:pPr>
        <w:pStyle w:val="EndNoteBibliography"/>
        <w:spacing w:after="0"/>
        <w:rPr>
          <w:sz w:val="22"/>
        </w:rPr>
      </w:pPr>
      <w:r w:rsidRPr="0082484A">
        <w:rPr>
          <w:sz w:val="22"/>
        </w:rPr>
        <w:t>28.</w:t>
      </w:r>
      <w:r w:rsidRPr="0082484A">
        <w:rPr>
          <w:sz w:val="22"/>
        </w:rPr>
        <w:tab/>
        <w:t xml:space="preserve">Guo VYW, Brage S, Ekelund U, Griffin SJ, Simmons RK, Team A-PS. Objectively measured sedentary time, physical activity and kidney function in people with recently diagnosed Type2 diabetes: a prospective cohort analysis. </w:t>
      </w:r>
      <w:r w:rsidRPr="0082484A">
        <w:rPr>
          <w:i/>
          <w:sz w:val="22"/>
        </w:rPr>
        <w:t>Diabetic Medicine</w:t>
      </w:r>
      <w:r w:rsidRPr="0082484A">
        <w:rPr>
          <w:sz w:val="22"/>
        </w:rPr>
        <w:t xml:space="preserve"> 2016;</w:t>
      </w:r>
      <w:r w:rsidRPr="0082484A">
        <w:rPr>
          <w:b/>
          <w:sz w:val="22"/>
        </w:rPr>
        <w:t>33</w:t>
      </w:r>
      <w:r w:rsidRPr="0082484A">
        <w:rPr>
          <w:sz w:val="22"/>
        </w:rPr>
        <w:t xml:space="preserve">:1222-9. </w:t>
      </w:r>
      <w:hyperlink r:id="rId25" w:history="1">
        <w:r w:rsidRPr="0082484A">
          <w:rPr>
            <w:rStyle w:val="Hyperlink"/>
            <w:sz w:val="22"/>
          </w:rPr>
          <w:t>https://doi.org/10.1111/dme.12886</w:t>
        </w:r>
      </w:hyperlink>
    </w:p>
    <w:p w14:paraId="3C1A0CF0" w14:textId="44089E7A" w:rsidR="00952E85" w:rsidRPr="0082484A" w:rsidRDefault="00952E85" w:rsidP="00952E85">
      <w:pPr>
        <w:pStyle w:val="EndNoteBibliography"/>
        <w:spacing w:after="0"/>
        <w:rPr>
          <w:sz w:val="22"/>
        </w:rPr>
      </w:pPr>
      <w:r w:rsidRPr="0082484A">
        <w:rPr>
          <w:sz w:val="22"/>
        </w:rPr>
        <w:t>29.</w:t>
      </w:r>
      <w:r w:rsidRPr="0082484A">
        <w:rPr>
          <w:sz w:val="22"/>
        </w:rPr>
        <w:tab/>
      </w:r>
      <w:r w:rsidRPr="0082484A">
        <w:rPr>
          <w:i/>
          <w:sz w:val="22"/>
        </w:rPr>
        <w:t xml:space="preserve">Diabetes Support Forum. 'HbA1c - converting mmol/mol results to %'.  </w:t>
      </w:r>
      <w:hyperlink r:id="rId26" w:history="1">
        <w:r w:rsidRPr="0082484A">
          <w:rPr>
            <w:rStyle w:val="Hyperlink"/>
            <w:i/>
            <w:sz w:val="22"/>
          </w:rPr>
          <w:t>http://diabetes-support.org.uk/diabetes_forum/index.php?topic=2286.0</w:t>
        </w:r>
      </w:hyperlink>
      <w:r w:rsidRPr="0082484A">
        <w:rPr>
          <w:sz w:val="22"/>
        </w:rPr>
        <w:t>. 01/03/2019).</w:t>
      </w:r>
    </w:p>
    <w:p w14:paraId="67C9ED1F" w14:textId="19B4895C" w:rsidR="00952E85" w:rsidRPr="0082484A" w:rsidRDefault="00952E85" w:rsidP="00952E85">
      <w:pPr>
        <w:pStyle w:val="EndNoteBibliography"/>
        <w:spacing w:after="0"/>
        <w:rPr>
          <w:sz w:val="22"/>
        </w:rPr>
      </w:pPr>
      <w:r w:rsidRPr="0082484A">
        <w:rPr>
          <w:sz w:val="22"/>
        </w:rPr>
        <w:t>30.</w:t>
      </w:r>
      <w:r w:rsidRPr="0082484A">
        <w:rPr>
          <w:sz w:val="22"/>
        </w:rPr>
        <w:tab/>
        <w:t>Hillis GS, Woodward M, Rodgers A, Chow CK, Li Q, Zoungas S</w:t>
      </w:r>
      <w:r w:rsidRPr="0082484A">
        <w:rPr>
          <w:i/>
          <w:sz w:val="22"/>
        </w:rPr>
        <w:t>, et al.</w:t>
      </w:r>
      <w:r w:rsidRPr="0082484A">
        <w:rPr>
          <w:sz w:val="22"/>
        </w:rPr>
        <w:t xml:space="preserve"> Resting heart rate and the risk of death and cardiovascular complications in patients with type 2 diabetes mellitus. </w:t>
      </w:r>
      <w:r w:rsidRPr="0082484A">
        <w:rPr>
          <w:i/>
          <w:sz w:val="22"/>
        </w:rPr>
        <w:t>Diabetologia</w:t>
      </w:r>
      <w:r w:rsidRPr="0082484A">
        <w:rPr>
          <w:sz w:val="22"/>
        </w:rPr>
        <w:t xml:space="preserve"> 2012;</w:t>
      </w:r>
      <w:r w:rsidRPr="0082484A">
        <w:rPr>
          <w:b/>
          <w:sz w:val="22"/>
        </w:rPr>
        <w:t>55</w:t>
      </w:r>
      <w:r w:rsidRPr="0082484A">
        <w:rPr>
          <w:sz w:val="22"/>
        </w:rPr>
        <w:t xml:space="preserve">:1283-90. </w:t>
      </w:r>
      <w:hyperlink r:id="rId27" w:history="1">
        <w:r w:rsidRPr="0082484A">
          <w:rPr>
            <w:rStyle w:val="Hyperlink"/>
            <w:sz w:val="22"/>
          </w:rPr>
          <w:t>https://doi.org/10.1007/s00125-012-2471-y</w:t>
        </w:r>
      </w:hyperlink>
    </w:p>
    <w:p w14:paraId="144853FF" w14:textId="3E065C7F" w:rsidR="00952E85" w:rsidRPr="0082484A" w:rsidRDefault="00952E85" w:rsidP="00952E85">
      <w:pPr>
        <w:pStyle w:val="EndNoteBibliography"/>
        <w:spacing w:after="0"/>
        <w:rPr>
          <w:sz w:val="22"/>
        </w:rPr>
      </w:pPr>
      <w:r w:rsidRPr="0082484A">
        <w:rPr>
          <w:sz w:val="22"/>
        </w:rPr>
        <w:t>31.</w:t>
      </w:r>
      <w:r w:rsidRPr="0082484A">
        <w:rPr>
          <w:sz w:val="22"/>
        </w:rPr>
        <w:tab/>
        <w:t>Laake JP, Stahl D, Amiel SA, Petrak F, Sherwood RA, Pickup JC</w:t>
      </w:r>
      <w:r w:rsidRPr="0082484A">
        <w:rPr>
          <w:i/>
          <w:sz w:val="22"/>
        </w:rPr>
        <w:t>, et al.</w:t>
      </w:r>
      <w:r w:rsidRPr="0082484A">
        <w:rPr>
          <w:sz w:val="22"/>
        </w:rPr>
        <w:t xml:space="preserve"> The association between depressive symptoms and systemic inflammation in people with type 2 diabetes: findings from the South London Diabetes Study. </w:t>
      </w:r>
      <w:r w:rsidRPr="0082484A">
        <w:rPr>
          <w:i/>
          <w:sz w:val="22"/>
        </w:rPr>
        <w:t>Diabetes Care</w:t>
      </w:r>
      <w:r w:rsidRPr="0082484A">
        <w:rPr>
          <w:sz w:val="22"/>
        </w:rPr>
        <w:t xml:space="preserve"> 2014;</w:t>
      </w:r>
      <w:r w:rsidRPr="0082484A">
        <w:rPr>
          <w:b/>
          <w:sz w:val="22"/>
        </w:rPr>
        <w:t>37</w:t>
      </w:r>
      <w:r w:rsidRPr="0082484A">
        <w:rPr>
          <w:sz w:val="22"/>
        </w:rPr>
        <w:t xml:space="preserve">:2186-92. </w:t>
      </w:r>
      <w:hyperlink r:id="rId28" w:history="1">
        <w:r w:rsidRPr="0082484A">
          <w:rPr>
            <w:rStyle w:val="Hyperlink"/>
            <w:sz w:val="22"/>
          </w:rPr>
          <w:t>https://doi.org/10.2337/dc13-2522</w:t>
        </w:r>
      </w:hyperlink>
    </w:p>
    <w:p w14:paraId="7E5AE7E6" w14:textId="15175852" w:rsidR="00952E85" w:rsidRPr="0082484A" w:rsidRDefault="00952E85" w:rsidP="00952E85">
      <w:pPr>
        <w:pStyle w:val="EndNoteBibliography"/>
        <w:rPr>
          <w:sz w:val="22"/>
        </w:rPr>
      </w:pPr>
      <w:r w:rsidRPr="0082484A">
        <w:rPr>
          <w:sz w:val="22"/>
        </w:rPr>
        <w:t>32.</w:t>
      </w:r>
      <w:r w:rsidRPr="0082484A">
        <w:rPr>
          <w:sz w:val="22"/>
        </w:rPr>
        <w:tab/>
        <w:t xml:space="preserve">Stevens PE. Anaemia, diabetes and chronic kidney disease: where are we now? </w:t>
      </w:r>
      <w:r w:rsidRPr="0082484A">
        <w:rPr>
          <w:i/>
          <w:sz w:val="22"/>
        </w:rPr>
        <w:t>J Ren Care</w:t>
      </w:r>
      <w:r w:rsidRPr="0082484A">
        <w:rPr>
          <w:sz w:val="22"/>
        </w:rPr>
        <w:t xml:space="preserve"> 2012;</w:t>
      </w:r>
      <w:r w:rsidRPr="0082484A">
        <w:rPr>
          <w:b/>
          <w:sz w:val="22"/>
        </w:rPr>
        <w:t>38 Suppl 1</w:t>
      </w:r>
      <w:r w:rsidRPr="0082484A">
        <w:rPr>
          <w:sz w:val="22"/>
        </w:rPr>
        <w:t xml:space="preserve">:67-77. </w:t>
      </w:r>
      <w:hyperlink r:id="rId29" w:history="1">
        <w:r w:rsidRPr="0082484A">
          <w:rPr>
            <w:rStyle w:val="Hyperlink"/>
            <w:sz w:val="22"/>
          </w:rPr>
          <w:t>https://doi.org/10.1111/j.1755-6686.2012.00281.x</w:t>
        </w:r>
      </w:hyperlink>
    </w:p>
    <w:p w14:paraId="74C42C20" w14:textId="4D6A3408" w:rsidR="00B77EA3" w:rsidRPr="0082484A" w:rsidRDefault="00952E85" w:rsidP="002A237B">
      <w:pPr>
        <w:rPr>
          <w:sz w:val="22"/>
          <w:szCs w:val="22"/>
        </w:rPr>
      </w:pPr>
      <w:r w:rsidRPr="0082484A">
        <w:rPr>
          <w:sz w:val="22"/>
          <w:szCs w:val="22"/>
        </w:rPr>
        <w:fldChar w:fldCharType="end"/>
      </w:r>
    </w:p>
    <w:sectPr w:rsidR="00B77EA3" w:rsidRPr="0082484A" w:rsidSect="009A3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B63D4"/>
    <w:multiLevelType w:val="hybridMultilevel"/>
    <w:tmpl w:val="1F4AA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2E432F"/>
    <w:multiLevelType w:val="hybridMultilevel"/>
    <w:tmpl w:val="B29A3A6A"/>
    <w:lvl w:ilvl="0" w:tplc="9E90A22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C359E"/>
    <w:multiLevelType w:val="hybridMultilevel"/>
    <w:tmpl w:val="3BC0B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125678"/>
    <w:multiLevelType w:val="hybridMultilevel"/>
    <w:tmpl w:val="98849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870025"/>
    <w:multiLevelType w:val="hybridMultilevel"/>
    <w:tmpl w:val="72245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95CBC"/>
    <w:multiLevelType w:val="hybridMultilevel"/>
    <w:tmpl w:val="A4DAA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6598E"/>
    <w:multiLevelType w:val="hybridMultilevel"/>
    <w:tmpl w:val="CA6ACE24"/>
    <w:lvl w:ilvl="0" w:tplc="9E90A224">
      <w:start w:val="1"/>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D78A7"/>
    <w:multiLevelType w:val="hybridMultilevel"/>
    <w:tmpl w:val="7532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5F1D5B"/>
    <w:multiLevelType w:val="hybridMultilevel"/>
    <w:tmpl w:val="4C84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73E4D"/>
    <w:multiLevelType w:val="hybridMultilevel"/>
    <w:tmpl w:val="B040F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F254E6"/>
    <w:multiLevelType w:val="hybridMultilevel"/>
    <w:tmpl w:val="3C74A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A4B76"/>
    <w:multiLevelType w:val="hybridMultilevel"/>
    <w:tmpl w:val="BF5C9B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20F10"/>
    <w:multiLevelType w:val="hybridMultilevel"/>
    <w:tmpl w:val="0EAE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55498"/>
    <w:multiLevelType w:val="hybridMultilevel"/>
    <w:tmpl w:val="327AB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707D5"/>
    <w:multiLevelType w:val="hybridMultilevel"/>
    <w:tmpl w:val="458E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3515A2"/>
    <w:multiLevelType w:val="hybridMultilevel"/>
    <w:tmpl w:val="405C8170"/>
    <w:lvl w:ilvl="0" w:tplc="18A27FF4">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4E3F0EF0"/>
    <w:multiLevelType w:val="hybridMultilevel"/>
    <w:tmpl w:val="7FD23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339D6"/>
    <w:multiLevelType w:val="hybridMultilevel"/>
    <w:tmpl w:val="21A89814"/>
    <w:lvl w:ilvl="0" w:tplc="9F8E70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34014"/>
    <w:multiLevelType w:val="hybridMultilevel"/>
    <w:tmpl w:val="0338E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CE0AFC"/>
    <w:multiLevelType w:val="hybridMultilevel"/>
    <w:tmpl w:val="D982F338"/>
    <w:lvl w:ilvl="0" w:tplc="385449E4">
      <w:start w:val="1"/>
      <w:numFmt w:val="lowerLetter"/>
      <w:lvlText w:val="%1."/>
      <w:lvlJc w:val="left"/>
      <w:pPr>
        <w:ind w:left="1080" w:hanging="360"/>
      </w:pPr>
      <w:rPr>
        <w:rFonts w:ascii="Times New Roman" w:eastAsia="Calibr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F10477"/>
    <w:multiLevelType w:val="hybridMultilevel"/>
    <w:tmpl w:val="E18EB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C26C7C"/>
    <w:multiLevelType w:val="hybridMultilevel"/>
    <w:tmpl w:val="2914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D274F8"/>
    <w:multiLevelType w:val="hybridMultilevel"/>
    <w:tmpl w:val="413AB722"/>
    <w:lvl w:ilvl="0" w:tplc="3ADED1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130C51"/>
    <w:multiLevelType w:val="hybridMultilevel"/>
    <w:tmpl w:val="2A58EA16"/>
    <w:lvl w:ilvl="0" w:tplc="8208DD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49E223B"/>
    <w:multiLevelType w:val="hybridMultilevel"/>
    <w:tmpl w:val="DB2A6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33"/>
  </w:num>
  <w:num w:numId="13">
    <w:abstractNumId w:val="25"/>
  </w:num>
  <w:num w:numId="14">
    <w:abstractNumId w:val="19"/>
  </w:num>
  <w:num w:numId="15">
    <w:abstractNumId w:val="31"/>
  </w:num>
  <w:num w:numId="16">
    <w:abstractNumId w:val="28"/>
  </w:num>
  <w:num w:numId="17">
    <w:abstractNumId w:val="10"/>
  </w:num>
  <w:num w:numId="18">
    <w:abstractNumId w:val="23"/>
  </w:num>
  <w:num w:numId="19">
    <w:abstractNumId w:val="26"/>
  </w:num>
  <w:num w:numId="20">
    <w:abstractNumId w:val="34"/>
  </w:num>
  <w:num w:numId="21">
    <w:abstractNumId w:val="21"/>
  </w:num>
  <w:num w:numId="22">
    <w:abstractNumId w:val="11"/>
  </w:num>
  <w:num w:numId="23">
    <w:abstractNumId w:val="16"/>
  </w:num>
  <w:num w:numId="24">
    <w:abstractNumId w:val="18"/>
  </w:num>
  <w:num w:numId="25">
    <w:abstractNumId w:val="27"/>
  </w:num>
  <w:num w:numId="26">
    <w:abstractNumId w:val="30"/>
  </w:num>
  <w:num w:numId="27">
    <w:abstractNumId w:val="13"/>
  </w:num>
  <w:num w:numId="28">
    <w:abstractNumId w:val="12"/>
  </w:num>
  <w:num w:numId="29">
    <w:abstractNumId w:val="32"/>
  </w:num>
  <w:num w:numId="30">
    <w:abstractNumId w:val="24"/>
  </w:num>
  <w:num w:numId="31">
    <w:abstractNumId w:val="15"/>
  </w:num>
  <w:num w:numId="32">
    <w:abstractNumId w:val="17"/>
  </w:num>
  <w:num w:numId="33">
    <w:abstractNumId w:val="20"/>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IHR Journals Library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86B11"/>
    <w:rsid w:val="00006A79"/>
    <w:rsid w:val="000A395C"/>
    <w:rsid w:val="00122832"/>
    <w:rsid w:val="001C2F45"/>
    <w:rsid w:val="001D1443"/>
    <w:rsid w:val="00205890"/>
    <w:rsid w:val="002258FE"/>
    <w:rsid w:val="0024759E"/>
    <w:rsid w:val="00272145"/>
    <w:rsid w:val="00273123"/>
    <w:rsid w:val="002A237B"/>
    <w:rsid w:val="00330467"/>
    <w:rsid w:val="003400F1"/>
    <w:rsid w:val="0037423C"/>
    <w:rsid w:val="003C2892"/>
    <w:rsid w:val="003D0373"/>
    <w:rsid w:val="00416AA0"/>
    <w:rsid w:val="0049685A"/>
    <w:rsid w:val="00517625"/>
    <w:rsid w:val="00561729"/>
    <w:rsid w:val="0056264E"/>
    <w:rsid w:val="005B0D14"/>
    <w:rsid w:val="005C161B"/>
    <w:rsid w:val="005E6B1F"/>
    <w:rsid w:val="006309F7"/>
    <w:rsid w:val="006322AC"/>
    <w:rsid w:val="006422C8"/>
    <w:rsid w:val="00644054"/>
    <w:rsid w:val="006B21D7"/>
    <w:rsid w:val="006F163E"/>
    <w:rsid w:val="00756524"/>
    <w:rsid w:val="00787D5F"/>
    <w:rsid w:val="0082484A"/>
    <w:rsid w:val="00873D7B"/>
    <w:rsid w:val="00880119"/>
    <w:rsid w:val="00890E90"/>
    <w:rsid w:val="0091059B"/>
    <w:rsid w:val="00930117"/>
    <w:rsid w:val="00930CFA"/>
    <w:rsid w:val="00952E85"/>
    <w:rsid w:val="009A3C2D"/>
    <w:rsid w:val="00A02913"/>
    <w:rsid w:val="00A26213"/>
    <w:rsid w:val="00A36CF5"/>
    <w:rsid w:val="00A86B11"/>
    <w:rsid w:val="00AD1B4C"/>
    <w:rsid w:val="00AD3173"/>
    <w:rsid w:val="00AE174B"/>
    <w:rsid w:val="00B23E4E"/>
    <w:rsid w:val="00B26806"/>
    <w:rsid w:val="00B3772F"/>
    <w:rsid w:val="00B47923"/>
    <w:rsid w:val="00B70108"/>
    <w:rsid w:val="00B73992"/>
    <w:rsid w:val="00B7564E"/>
    <w:rsid w:val="00B77EA3"/>
    <w:rsid w:val="00BF7C01"/>
    <w:rsid w:val="00C1352B"/>
    <w:rsid w:val="00C43089"/>
    <w:rsid w:val="00C529A1"/>
    <w:rsid w:val="00CA19CD"/>
    <w:rsid w:val="00CC779E"/>
    <w:rsid w:val="00CF7CD1"/>
    <w:rsid w:val="00D00D33"/>
    <w:rsid w:val="00D43244"/>
    <w:rsid w:val="00D500CF"/>
    <w:rsid w:val="00D516EC"/>
    <w:rsid w:val="00DB0F0B"/>
    <w:rsid w:val="00DB3674"/>
    <w:rsid w:val="00E057DF"/>
    <w:rsid w:val="00E107B7"/>
    <w:rsid w:val="00E209F2"/>
    <w:rsid w:val="00EB66B1"/>
    <w:rsid w:val="00F35298"/>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8739"/>
  <w15:chartTrackingRefBased/>
  <w15:docId w15:val="{77E43C70-77C5-4EB2-96B1-A840B584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semiHidden/>
    <w:unhideWhenUsed/>
    <w:rsid w:val="00A86B11"/>
    <w:rPr>
      <w:sz w:val="16"/>
      <w:szCs w:val="16"/>
    </w:rPr>
  </w:style>
  <w:style w:type="paragraph" w:styleId="CommentText">
    <w:name w:val="annotation text"/>
    <w:basedOn w:val="Normal"/>
    <w:link w:val="CommentTextChar"/>
    <w:unhideWhenUsed/>
    <w:rsid w:val="00A86B11"/>
    <w:pPr>
      <w:spacing w:line="240" w:lineRule="auto"/>
    </w:pPr>
    <w:rPr>
      <w:sz w:val="20"/>
      <w:szCs w:val="20"/>
    </w:rPr>
  </w:style>
  <w:style w:type="character" w:customStyle="1" w:styleId="CommentTextChar">
    <w:name w:val="Comment Text Char"/>
    <w:basedOn w:val="DefaultParagraphFont"/>
    <w:link w:val="CommentText"/>
    <w:rsid w:val="00A86B11"/>
    <w:rPr>
      <w:sz w:val="20"/>
      <w:szCs w:val="20"/>
    </w:rPr>
  </w:style>
  <w:style w:type="paragraph" w:styleId="CommentSubject">
    <w:name w:val="annotation subject"/>
    <w:basedOn w:val="CommentText"/>
    <w:next w:val="CommentText"/>
    <w:link w:val="CommentSubjectChar"/>
    <w:uiPriority w:val="99"/>
    <w:semiHidden/>
    <w:unhideWhenUsed/>
    <w:rsid w:val="00A86B11"/>
    <w:rPr>
      <w:b/>
      <w:bCs/>
    </w:rPr>
  </w:style>
  <w:style w:type="character" w:customStyle="1" w:styleId="CommentSubjectChar">
    <w:name w:val="Comment Subject Char"/>
    <w:basedOn w:val="CommentTextChar"/>
    <w:link w:val="CommentSubject"/>
    <w:uiPriority w:val="99"/>
    <w:semiHidden/>
    <w:rsid w:val="00A86B11"/>
    <w:rPr>
      <w:b/>
      <w:bCs/>
      <w:sz w:val="20"/>
      <w:szCs w:val="20"/>
    </w:rPr>
  </w:style>
  <w:style w:type="paragraph" w:styleId="BalloonText">
    <w:name w:val="Balloon Text"/>
    <w:basedOn w:val="Normal"/>
    <w:link w:val="BalloonTextChar"/>
    <w:uiPriority w:val="99"/>
    <w:semiHidden/>
    <w:unhideWhenUsed/>
    <w:rsid w:val="00A86B1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B11"/>
    <w:rPr>
      <w:rFonts w:ascii="Segoe UI" w:hAnsi="Segoe UI" w:cs="Segoe UI"/>
      <w:sz w:val="18"/>
      <w:szCs w:val="18"/>
    </w:rPr>
  </w:style>
  <w:style w:type="numbering" w:customStyle="1" w:styleId="NoList1">
    <w:name w:val="No List1"/>
    <w:next w:val="NoList"/>
    <w:uiPriority w:val="99"/>
    <w:semiHidden/>
    <w:unhideWhenUsed/>
    <w:rsid w:val="00B77EA3"/>
  </w:style>
  <w:style w:type="paragraph" w:styleId="TOC1">
    <w:name w:val="toc 1"/>
    <w:basedOn w:val="Normal"/>
    <w:next w:val="Normal"/>
    <w:autoRedefine/>
    <w:uiPriority w:val="39"/>
    <w:unhideWhenUsed/>
    <w:rsid w:val="00B77EA3"/>
    <w:pPr>
      <w:tabs>
        <w:tab w:val="right" w:leader="dot" w:pos="9016"/>
      </w:tabs>
      <w:spacing w:before="0" w:after="100" w:line="240" w:lineRule="auto"/>
    </w:pPr>
    <w:rPr>
      <w:rFonts w:ascii="Times New Roman" w:hAnsi="Times New Roman" w:cs="Times New Roman"/>
      <w:sz w:val="22"/>
      <w:szCs w:val="22"/>
    </w:rPr>
  </w:style>
  <w:style w:type="paragraph" w:styleId="TOC2">
    <w:name w:val="toc 2"/>
    <w:basedOn w:val="Normal"/>
    <w:next w:val="Normal"/>
    <w:autoRedefine/>
    <w:uiPriority w:val="39"/>
    <w:unhideWhenUsed/>
    <w:rsid w:val="00B77EA3"/>
    <w:pPr>
      <w:spacing w:before="0" w:after="100" w:line="240" w:lineRule="auto"/>
      <w:ind w:left="220"/>
    </w:pPr>
    <w:rPr>
      <w:rFonts w:ascii="Times New Roman" w:hAnsi="Times New Roman" w:cs="Times New Roman"/>
      <w:sz w:val="22"/>
      <w:szCs w:val="22"/>
    </w:rPr>
  </w:style>
  <w:style w:type="character" w:styleId="Hyperlink">
    <w:name w:val="Hyperlink"/>
    <w:basedOn w:val="DefaultParagraphFont"/>
    <w:uiPriority w:val="99"/>
    <w:unhideWhenUsed/>
    <w:rsid w:val="00B77EA3"/>
    <w:rPr>
      <w:color w:val="0000FF" w:themeColor="hyperlink"/>
      <w:u w:val="single"/>
    </w:rPr>
  </w:style>
  <w:style w:type="character" w:styleId="Strong">
    <w:name w:val="Strong"/>
    <w:uiPriority w:val="22"/>
    <w:qFormat/>
    <w:rsid w:val="00B77EA3"/>
    <w:rPr>
      <w:b/>
      <w:bCs/>
    </w:rPr>
  </w:style>
  <w:style w:type="character" w:customStyle="1" w:styleId="xbumpedfont20">
    <w:name w:val="x_bumpedfont20"/>
    <w:basedOn w:val="DefaultParagraphFont"/>
    <w:rsid w:val="00B77EA3"/>
  </w:style>
  <w:style w:type="paragraph" w:customStyle="1" w:styleId="xs4">
    <w:name w:val="x_s4"/>
    <w:basedOn w:val="Normal"/>
    <w:link w:val="xs4Char"/>
    <w:rsid w:val="00B77EA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xs4Char">
    <w:name w:val="x_s4 Char"/>
    <w:basedOn w:val="DefaultParagraphFont"/>
    <w:link w:val="xs4"/>
    <w:rsid w:val="00B77EA3"/>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B77EA3"/>
    <w:pPr>
      <w:ind w:left="720"/>
      <w:contextualSpacing/>
    </w:pPr>
  </w:style>
  <w:style w:type="table" w:styleId="TableGrid">
    <w:name w:val="Table Grid"/>
    <w:basedOn w:val="TableNormal"/>
    <w:rsid w:val="00B7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EA3"/>
    <w:pPr>
      <w:autoSpaceDE w:val="0"/>
      <w:autoSpaceDN w:val="0"/>
      <w:adjustRightInd w:val="0"/>
      <w:spacing w:after="0" w:line="240" w:lineRule="auto"/>
    </w:pPr>
    <w:rPr>
      <w:color w:val="000000"/>
    </w:rPr>
  </w:style>
  <w:style w:type="paragraph" w:customStyle="1" w:styleId="EndNoteBibliography">
    <w:name w:val="EndNote Bibliography"/>
    <w:basedOn w:val="Normal"/>
    <w:link w:val="EndNoteBibliographyChar"/>
    <w:rsid w:val="00B77EA3"/>
    <w:pPr>
      <w:spacing w:before="0" w:after="200" w:line="240" w:lineRule="auto"/>
    </w:pPr>
    <w:rPr>
      <w:rFonts w:eastAsia="Times New Roman"/>
      <w:noProof/>
      <w:szCs w:val="22"/>
      <w:lang w:val="en-US" w:eastAsia="en-GB"/>
    </w:rPr>
  </w:style>
  <w:style w:type="character" w:customStyle="1" w:styleId="EndNoteBibliographyChar">
    <w:name w:val="EndNote Bibliography Char"/>
    <w:basedOn w:val="xs4Char"/>
    <w:link w:val="EndNoteBibliography"/>
    <w:rsid w:val="00B77EA3"/>
    <w:rPr>
      <w:rFonts w:ascii="Times New Roman" w:eastAsia="Times New Roman" w:hAnsi="Times New Roman" w:cs="Times New Roman"/>
      <w:noProof/>
      <w:szCs w:val="22"/>
      <w:lang w:val="en-US" w:eastAsia="en-GB"/>
    </w:rPr>
  </w:style>
  <w:style w:type="paragraph" w:customStyle="1" w:styleId="ColorfulGrid-Accent11">
    <w:name w:val="Colorful Grid - Accent 11"/>
    <w:basedOn w:val="Normal"/>
    <w:next w:val="Normal"/>
    <w:link w:val="ColorfulGrid-Accent1Char"/>
    <w:uiPriority w:val="29"/>
    <w:qFormat/>
    <w:rsid w:val="00B77EA3"/>
    <w:pPr>
      <w:ind w:left="794" w:right="794"/>
    </w:pPr>
    <w:rPr>
      <w:rFonts w:eastAsia="Calibri"/>
      <w:i/>
      <w:iCs/>
    </w:rPr>
  </w:style>
  <w:style w:type="character" w:customStyle="1" w:styleId="ColorfulGrid-Accent1Char">
    <w:name w:val="Colorful Grid - Accent 1 Char"/>
    <w:link w:val="ColorfulGrid-Accent11"/>
    <w:uiPriority w:val="29"/>
    <w:rsid w:val="00B77EA3"/>
    <w:rPr>
      <w:rFonts w:eastAsia="Calibri"/>
      <w:i/>
      <w:iCs/>
    </w:rPr>
  </w:style>
  <w:style w:type="paragraph" w:customStyle="1" w:styleId="LightShading-Accent21">
    <w:name w:val="Light Shading - Accent 21"/>
    <w:basedOn w:val="Normal"/>
    <w:next w:val="Normal"/>
    <w:link w:val="LightShading-Accent2Char"/>
    <w:uiPriority w:val="30"/>
    <w:qFormat/>
    <w:rsid w:val="00B77EA3"/>
    <w:pPr>
      <w:pBdr>
        <w:bottom w:val="single" w:sz="4" w:space="4" w:color="4F81BD"/>
      </w:pBdr>
      <w:spacing w:before="200" w:after="280"/>
      <w:ind w:left="936" w:right="936"/>
    </w:pPr>
    <w:rPr>
      <w:rFonts w:eastAsia="Calibri"/>
      <w:b/>
      <w:bCs/>
      <w:i/>
      <w:iCs/>
    </w:rPr>
  </w:style>
  <w:style w:type="character" w:customStyle="1" w:styleId="LightShading-Accent2Char">
    <w:name w:val="Light Shading - Accent 2 Char"/>
    <w:link w:val="LightShading-Accent21"/>
    <w:uiPriority w:val="30"/>
    <w:rsid w:val="00B77EA3"/>
    <w:rPr>
      <w:rFonts w:eastAsia="Calibri"/>
      <w:b/>
      <w:bCs/>
      <w:i/>
      <w:iCs/>
    </w:rPr>
  </w:style>
  <w:style w:type="paragraph" w:customStyle="1" w:styleId="MediumGrid21">
    <w:name w:val="Medium Grid 21"/>
    <w:uiPriority w:val="1"/>
    <w:qFormat/>
    <w:rsid w:val="00B77EA3"/>
    <w:pPr>
      <w:spacing w:after="0" w:line="240" w:lineRule="auto"/>
    </w:pPr>
    <w:rPr>
      <w:rFonts w:eastAsia="Calibri"/>
    </w:rPr>
  </w:style>
  <w:style w:type="paragraph" w:styleId="Header">
    <w:name w:val="header"/>
    <w:basedOn w:val="Normal"/>
    <w:link w:val="HeaderChar"/>
    <w:uiPriority w:val="99"/>
    <w:unhideWhenUsed/>
    <w:rsid w:val="00B77EA3"/>
    <w:pPr>
      <w:tabs>
        <w:tab w:val="center" w:pos="4513"/>
        <w:tab w:val="right" w:pos="9026"/>
      </w:tabs>
      <w:spacing w:before="0" w:line="240" w:lineRule="auto"/>
    </w:pPr>
    <w:rPr>
      <w:rFonts w:eastAsia="Calibri"/>
    </w:rPr>
  </w:style>
  <w:style w:type="character" w:customStyle="1" w:styleId="HeaderChar">
    <w:name w:val="Header Char"/>
    <w:basedOn w:val="DefaultParagraphFont"/>
    <w:link w:val="Header"/>
    <w:uiPriority w:val="99"/>
    <w:rsid w:val="00B77EA3"/>
    <w:rPr>
      <w:rFonts w:eastAsia="Calibri"/>
    </w:rPr>
  </w:style>
  <w:style w:type="paragraph" w:styleId="Footer">
    <w:name w:val="footer"/>
    <w:basedOn w:val="Normal"/>
    <w:link w:val="FooterChar"/>
    <w:uiPriority w:val="99"/>
    <w:unhideWhenUsed/>
    <w:rsid w:val="00B77EA3"/>
    <w:pPr>
      <w:tabs>
        <w:tab w:val="center" w:pos="4513"/>
        <w:tab w:val="right" w:pos="9026"/>
      </w:tabs>
      <w:spacing w:before="0" w:line="240" w:lineRule="auto"/>
    </w:pPr>
    <w:rPr>
      <w:rFonts w:eastAsia="Calibri"/>
    </w:rPr>
  </w:style>
  <w:style w:type="character" w:customStyle="1" w:styleId="FooterChar">
    <w:name w:val="Footer Char"/>
    <w:basedOn w:val="DefaultParagraphFont"/>
    <w:link w:val="Footer"/>
    <w:uiPriority w:val="99"/>
    <w:rsid w:val="00B77EA3"/>
    <w:rPr>
      <w:rFonts w:eastAsia="Calibri"/>
    </w:rPr>
  </w:style>
  <w:style w:type="paragraph" w:customStyle="1" w:styleId="EndNoteBibliographyTitle">
    <w:name w:val="EndNote Bibliography Title"/>
    <w:basedOn w:val="Normal"/>
    <w:link w:val="EndNoteBibliographyTitleChar"/>
    <w:rsid w:val="00B77EA3"/>
    <w:pPr>
      <w:jc w:val="center"/>
    </w:pPr>
    <w:rPr>
      <w:rFonts w:eastAsia="Calibri"/>
      <w:noProof/>
      <w:lang w:val="en-US"/>
    </w:rPr>
  </w:style>
  <w:style w:type="character" w:customStyle="1" w:styleId="EndNoteBibliographyTitleChar">
    <w:name w:val="EndNote Bibliography Title Char"/>
    <w:link w:val="EndNoteBibliographyTitle"/>
    <w:rsid w:val="00B77EA3"/>
    <w:rPr>
      <w:rFonts w:eastAsia="Calibri"/>
      <w:noProof/>
      <w:lang w:val="en-US"/>
    </w:rPr>
  </w:style>
  <w:style w:type="paragraph" w:customStyle="1" w:styleId="ColorfulList-Accent11">
    <w:name w:val="Colorful List - Accent 11"/>
    <w:basedOn w:val="Normal"/>
    <w:uiPriority w:val="34"/>
    <w:qFormat/>
    <w:rsid w:val="00B77EA3"/>
    <w:pPr>
      <w:spacing w:before="0" w:line="240" w:lineRule="auto"/>
      <w:ind w:left="720"/>
      <w:contextualSpacing/>
    </w:pPr>
    <w:rPr>
      <w:rFonts w:ascii="Times New Roman" w:eastAsia="Times New Roman" w:hAnsi="Times New Roman" w:cs="Times New Roman"/>
      <w:lang w:eastAsia="en-GB"/>
    </w:rPr>
  </w:style>
  <w:style w:type="paragraph" w:customStyle="1" w:styleId="p">
    <w:name w:val="p"/>
    <w:basedOn w:val="Normal"/>
    <w:rsid w:val="00B77EA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ColorfulShading-Accent11">
    <w:name w:val="Colorful Shading - Accent 11"/>
    <w:hidden/>
    <w:uiPriority w:val="71"/>
    <w:rsid w:val="00B77EA3"/>
    <w:pPr>
      <w:spacing w:after="0" w:line="240" w:lineRule="auto"/>
    </w:pPr>
    <w:rPr>
      <w:rFonts w:eastAsia="Calibri"/>
    </w:rPr>
  </w:style>
  <w:style w:type="paragraph" w:styleId="TOC3">
    <w:name w:val="toc 3"/>
    <w:basedOn w:val="Normal"/>
    <w:next w:val="Normal"/>
    <w:autoRedefine/>
    <w:uiPriority w:val="39"/>
    <w:unhideWhenUsed/>
    <w:rsid w:val="00B77EA3"/>
    <w:pPr>
      <w:spacing w:before="0" w:after="100" w:line="240" w:lineRule="auto"/>
      <w:ind w:left="440"/>
    </w:pPr>
    <w:rPr>
      <w:rFonts w:ascii="Times New Roman" w:hAnsi="Times New Roman" w:cs="Times New Roman"/>
      <w:sz w:val="22"/>
      <w:szCs w:val="22"/>
    </w:rPr>
  </w:style>
  <w:style w:type="character" w:customStyle="1" w:styleId="MediumGrid11">
    <w:name w:val="Medium Grid 11"/>
    <w:uiPriority w:val="99"/>
    <w:semiHidden/>
    <w:rsid w:val="00B77EA3"/>
    <w:rPr>
      <w:color w:val="auto"/>
    </w:rPr>
  </w:style>
  <w:style w:type="paragraph" w:styleId="Revision">
    <w:name w:val="Revision"/>
    <w:hidden/>
    <w:uiPriority w:val="99"/>
    <w:semiHidden/>
    <w:rsid w:val="00B77EA3"/>
    <w:pPr>
      <w:spacing w:after="0" w:line="240" w:lineRule="auto"/>
    </w:pPr>
    <w:rPr>
      <w:rFonts w:eastAsia="Calibri"/>
    </w:rPr>
  </w:style>
  <w:style w:type="character" w:styleId="FollowedHyperlink">
    <w:name w:val="FollowedHyperlink"/>
    <w:basedOn w:val="DefaultParagraphFont"/>
    <w:uiPriority w:val="99"/>
    <w:semiHidden/>
    <w:unhideWhenUsed/>
    <w:rsid w:val="00B77EA3"/>
    <w:rPr>
      <w:color w:val="800080" w:themeColor="followedHyperlink"/>
      <w:u w:val="single"/>
    </w:rPr>
  </w:style>
  <w:style w:type="character" w:styleId="LineNumber">
    <w:name w:val="line number"/>
    <w:basedOn w:val="DefaultParagraphFont"/>
    <w:uiPriority w:val="99"/>
    <w:semiHidden/>
    <w:unhideWhenUsed/>
    <w:rsid w:val="00B77EA3"/>
  </w:style>
  <w:style w:type="character" w:customStyle="1" w:styleId="ListParagraphChar">
    <w:name w:val="List Paragraph Char"/>
    <w:basedOn w:val="DefaultParagraphFont"/>
    <w:link w:val="ListParagraph"/>
    <w:uiPriority w:val="34"/>
    <w:rsid w:val="00B77EA3"/>
  </w:style>
  <w:style w:type="paragraph" w:styleId="HTMLPreformatted">
    <w:name w:val="HTML Preformatted"/>
    <w:basedOn w:val="Normal"/>
    <w:link w:val="HTMLPreformattedChar"/>
    <w:uiPriority w:val="99"/>
    <w:unhideWhenUsed/>
    <w:rsid w:val="00B77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B77EA3"/>
    <w:rPr>
      <w:rFonts w:ascii="Courier New" w:eastAsia="Times New Roman" w:hAnsi="Courier New" w:cs="Courier New"/>
      <w:sz w:val="20"/>
      <w:szCs w:val="20"/>
      <w:lang w:eastAsia="zh-CN"/>
    </w:rPr>
  </w:style>
  <w:style w:type="character" w:customStyle="1" w:styleId="journaltitle">
    <w:name w:val="journaltitle"/>
    <w:basedOn w:val="DefaultParagraphFont"/>
    <w:rsid w:val="00B77EA3"/>
  </w:style>
  <w:style w:type="character" w:customStyle="1" w:styleId="articlecitationyear">
    <w:name w:val="articlecitation_year"/>
    <w:basedOn w:val="DefaultParagraphFont"/>
    <w:rsid w:val="00B77EA3"/>
  </w:style>
  <w:style w:type="character" w:customStyle="1" w:styleId="articlecitationvolume">
    <w:name w:val="articlecitation_volume"/>
    <w:basedOn w:val="DefaultParagraphFont"/>
    <w:rsid w:val="00B77EA3"/>
  </w:style>
  <w:style w:type="character" w:customStyle="1" w:styleId="apple-converted-space">
    <w:name w:val="apple-converted-space"/>
    <w:basedOn w:val="DefaultParagraphFont"/>
    <w:rsid w:val="00B77EA3"/>
  </w:style>
  <w:style w:type="character" w:customStyle="1" w:styleId="authorname">
    <w:name w:val="authorname"/>
    <w:basedOn w:val="DefaultParagraphFont"/>
    <w:rsid w:val="00B77EA3"/>
  </w:style>
  <w:style w:type="paragraph" w:styleId="FootnoteText">
    <w:name w:val="footnote text"/>
    <w:basedOn w:val="Normal"/>
    <w:link w:val="FootnoteTextChar"/>
    <w:uiPriority w:val="99"/>
    <w:semiHidden/>
    <w:unhideWhenUsed/>
    <w:rsid w:val="00B77EA3"/>
    <w:pPr>
      <w:spacing w:before="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77EA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77EA3"/>
    <w:rPr>
      <w:vertAlign w:val="superscript"/>
    </w:rPr>
  </w:style>
  <w:style w:type="table" w:customStyle="1" w:styleId="TableGrid1">
    <w:name w:val="Table Grid1"/>
    <w:basedOn w:val="TableNormal"/>
    <w:next w:val="TableGrid"/>
    <w:uiPriority w:val="39"/>
    <w:rsid w:val="00B77EA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ation-authors">
    <w:name w:val="highwire-citation-authors"/>
    <w:basedOn w:val="DefaultParagraphFont"/>
    <w:rsid w:val="00B77EA3"/>
  </w:style>
  <w:style w:type="character" w:customStyle="1" w:styleId="highwire-citation-author">
    <w:name w:val="highwire-citation-author"/>
    <w:basedOn w:val="DefaultParagraphFont"/>
    <w:rsid w:val="00B77EA3"/>
  </w:style>
  <w:style w:type="character" w:customStyle="1" w:styleId="nlm-surname">
    <w:name w:val="nlm-surname"/>
    <w:basedOn w:val="DefaultParagraphFont"/>
    <w:rsid w:val="00B77EA3"/>
  </w:style>
  <w:style w:type="character" w:customStyle="1" w:styleId="citation-et">
    <w:name w:val="citation-et"/>
    <w:basedOn w:val="DefaultParagraphFont"/>
    <w:rsid w:val="00B77EA3"/>
  </w:style>
  <w:style w:type="character" w:customStyle="1" w:styleId="highwire-cite-metadata-journal">
    <w:name w:val="highwire-cite-metadata-journal"/>
    <w:basedOn w:val="DefaultParagraphFont"/>
    <w:rsid w:val="00B77EA3"/>
  </w:style>
  <w:style w:type="character" w:customStyle="1" w:styleId="highwire-cite-metadata-year">
    <w:name w:val="highwire-cite-metadata-year"/>
    <w:basedOn w:val="DefaultParagraphFont"/>
    <w:rsid w:val="00B77EA3"/>
  </w:style>
  <w:style w:type="character" w:customStyle="1" w:styleId="highwire-cite-metadata-volume">
    <w:name w:val="highwire-cite-metadata-volume"/>
    <w:basedOn w:val="DefaultParagraphFont"/>
    <w:rsid w:val="00B77EA3"/>
  </w:style>
  <w:style w:type="character" w:customStyle="1" w:styleId="highwire-cite-metadata-elocation-id">
    <w:name w:val="highwire-cite-metadata-elocation-id"/>
    <w:basedOn w:val="DefaultParagraphFont"/>
    <w:rsid w:val="00B77EA3"/>
  </w:style>
  <w:style w:type="character" w:customStyle="1" w:styleId="highwire-cite-metadata-doi">
    <w:name w:val="highwire-cite-metadata-doi"/>
    <w:basedOn w:val="DefaultParagraphFont"/>
    <w:rsid w:val="00B77EA3"/>
  </w:style>
  <w:style w:type="character" w:customStyle="1" w:styleId="label">
    <w:name w:val="label"/>
    <w:basedOn w:val="DefaultParagraphFont"/>
    <w:rsid w:val="00B77EA3"/>
  </w:style>
  <w:style w:type="character" w:customStyle="1" w:styleId="highwire-citation-author4">
    <w:name w:val="highwire-citation-author4"/>
    <w:basedOn w:val="DefaultParagraphFont"/>
    <w:rsid w:val="00B77EA3"/>
  </w:style>
  <w:style w:type="character" w:customStyle="1" w:styleId="citation-et1">
    <w:name w:val="citation-et1"/>
    <w:basedOn w:val="DefaultParagraphFont"/>
    <w:rsid w:val="00B77EA3"/>
    <w:rPr>
      <w:i/>
      <w:iCs/>
    </w:rPr>
  </w:style>
  <w:style w:type="character" w:customStyle="1" w:styleId="highwire-cite-metadata-journal2">
    <w:name w:val="highwire-cite-metadata-journal2"/>
    <w:basedOn w:val="DefaultParagraphFont"/>
    <w:rsid w:val="00B77EA3"/>
  </w:style>
  <w:style w:type="character" w:customStyle="1" w:styleId="highwire-cite-metadata-volume2">
    <w:name w:val="highwire-cite-metadata-volume2"/>
    <w:basedOn w:val="DefaultParagraphFont"/>
    <w:rsid w:val="00B77EA3"/>
  </w:style>
  <w:style w:type="character" w:customStyle="1" w:styleId="highwire-cite-metadata-pages">
    <w:name w:val="highwire-cite-metadata-pages"/>
    <w:basedOn w:val="DefaultParagraphFont"/>
    <w:rsid w:val="00B7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38947.697558.AE" TargetMode="External"/><Relationship Id="rId13" Type="http://schemas.openxmlformats.org/officeDocument/2006/relationships/hyperlink" Target="https://doi.org/10.3310/hta11140" TargetMode="External"/><Relationship Id="rId18" Type="http://schemas.openxmlformats.org/officeDocument/2006/relationships/hyperlink" Target="https://doi.org/DOI" TargetMode="External"/><Relationship Id="rId26" Type="http://schemas.openxmlformats.org/officeDocument/2006/relationships/hyperlink" Target="http://diabetes-support.org.uk/diabetes_forum/index.php?topic=2286.0"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612306/Diabetesprevalencemodelbriefing.pdf" TargetMode="External"/><Relationship Id="rId7" Type="http://schemas.openxmlformats.org/officeDocument/2006/relationships/hyperlink" Target="https://doi.org/10.1016/j.amjmed.2005.10.039" TargetMode="External"/><Relationship Id="rId12" Type="http://schemas.openxmlformats.org/officeDocument/2006/relationships/hyperlink" Target="https://doi.org/10.1681/Asn.2006091048" TargetMode="External"/><Relationship Id="rId17" Type="http://schemas.openxmlformats.org/officeDocument/2006/relationships/hyperlink" Target="https://doi.org/DOI" TargetMode="External"/><Relationship Id="rId25" Type="http://schemas.openxmlformats.org/officeDocument/2006/relationships/hyperlink" Target="https://doi.org/10.1111/dme.12886" TargetMode="External"/><Relationship Id="rId2" Type="http://schemas.openxmlformats.org/officeDocument/2006/relationships/numbering" Target="numbering.xml"/><Relationship Id="rId16" Type="http://schemas.openxmlformats.org/officeDocument/2006/relationships/hyperlink" Target="https://doi.org/Doi" TargetMode="External"/><Relationship Id="rId20" Type="http://schemas.openxmlformats.org/officeDocument/2006/relationships/hyperlink" Target="https://doi.org/ARTN" TargetMode="External"/><Relationship Id="rId29" Type="http://schemas.openxmlformats.org/officeDocument/2006/relationships/hyperlink" Target="https://doi.org/10.1111/j.1755-6686.2012.00281.x" TargetMode="External"/><Relationship Id="rId1" Type="http://schemas.openxmlformats.org/officeDocument/2006/relationships/customXml" Target="../customXml/item1.xml"/><Relationship Id="rId6" Type="http://schemas.openxmlformats.org/officeDocument/2006/relationships/hyperlink" Target="https://doi.org/DOI" TargetMode="External"/><Relationship Id="rId11" Type="http://schemas.openxmlformats.org/officeDocument/2006/relationships/hyperlink" Target="https://doi.org/ARTN" TargetMode="External"/><Relationship Id="rId24" Type="http://schemas.openxmlformats.org/officeDocument/2006/relationships/hyperlink" Target="https://doi.org/10.1186/1471-2261-14-85" TargetMode="External"/><Relationship Id="rId5" Type="http://schemas.openxmlformats.org/officeDocument/2006/relationships/webSettings" Target="webSettings.xml"/><Relationship Id="rId15" Type="http://schemas.openxmlformats.org/officeDocument/2006/relationships/hyperlink" Target="https://doi.org/10.1177/2047487317736824" TargetMode="External"/><Relationship Id="rId23" Type="http://schemas.openxmlformats.org/officeDocument/2006/relationships/hyperlink" Target="https://doi.org/10.1111/dme.12569" TargetMode="External"/><Relationship Id="rId28" Type="http://schemas.openxmlformats.org/officeDocument/2006/relationships/hyperlink" Target="https://doi.org/10.2337/dc13-2522" TargetMode="External"/><Relationship Id="rId10" Type="http://schemas.openxmlformats.org/officeDocument/2006/relationships/hyperlink" Target="https://doi.org/ARTN" TargetMode="External"/><Relationship Id="rId19" Type="http://schemas.openxmlformats.org/officeDocument/2006/relationships/hyperlink" Target="https://doi.org/Do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53/cmaj.070186" TargetMode="External"/><Relationship Id="rId14" Type="http://schemas.openxmlformats.org/officeDocument/2006/relationships/hyperlink" Target="https://doi.org/ARTN" TargetMode="External"/><Relationship Id="rId22" Type="http://schemas.openxmlformats.org/officeDocument/2006/relationships/hyperlink" Target="https://doi.org/ARTN" TargetMode="External"/><Relationship Id="rId27" Type="http://schemas.openxmlformats.org/officeDocument/2006/relationships/hyperlink" Target="https://doi.org/10.1007/s00125-012-2471-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674E-DBF3-B942-A85B-E430602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37015</Words>
  <Characters>210989</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Katrina Strachan</cp:lastModifiedBy>
  <cp:revision>2</cp:revision>
  <dcterms:created xsi:type="dcterms:W3CDTF">2020-03-10T09:29:00Z</dcterms:created>
  <dcterms:modified xsi:type="dcterms:W3CDTF">2020-03-10T09:29:00Z</dcterms:modified>
</cp:coreProperties>
</file>