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6CC" w:rsidRPr="000714FD" w:rsidRDefault="008556CC" w:rsidP="008556CC">
      <w:pPr>
        <w:pStyle w:val="Heading1"/>
      </w:pPr>
      <w:bookmarkStart w:id="0" w:name="_Toc3804023"/>
      <w:bookmarkStart w:id="1" w:name="_Toc31787108"/>
      <w:bookmarkStart w:id="2" w:name="_Toc31789348"/>
      <w:bookmarkStart w:id="3" w:name="_Toc36799790"/>
      <w:r w:rsidRPr="000714FD">
        <w:t>Topic guides for interviews and focus groups</w:t>
      </w:r>
      <w:bookmarkEnd w:id="0"/>
      <w:r w:rsidRPr="008C44FA">
        <w:t xml:space="preserve"> for work package 5</w:t>
      </w:r>
      <w:bookmarkEnd w:id="1"/>
      <w:bookmarkEnd w:id="2"/>
      <w:bookmarkEnd w:id="3"/>
    </w:p>
    <w:p w:rsidR="008556CC" w:rsidRPr="00A15B29" w:rsidRDefault="008556CC" w:rsidP="008556CC">
      <w:pPr>
        <w:rPr>
          <w:b/>
          <w:sz w:val="26"/>
          <w:szCs w:val="26"/>
        </w:rPr>
      </w:pPr>
      <w:r>
        <w:rPr>
          <w:b/>
          <w:sz w:val="26"/>
          <w:szCs w:val="26"/>
        </w:rPr>
        <w:t xml:space="preserve">Table 1: Overview of areas covered in interviews and focus groups with </w:t>
      </w:r>
      <w:bookmarkStart w:id="4" w:name="_GoBack"/>
      <w:bookmarkEnd w:id="4"/>
      <w:r w:rsidRPr="00A15B29">
        <w:rPr>
          <w:b/>
          <w:sz w:val="26"/>
          <w:szCs w:val="26"/>
        </w:rPr>
        <w:t>clinicians</w:t>
      </w:r>
    </w:p>
    <w:tbl>
      <w:tblPr>
        <w:tblStyle w:val="TableGrid2"/>
        <w:tblW w:w="0" w:type="auto"/>
        <w:tblLook w:val="04A0" w:firstRow="1" w:lastRow="0" w:firstColumn="1" w:lastColumn="0" w:noHBand="0" w:noVBand="1"/>
      </w:tblPr>
      <w:tblGrid>
        <w:gridCol w:w="6321"/>
        <w:gridCol w:w="836"/>
        <w:gridCol w:w="836"/>
        <w:gridCol w:w="836"/>
      </w:tblGrid>
      <w:tr w:rsidR="008556CC" w:rsidRPr="004C6FF9" w:rsidTr="00793714">
        <w:tc>
          <w:tcPr>
            <w:tcW w:w="0" w:type="auto"/>
          </w:tcPr>
          <w:p w:rsidR="008556CC" w:rsidRPr="000714FD" w:rsidRDefault="008556CC" w:rsidP="00793714">
            <w:pPr>
              <w:rPr>
                <w:sz w:val="22"/>
              </w:rPr>
            </w:pPr>
          </w:p>
        </w:tc>
        <w:tc>
          <w:tcPr>
            <w:tcW w:w="0" w:type="auto"/>
          </w:tcPr>
          <w:p w:rsidR="008556CC" w:rsidRPr="000714FD" w:rsidRDefault="008556CC" w:rsidP="00793714">
            <w:pPr>
              <w:rPr>
                <w:sz w:val="22"/>
              </w:rPr>
            </w:pPr>
            <w:r w:rsidRPr="004C6FF9">
              <w:rPr>
                <w:rFonts w:cs="Times New Roman"/>
                <w:sz w:val="22"/>
                <w:szCs w:val="22"/>
              </w:rPr>
              <w:t>WP5</w:t>
            </w:r>
            <w:r w:rsidRPr="004C6FF9">
              <w:rPr>
                <w:rFonts w:cs="Times New Roman"/>
              </w:rPr>
              <w:t>.1</w:t>
            </w:r>
          </w:p>
        </w:tc>
        <w:tc>
          <w:tcPr>
            <w:tcW w:w="0" w:type="auto"/>
          </w:tcPr>
          <w:p w:rsidR="008556CC" w:rsidRPr="000714FD" w:rsidRDefault="008556CC" w:rsidP="00793714">
            <w:pPr>
              <w:rPr>
                <w:sz w:val="22"/>
              </w:rPr>
            </w:pPr>
            <w:r w:rsidRPr="004C6FF9">
              <w:rPr>
                <w:rFonts w:cs="Times New Roman"/>
                <w:sz w:val="22"/>
                <w:szCs w:val="22"/>
              </w:rPr>
              <w:t>WP5</w:t>
            </w:r>
            <w:r w:rsidRPr="004C6FF9">
              <w:rPr>
                <w:rFonts w:cs="Times New Roman"/>
              </w:rPr>
              <w:t>.2</w:t>
            </w:r>
          </w:p>
        </w:tc>
        <w:tc>
          <w:tcPr>
            <w:tcW w:w="0" w:type="auto"/>
          </w:tcPr>
          <w:p w:rsidR="008556CC" w:rsidRPr="000714FD" w:rsidRDefault="008556CC" w:rsidP="00793714">
            <w:pPr>
              <w:rPr>
                <w:sz w:val="22"/>
              </w:rPr>
            </w:pPr>
            <w:r w:rsidRPr="004C6FF9">
              <w:rPr>
                <w:rFonts w:cs="Times New Roman"/>
                <w:sz w:val="22"/>
                <w:szCs w:val="22"/>
              </w:rPr>
              <w:t>WP5</w:t>
            </w:r>
            <w:r w:rsidRPr="004C6FF9">
              <w:rPr>
                <w:rFonts w:cs="Times New Roman"/>
              </w:rPr>
              <w:t>.3</w:t>
            </w:r>
          </w:p>
        </w:tc>
      </w:tr>
      <w:tr w:rsidR="008556CC" w:rsidRPr="004C6FF9" w:rsidTr="00793714">
        <w:tc>
          <w:tcPr>
            <w:tcW w:w="0" w:type="auto"/>
          </w:tcPr>
          <w:p w:rsidR="008556CC" w:rsidRPr="000714FD" w:rsidRDefault="008556CC" w:rsidP="00793714">
            <w:pPr>
              <w:rPr>
                <w:sz w:val="22"/>
              </w:rPr>
            </w:pPr>
            <w:r w:rsidRPr="00365088">
              <w:rPr>
                <w:rFonts w:cs="Times New Roman"/>
              </w:rPr>
              <w:t>Current diagnostic practice</w:t>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Barriers and facilitators to diagnosis &amp; management of LBD</w:t>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Views on the concept of the toolkits</w:t>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Views on layout, format and content of toolkits</w:t>
            </w:r>
          </w:p>
        </w:tc>
        <w:tc>
          <w:tcPr>
            <w:tcW w:w="0" w:type="auto"/>
          </w:tcPr>
          <w:p w:rsidR="008556CC" w:rsidRPr="000714FD" w:rsidRDefault="008556CC" w:rsidP="00793714">
            <w:pPr>
              <w:jc w:val="center"/>
              <w:rPr>
                <w:sz w:val="22"/>
              </w:rPr>
            </w:pPr>
            <w:r w:rsidRPr="004C6FF9">
              <w:rPr>
                <w:rFonts w:cs="Times New Roman"/>
              </w:rPr>
              <w:t>(</w:t>
            </w:r>
            <w:r w:rsidRPr="004C6FF9">
              <w:rPr>
                <w:rFonts w:cs="Times New Roman"/>
              </w:rPr>
              <w:sym w:font="Wingdings" w:char="F0FC"/>
            </w:r>
            <w:r w:rsidRPr="004C6FF9">
              <w:rPr>
                <w:rFonts w:cs="Times New Roman"/>
              </w:rPr>
              <w:t>)</w:t>
            </w: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Whether &amp; how toolkits are similar/different to current practice</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Whether and how toolkits have been used</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Impact on consultations; feedback from patients &amp; carers</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Factors influencing implementation</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Training needs relating to toolkits</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r w:rsidR="008556CC" w:rsidRPr="004C6FF9" w:rsidTr="00793714">
        <w:tc>
          <w:tcPr>
            <w:tcW w:w="0" w:type="auto"/>
          </w:tcPr>
          <w:p w:rsidR="008556CC" w:rsidRPr="000714FD" w:rsidRDefault="008556CC" w:rsidP="00793714">
            <w:pPr>
              <w:rPr>
                <w:sz w:val="22"/>
              </w:rPr>
            </w:pPr>
            <w:r w:rsidRPr="00365088">
              <w:rPr>
                <w:rFonts w:cs="Times New Roman"/>
              </w:rPr>
              <w:t>Future implementation of toolkits</w:t>
            </w:r>
          </w:p>
        </w:tc>
        <w:tc>
          <w:tcPr>
            <w:tcW w:w="0" w:type="auto"/>
          </w:tcPr>
          <w:p w:rsidR="008556CC" w:rsidRPr="000714FD" w:rsidRDefault="008556CC" w:rsidP="00793714">
            <w:pPr>
              <w:jc w:val="center"/>
              <w:rPr>
                <w:sz w:val="22"/>
              </w:rPr>
            </w:pPr>
          </w:p>
        </w:tc>
        <w:tc>
          <w:tcPr>
            <w:tcW w:w="0" w:type="auto"/>
          </w:tcPr>
          <w:p w:rsidR="008556CC" w:rsidRPr="000714FD" w:rsidRDefault="008556CC" w:rsidP="00793714">
            <w:pPr>
              <w:jc w:val="center"/>
              <w:rPr>
                <w:sz w:val="22"/>
              </w:rPr>
            </w:pPr>
            <w:r w:rsidRPr="004C6FF9">
              <w:rPr>
                <w:rFonts w:cs="Times New Roman"/>
              </w:rPr>
              <w:sym w:font="Wingdings" w:char="F0FC"/>
            </w:r>
          </w:p>
        </w:tc>
        <w:tc>
          <w:tcPr>
            <w:tcW w:w="0" w:type="auto"/>
          </w:tcPr>
          <w:p w:rsidR="008556CC" w:rsidRPr="000714FD" w:rsidRDefault="008556CC" w:rsidP="00793714">
            <w:pPr>
              <w:jc w:val="center"/>
              <w:rPr>
                <w:sz w:val="22"/>
              </w:rPr>
            </w:pPr>
            <w:r w:rsidRPr="004C6FF9">
              <w:rPr>
                <w:rFonts w:cs="Times New Roman"/>
              </w:rPr>
              <w:sym w:font="Wingdings" w:char="F0FC"/>
            </w:r>
          </w:p>
        </w:tc>
      </w:tr>
    </w:tbl>
    <w:p w:rsidR="008556CC" w:rsidRPr="00A15B29" w:rsidRDefault="008556CC" w:rsidP="008556CC">
      <w:pPr>
        <w:rPr>
          <w:rFonts w:eastAsiaTheme="minorEastAsia" w:cs="Times New Roman"/>
          <w:lang w:eastAsia="ja-JP"/>
        </w:rPr>
      </w:pPr>
    </w:p>
    <w:p w:rsidR="008556CC" w:rsidRPr="00A15B29" w:rsidRDefault="008556CC" w:rsidP="008556CC">
      <w:pPr>
        <w:rPr>
          <w:rFonts w:eastAsiaTheme="minorEastAsia" w:cs="Times New Roman"/>
          <w:lang w:eastAsia="ja-JP"/>
        </w:rPr>
      </w:pPr>
      <w:r w:rsidRPr="00A15B29">
        <w:rPr>
          <w:rFonts w:eastAsiaTheme="minorEastAsia" w:cs="Times New Roman"/>
          <w:lang w:eastAsia="ja-JP"/>
        </w:rPr>
        <w:t>(</w:t>
      </w:r>
      <w:r w:rsidRPr="00A15B29">
        <w:rPr>
          <w:rFonts w:eastAsiaTheme="minorEastAsia" w:cs="Times New Roman"/>
          <w:lang w:eastAsia="ja-JP"/>
        </w:rPr>
        <w:sym w:font="Wingdings" w:char="F0FC"/>
      </w:r>
      <w:r w:rsidRPr="00A15B29">
        <w:rPr>
          <w:rFonts w:eastAsiaTheme="minorEastAsia" w:cs="Times New Roman"/>
          <w:lang w:eastAsia="ja-JP"/>
        </w:rPr>
        <w:t>) indicates that this was sometimes covered depending on the availability of draft versions of the toolkits</w:t>
      </w:r>
    </w:p>
    <w:p w:rsidR="008556CC" w:rsidRPr="00A15B29" w:rsidRDefault="008556CC" w:rsidP="008556CC">
      <w:pPr>
        <w:rPr>
          <w:rFonts w:eastAsiaTheme="majorEastAsia" w:cs="Times New Roman"/>
          <w:bCs/>
          <w:color w:val="5B9BD5" w:themeColor="accent1"/>
          <w:sz w:val="26"/>
          <w:szCs w:val="26"/>
        </w:rPr>
      </w:pPr>
      <w:r w:rsidRPr="00A15B29">
        <w:rPr>
          <w:rFonts w:eastAsiaTheme="minorEastAsia" w:cs="Times New Roman"/>
          <w:b/>
          <w:lang w:eastAsia="ja-JP"/>
        </w:rPr>
        <w:br w:type="page"/>
      </w:r>
    </w:p>
    <w:p w:rsidR="008556CC" w:rsidRPr="00A15B29" w:rsidRDefault="008556CC" w:rsidP="008556CC">
      <w:pPr>
        <w:rPr>
          <w:b/>
          <w:sz w:val="26"/>
          <w:szCs w:val="26"/>
        </w:rPr>
      </w:pPr>
      <w:r w:rsidRPr="00A15B29">
        <w:rPr>
          <w:b/>
          <w:sz w:val="26"/>
          <w:szCs w:val="26"/>
        </w:rPr>
        <w:lastRenderedPageBreak/>
        <w:t>Topic guides for patients and carers</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[Name] has been trying out some new questions to make sure all important areas are covered. In your consultation with [name]:</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Were there any particular questions that you can remember?</w:t>
      </w:r>
    </w:p>
    <w:p w:rsidR="008556CC" w:rsidRPr="00A15B29" w:rsidRDefault="008556CC" w:rsidP="008556CC">
      <w:pPr>
        <w:numPr>
          <w:ilvl w:val="0"/>
          <w:numId w:val="2"/>
        </w:numPr>
        <w:spacing w:after="200" w:line="276" w:lineRule="auto"/>
        <w:contextualSpacing/>
        <w:rPr>
          <w:rFonts w:cs="Times New Roman"/>
        </w:rPr>
      </w:pPr>
      <w:r w:rsidRPr="00A15B29">
        <w:rPr>
          <w:rFonts w:cs="Times New Roman"/>
        </w:rPr>
        <w:t>Any questions that stood out?</w:t>
      </w:r>
    </w:p>
    <w:p w:rsidR="008556CC" w:rsidRPr="00A15B29" w:rsidRDefault="008556CC" w:rsidP="008556CC">
      <w:pPr>
        <w:numPr>
          <w:ilvl w:val="0"/>
          <w:numId w:val="2"/>
        </w:numPr>
        <w:spacing w:after="200" w:line="276" w:lineRule="auto"/>
        <w:contextualSpacing/>
        <w:rPr>
          <w:rFonts w:cs="Times New Roman"/>
        </w:rPr>
      </w:pPr>
      <w:r w:rsidRPr="00A15B29">
        <w:rPr>
          <w:rFonts w:cs="Times New Roman"/>
        </w:rPr>
        <w:t>Any that you found difficult to understand?</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In developing new questions, it is important to make sure that they make sense and that they are easy to understand. It would be helpful to have your feedback on the questions.</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Use one sheet at a time and explore:</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Are there any of those questions you prefer?</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Are some clearer or easier to understand than others?</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What kinds of phrases or words would you use when asking about these sorts of symptoms?</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OR</w:t>
      </w:r>
    </w:p>
    <w:p w:rsidR="008556CC" w:rsidRPr="00A15B29" w:rsidRDefault="008556CC" w:rsidP="008556CC">
      <w:pPr>
        <w:rPr>
          <w:rFonts w:eastAsiaTheme="minorEastAsia" w:cs="Times New Roman"/>
          <w:lang w:eastAsia="ja-JP"/>
        </w:rPr>
      </w:pPr>
      <w:r w:rsidRPr="00A15B29">
        <w:rPr>
          <w:rFonts w:eastAsiaTheme="minorEastAsia" w:cs="Times New Roman"/>
          <w:lang w:eastAsia="ja-JP"/>
        </w:rPr>
        <w:t>Ask the question, allow the participant either to answer it or to say what they think of the question. Explore:</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What did you think I meant by [e.g. intense, vivid or frightening dreams]?</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What words would you use?</w:t>
      </w:r>
    </w:p>
    <w:p w:rsidR="008556CC" w:rsidRPr="00A15B29" w:rsidRDefault="008556CC" w:rsidP="008556CC">
      <w:pPr>
        <w:numPr>
          <w:ilvl w:val="0"/>
          <w:numId w:val="1"/>
        </w:numPr>
        <w:spacing w:after="200" w:line="276" w:lineRule="auto"/>
        <w:contextualSpacing/>
        <w:rPr>
          <w:rFonts w:cs="Times New Roman"/>
        </w:rPr>
      </w:pPr>
      <w:r w:rsidRPr="00A15B29">
        <w:rPr>
          <w:rFonts w:cs="Times New Roman"/>
        </w:rPr>
        <w:t>How might you ask the question?</w:t>
      </w:r>
    </w:p>
    <w:p w:rsidR="0048506D" w:rsidRPr="008556CC" w:rsidRDefault="0048506D" w:rsidP="008556CC">
      <w:pPr>
        <w:spacing w:before="0" w:beforeAutospacing="0" w:after="160" w:afterAutospacing="0" w:line="259" w:lineRule="auto"/>
        <w:rPr>
          <w:rFonts w:cs="Times New Roman"/>
        </w:rPr>
      </w:pPr>
    </w:p>
    <w:sectPr w:rsidR="0048506D" w:rsidRPr="008556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6CC" w:rsidRDefault="008556CC" w:rsidP="008556CC">
      <w:pPr>
        <w:spacing w:before="0" w:after="0" w:line="240" w:lineRule="auto"/>
      </w:pPr>
      <w:r>
        <w:separator/>
      </w:r>
    </w:p>
  </w:endnote>
  <w:endnote w:type="continuationSeparator" w:id="0">
    <w:p w:rsidR="008556CC" w:rsidRDefault="008556CC" w:rsidP="008556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362370"/>
      <w:docPartObj>
        <w:docPartGallery w:val="Page Numbers (Bottom of Page)"/>
        <w:docPartUnique/>
      </w:docPartObj>
    </w:sdtPr>
    <w:sdtEndPr>
      <w:rPr>
        <w:noProof/>
      </w:rPr>
    </w:sdtEndPr>
    <w:sdtContent>
      <w:p w:rsidR="008556CC" w:rsidRDefault="008556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56CC" w:rsidRDefault="00855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6CC" w:rsidRDefault="008556CC" w:rsidP="008556CC">
      <w:pPr>
        <w:spacing w:before="0" w:after="0" w:line="240" w:lineRule="auto"/>
      </w:pPr>
      <w:r>
        <w:separator/>
      </w:r>
    </w:p>
  </w:footnote>
  <w:footnote w:type="continuationSeparator" w:id="0">
    <w:p w:rsidR="008556CC" w:rsidRDefault="008556CC" w:rsidP="008556C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E039F"/>
    <w:multiLevelType w:val="hybridMultilevel"/>
    <w:tmpl w:val="AC42DE8A"/>
    <w:lvl w:ilvl="0" w:tplc="681C557A">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861C58"/>
    <w:multiLevelType w:val="hybridMultilevel"/>
    <w:tmpl w:val="BB309CE6"/>
    <w:lvl w:ilvl="0" w:tplc="88A6B2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6CC"/>
    <w:rsid w:val="0048506D"/>
    <w:rsid w:val="00855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5B4A5"/>
  <w15:chartTrackingRefBased/>
  <w15:docId w15:val="{BBE4F987-528E-40AA-B533-DAEC379E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6CC"/>
    <w:pPr>
      <w:spacing w:before="100" w:beforeAutospacing="1" w:after="100" w:afterAutospacing="1" w:line="360" w:lineRule="auto"/>
    </w:pPr>
    <w:rPr>
      <w:rFonts w:ascii="Times New Roman" w:hAnsi="Times New Roman"/>
    </w:rPr>
  </w:style>
  <w:style w:type="paragraph" w:styleId="Heading1">
    <w:name w:val="heading 1"/>
    <w:basedOn w:val="Normal"/>
    <w:next w:val="Normal"/>
    <w:link w:val="Heading1Char"/>
    <w:autoRedefine/>
    <w:uiPriority w:val="9"/>
    <w:qFormat/>
    <w:rsid w:val="008556CC"/>
    <w:pPr>
      <w:keepNext/>
      <w:keepLines/>
      <w:spacing w:before="0" w:beforeAutospacing="0" w:after="0" w:afterAutospacing="0" w:line="240" w:lineRule="auto"/>
      <w:outlineLvl w:val="0"/>
    </w:pPr>
    <w:rPr>
      <w:rFonts w:eastAsiaTheme="majorEastAsia" w:cs="Times New Roman"/>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6CC"/>
    <w:rPr>
      <w:rFonts w:ascii="Times New Roman" w:eastAsiaTheme="majorEastAsia" w:hAnsi="Times New Roman" w:cs="Times New Roman"/>
      <w:b/>
      <w:color w:val="2E74B5" w:themeColor="accent1" w:themeShade="BF"/>
      <w:sz w:val="32"/>
      <w:szCs w:val="32"/>
    </w:rPr>
  </w:style>
  <w:style w:type="table" w:customStyle="1" w:styleId="TableGrid2">
    <w:name w:val="Table Grid2"/>
    <w:basedOn w:val="TableNormal"/>
    <w:next w:val="TableGrid"/>
    <w:uiPriority w:val="39"/>
    <w:rsid w:val="008556CC"/>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55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6CC"/>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556CC"/>
    <w:rPr>
      <w:rFonts w:ascii="Times New Roman" w:hAnsi="Times New Roman"/>
    </w:rPr>
  </w:style>
  <w:style w:type="paragraph" w:styleId="Footer">
    <w:name w:val="footer"/>
    <w:basedOn w:val="Normal"/>
    <w:link w:val="FooterChar"/>
    <w:uiPriority w:val="99"/>
    <w:unhideWhenUsed/>
    <w:rsid w:val="008556CC"/>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8556CC"/>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Bamford</dc:creator>
  <cp:keywords/>
  <dc:description/>
  <cp:lastModifiedBy>Claire Bamford</cp:lastModifiedBy>
  <cp:revision>1</cp:revision>
  <dcterms:created xsi:type="dcterms:W3CDTF">2020-04-09T09:56:00Z</dcterms:created>
  <dcterms:modified xsi:type="dcterms:W3CDTF">2020-04-09T09:58:00Z</dcterms:modified>
</cp:coreProperties>
</file>