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407" w:rsidRPr="00553293" w:rsidRDefault="005F4407" w:rsidP="005F4407">
      <w:pPr>
        <w:pStyle w:val="Caption"/>
        <w:rPr>
          <w:rFonts w:ascii="Calibri" w:eastAsia="Calibri" w:hAnsi="Calibri" w:cs="Calibri"/>
          <w:b w:val="0"/>
          <w:sz w:val="24"/>
          <w:szCs w:val="24"/>
        </w:rPr>
      </w:pPr>
      <w:bookmarkStart w:id="0" w:name="_Toc860678"/>
      <w:r>
        <w:t xml:space="preserve">Supplementary Material File </w:t>
      </w:r>
      <w:r>
        <w:rPr>
          <w:noProof/>
        </w:rPr>
        <w:t>15</w:t>
      </w:r>
      <w:r>
        <w:t xml:space="preserve">: </w:t>
      </w:r>
      <w:r w:rsidRPr="002C257A">
        <w:t>Criteria for allocation of housing tenures in East Village</w:t>
      </w:r>
      <w:bookmarkEnd w:id="0"/>
    </w:p>
    <w:tbl>
      <w:tblPr>
        <w:tblStyle w:val="TableGrid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1016"/>
        <w:gridCol w:w="1245"/>
      </w:tblGrid>
      <w:tr w:rsidR="005F4407" w:rsidRPr="00A0778E" w:rsidTr="009D705C">
        <w:tc>
          <w:tcPr>
            <w:tcW w:w="1701" w:type="dxa"/>
            <w:tcBorders>
              <w:top w:val="single" w:sz="4" w:space="0" w:color="auto"/>
              <w:left w:val="single" w:sz="4" w:space="0" w:color="auto"/>
              <w:bottom w:val="single" w:sz="4" w:space="0" w:color="auto"/>
            </w:tcBorders>
          </w:tcPr>
          <w:p w:rsidR="005F4407" w:rsidRPr="00A0778E" w:rsidRDefault="005F4407" w:rsidP="009D705C">
            <w:pPr>
              <w:tabs>
                <w:tab w:val="num" w:pos="720"/>
              </w:tabs>
              <w:autoSpaceDE w:val="0"/>
              <w:autoSpaceDN w:val="0"/>
              <w:adjustRightInd w:val="0"/>
              <w:rPr>
                <w:rFonts w:ascii="Calibri" w:eastAsia="Calibri" w:hAnsi="Calibri" w:cs="Calibri"/>
                <w:b/>
              </w:rPr>
            </w:pPr>
            <w:r w:rsidRPr="00A0778E">
              <w:rPr>
                <w:rFonts w:ascii="Calibri" w:eastAsia="Calibri" w:hAnsi="Calibri" w:cs="Calibri"/>
                <w:b/>
              </w:rPr>
              <w:t>Housing tenure</w:t>
            </w:r>
          </w:p>
        </w:tc>
        <w:tc>
          <w:tcPr>
            <w:tcW w:w="11225" w:type="dxa"/>
            <w:tcBorders>
              <w:top w:val="single" w:sz="4" w:space="0" w:color="auto"/>
              <w:bottom w:val="single" w:sz="4" w:space="0" w:color="auto"/>
            </w:tcBorders>
          </w:tcPr>
          <w:p w:rsidR="005F4407" w:rsidRPr="00A0778E" w:rsidRDefault="005F4407" w:rsidP="009D705C">
            <w:pPr>
              <w:tabs>
                <w:tab w:val="num" w:pos="720"/>
              </w:tabs>
              <w:autoSpaceDE w:val="0"/>
              <w:autoSpaceDN w:val="0"/>
              <w:adjustRightInd w:val="0"/>
              <w:jc w:val="center"/>
              <w:rPr>
                <w:rFonts w:ascii="Calibri" w:eastAsia="Calibri" w:hAnsi="Calibri" w:cs="Calibri"/>
                <w:b/>
              </w:rPr>
            </w:pPr>
            <w:r w:rsidRPr="00A0778E">
              <w:rPr>
                <w:rFonts w:ascii="Calibri" w:eastAsia="Calibri" w:hAnsi="Calibri" w:cs="Calibri"/>
                <w:b/>
              </w:rPr>
              <w:t>Criteria for allocation</w:t>
            </w:r>
          </w:p>
        </w:tc>
        <w:tc>
          <w:tcPr>
            <w:tcW w:w="0" w:type="auto"/>
            <w:tcBorders>
              <w:top w:val="single" w:sz="4" w:space="0" w:color="auto"/>
              <w:bottom w:val="single" w:sz="4" w:space="0" w:color="auto"/>
              <w:right w:val="single" w:sz="4" w:space="0" w:color="auto"/>
            </w:tcBorders>
          </w:tcPr>
          <w:p w:rsidR="005F4407" w:rsidRPr="00A0778E" w:rsidRDefault="005F4407" w:rsidP="009D705C">
            <w:pPr>
              <w:tabs>
                <w:tab w:val="num" w:pos="720"/>
              </w:tabs>
              <w:autoSpaceDE w:val="0"/>
              <w:autoSpaceDN w:val="0"/>
              <w:adjustRightInd w:val="0"/>
              <w:jc w:val="center"/>
              <w:rPr>
                <w:rFonts w:ascii="Calibri" w:eastAsia="Calibri" w:hAnsi="Calibri" w:cs="Calibri"/>
                <w:b/>
              </w:rPr>
            </w:pPr>
            <w:r w:rsidRPr="00A0778E">
              <w:rPr>
                <w:rFonts w:ascii="Calibri" w:eastAsia="Calibri" w:hAnsi="Calibri" w:cs="Calibri"/>
                <w:b/>
              </w:rPr>
              <w:t>Provider</w:t>
            </w:r>
          </w:p>
        </w:tc>
      </w:tr>
      <w:tr w:rsidR="005F4407" w:rsidRPr="00A0778E" w:rsidTr="009D705C">
        <w:tc>
          <w:tcPr>
            <w:tcW w:w="1701" w:type="dxa"/>
            <w:tcBorders>
              <w:top w:val="single" w:sz="4" w:space="0" w:color="auto"/>
              <w:left w:val="single" w:sz="4" w:space="0" w:color="auto"/>
            </w:tcBorders>
          </w:tcPr>
          <w:p w:rsidR="005F4407" w:rsidRPr="00A0778E" w:rsidRDefault="005F4407" w:rsidP="009D705C">
            <w:pPr>
              <w:tabs>
                <w:tab w:val="num" w:pos="720"/>
              </w:tabs>
              <w:autoSpaceDE w:val="0"/>
              <w:autoSpaceDN w:val="0"/>
              <w:adjustRightInd w:val="0"/>
              <w:rPr>
                <w:rFonts w:ascii="Calibri" w:eastAsia="Calibri" w:hAnsi="Calibri" w:cs="Calibri"/>
                <w:b/>
              </w:rPr>
            </w:pPr>
            <w:r w:rsidRPr="00A0778E">
              <w:rPr>
                <w:rFonts w:ascii="Calibri" w:eastAsia="Calibri" w:hAnsi="Calibri" w:cs="Calibri"/>
                <w:b/>
              </w:rPr>
              <w:t>Social</w:t>
            </w:r>
          </w:p>
        </w:tc>
        <w:tc>
          <w:tcPr>
            <w:tcW w:w="11225" w:type="dxa"/>
            <w:tcBorders>
              <w:top w:val="single" w:sz="4" w:space="0" w:color="auto"/>
            </w:tcBorders>
          </w:tcPr>
          <w:p w:rsidR="005F4407" w:rsidRPr="00A0778E" w:rsidRDefault="005F4407" w:rsidP="009D705C">
            <w:pPr>
              <w:tabs>
                <w:tab w:val="num" w:pos="720"/>
              </w:tabs>
              <w:autoSpaceDE w:val="0"/>
              <w:autoSpaceDN w:val="0"/>
              <w:adjustRightInd w:val="0"/>
              <w:rPr>
                <w:rFonts w:ascii="Calibri" w:eastAsia="Calibri" w:hAnsi="Calibri" w:cs="Calibri"/>
                <w:b/>
              </w:rPr>
            </w:pPr>
            <w:r w:rsidRPr="00A0778E">
              <w:rPr>
                <w:rFonts w:ascii="Calibri" w:eastAsia="Calibri" w:hAnsi="Calibri" w:cs="Times New Roman"/>
                <w:sz w:val="20"/>
                <w:szCs w:val="20"/>
              </w:rPr>
              <w:t>Shortlisting (from a ‘Social Housing Register’) was based on a points system. Points were based on current living conditions, household composition (overcrowding), affordability, employment status, credit history, tenancy management, and medical circumstance (the system used to calculate these points was not available to the Investigators)</w:t>
            </w:r>
            <w:r w:rsidRPr="00A0778E">
              <w:rPr>
                <w:rFonts w:ascii="Calibri" w:eastAsia="Calibri" w:hAnsi="Calibri" w:cs="Calibri"/>
                <w:b/>
              </w:rPr>
              <w:t xml:space="preserve"> </w:t>
            </w:r>
          </w:p>
        </w:tc>
        <w:tc>
          <w:tcPr>
            <w:tcW w:w="0" w:type="auto"/>
            <w:tcBorders>
              <w:top w:val="single" w:sz="4" w:space="0" w:color="auto"/>
              <w:right w:val="single" w:sz="4" w:space="0" w:color="auto"/>
            </w:tcBorders>
          </w:tcPr>
          <w:p w:rsidR="005F4407" w:rsidRPr="00A0778E" w:rsidRDefault="005F4407" w:rsidP="009D705C">
            <w:pPr>
              <w:tabs>
                <w:tab w:val="num" w:pos="720"/>
              </w:tabs>
              <w:autoSpaceDE w:val="0"/>
              <w:autoSpaceDN w:val="0"/>
              <w:adjustRightInd w:val="0"/>
              <w:rPr>
                <w:rFonts w:ascii="Calibri" w:eastAsia="Calibri" w:hAnsi="Calibri" w:cs="Times New Roman"/>
                <w:sz w:val="20"/>
                <w:szCs w:val="20"/>
              </w:rPr>
            </w:pPr>
            <w:r w:rsidRPr="00A0778E">
              <w:rPr>
                <w:rFonts w:ascii="Calibri" w:eastAsia="Calibri" w:hAnsi="Calibri" w:cs="Times New Roman"/>
                <w:bCs/>
                <w:sz w:val="20"/>
                <w:szCs w:val="20"/>
              </w:rPr>
              <w:t>East Thames Group (association)</w:t>
            </w:r>
          </w:p>
        </w:tc>
      </w:tr>
      <w:tr w:rsidR="005F4407" w:rsidRPr="00A0778E" w:rsidTr="009D705C">
        <w:tc>
          <w:tcPr>
            <w:tcW w:w="1701" w:type="dxa"/>
            <w:tcBorders>
              <w:left w:val="single" w:sz="4" w:space="0" w:color="auto"/>
            </w:tcBorders>
          </w:tcPr>
          <w:p w:rsidR="005F4407" w:rsidRPr="00A0778E" w:rsidRDefault="005F4407" w:rsidP="009D705C">
            <w:pPr>
              <w:tabs>
                <w:tab w:val="num" w:pos="720"/>
              </w:tabs>
              <w:autoSpaceDE w:val="0"/>
              <w:autoSpaceDN w:val="0"/>
              <w:adjustRightInd w:val="0"/>
              <w:rPr>
                <w:rFonts w:ascii="Calibri" w:eastAsia="Calibri" w:hAnsi="Calibri" w:cs="Calibri"/>
                <w:b/>
              </w:rPr>
            </w:pPr>
            <w:r w:rsidRPr="00A0778E">
              <w:rPr>
                <w:rFonts w:ascii="Calibri" w:eastAsia="Calibri" w:hAnsi="Calibri" w:cs="Calibri"/>
                <w:b/>
              </w:rPr>
              <w:t>Intermediate</w:t>
            </w:r>
          </w:p>
        </w:tc>
        <w:tc>
          <w:tcPr>
            <w:tcW w:w="11225" w:type="dxa"/>
          </w:tcPr>
          <w:p w:rsidR="005F4407" w:rsidRPr="00A0778E" w:rsidRDefault="005F4407" w:rsidP="009D705C">
            <w:pPr>
              <w:tabs>
                <w:tab w:val="num" w:pos="720"/>
              </w:tabs>
              <w:autoSpaceDE w:val="0"/>
              <w:autoSpaceDN w:val="0"/>
              <w:adjustRightInd w:val="0"/>
              <w:rPr>
                <w:rFonts w:ascii="Calibri" w:eastAsia="Calibri" w:hAnsi="Calibri" w:cs="Times New Roman"/>
                <w:sz w:val="20"/>
                <w:szCs w:val="20"/>
              </w:rPr>
            </w:pPr>
            <w:r w:rsidRPr="00A0778E">
              <w:rPr>
                <w:rFonts w:ascii="Calibri" w:eastAsia="Calibri" w:hAnsi="Calibri" w:cs="Times New Roman"/>
                <w:sz w:val="20"/>
                <w:szCs w:val="20"/>
              </w:rPr>
              <w:t xml:space="preserve">Mix of affordable market-rent, shared equity (the buyer can pay a small deposit, usually 5%, and top up to 20% of the purchase price with a low or no cost ‘equity loan’, with the remainder paid by mortgage) and shared ownership (those who are unable to obtain a mortgage on the open market). Eligibility criteria included: living or working in London; an annual household income of less than £66,000 for 1 and 2 bedroom homes or below £80,000 for 3 bedroom homes; and to be a first time buyer for shared ownership accommodation. Affordability checks were conducted before tenants were invited to view a property. </w:t>
            </w:r>
          </w:p>
        </w:tc>
        <w:tc>
          <w:tcPr>
            <w:tcW w:w="0" w:type="auto"/>
            <w:tcBorders>
              <w:right w:val="single" w:sz="4" w:space="0" w:color="auto"/>
            </w:tcBorders>
          </w:tcPr>
          <w:p w:rsidR="005F4407" w:rsidRPr="00A0778E" w:rsidRDefault="005F4407" w:rsidP="009D705C">
            <w:pPr>
              <w:tabs>
                <w:tab w:val="num" w:pos="720"/>
              </w:tabs>
              <w:autoSpaceDE w:val="0"/>
              <w:autoSpaceDN w:val="0"/>
              <w:adjustRightInd w:val="0"/>
              <w:rPr>
                <w:rFonts w:ascii="Calibri" w:eastAsia="Calibri" w:hAnsi="Calibri" w:cs="Times New Roman"/>
                <w:bCs/>
                <w:sz w:val="20"/>
                <w:szCs w:val="20"/>
              </w:rPr>
            </w:pPr>
            <w:r w:rsidRPr="00A0778E">
              <w:rPr>
                <w:rFonts w:ascii="Calibri" w:eastAsia="Calibri" w:hAnsi="Calibri" w:cs="Times New Roman"/>
                <w:bCs/>
                <w:sz w:val="20"/>
                <w:szCs w:val="20"/>
              </w:rPr>
              <w:t>Triathlon Homes</w:t>
            </w:r>
          </w:p>
        </w:tc>
      </w:tr>
      <w:tr w:rsidR="005F4407" w:rsidRPr="00A0778E" w:rsidTr="009D705C">
        <w:tc>
          <w:tcPr>
            <w:tcW w:w="1701" w:type="dxa"/>
            <w:tcBorders>
              <w:left w:val="single" w:sz="4" w:space="0" w:color="auto"/>
              <w:bottom w:val="single" w:sz="4" w:space="0" w:color="auto"/>
            </w:tcBorders>
          </w:tcPr>
          <w:p w:rsidR="005F4407" w:rsidRPr="00A0778E" w:rsidRDefault="005F4407" w:rsidP="009D705C">
            <w:pPr>
              <w:tabs>
                <w:tab w:val="num" w:pos="720"/>
              </w:tabs>
              <w:autoSpaceDE w:val="0"/>
              <w:autoSpaceDN w:val="0"/>
              <w:adjustRightInd w:val="0"/>
              <w:rPr>
                <w:rFonts w:ascii="Calibri" w:eastAsia="Calibri" w:hAnsi="Calibri" w:cs="Calibri"/>
                <w:b/>
              </w:rPr>
            </w:pPr>
            <w:r w:rsidRPr="00A0778E">
              <w:rPr>
                <w:rFonts w:ascii="Calibri" w:eastAsia="Calibri" w:hAnsi="Calibri" w:cs="Calibri"/>
                <w:b/>
              </w:rPr>
              <w:t>Market-rent</w:t>
            </w:r>
          </w:p>
        </w:tc>
        <w:tc>
          <w:tcPr>
            <w:tcW w:w="11225" w:type="dxa"/>
            <w:tcBorders>
              <w:bottom w:val="single" w:sz="4" w:space="0" w:color="auto"/>
            </w:tcBorders>
          </w:tcPr>
          <w:p w:rsidR="005F4407" w:rsidRPr="00A0778E" w:rsidRDefault="005F4407" w:rsidP="009D705C">
            <w:pPr>
              <w:tabs>
                <w:tab w:val="num" w:pos="720"/>
              </w:tabs>
              <w:autoSpaceDE w:val="0"/>
              <w:autoSpaceDN w:val="0"/>
              <w:adjustRightInd w:val="0"/>
              <w:rPr>
                <w:rFonts w:ascii="Calibri" w:eastAsia="Calibri" w:hAnsi="Calibri" w:cs="Calibri"/>
                <w:b/>
              </w:rPr>
            </w:pPr>
            <w:r w:rsidRPr="00A0778E">
              <w:rPr>
                <w:rFonts w:ascii="Calibri" w:eastAsia="Calibri" w:hAnsi="Calibri" w:cs="Times New Roman"/>
                <w:sz w:val="20"/>
                <w:szCs w:val="20"/>
              </w:rPr>
              <w:t>Anyone seeking private rentals (usually a minimum income requirement of at least £39,000 per annum). Affordability/reference checks in place to ensure tenants could afford the accommodation</w:t>
            </w:r>
          </w:p>
        </w:tc>
        <w:tc>
          <w:tcPr>
            <w:tcW w:w="0" w:type="auto"/>
            <w:tcBorders>
              <w:bottom w:val="single" w:sz="4" w:space="0" w:color="auto"/>
              <w:right w:val="single" w:sz="4" w:space="0" w:color="auto"/>
            </w:tcBorders>
          </w:tcPr>
          <w:p w:rsidR="005F4407" w:rsidRPr="00A0778E" w:rsidRDefault="005F4407" w:rsidP="009D705C">
            <w:pPr>
              <w:tabs>
                <w:tab w:val="num" w:pos="720"/>
              </w:tabs>
              <w:autoSpaceDE w:val="0"/>
              <w:autoSpaceDN w:val="0"/>
              <w:adjustRightInd w:val="0"/>
              <w:rPr>
                <w:rFonts w:ascii="Calibri" w:eastAsia="Calibri" w:hAnsi="Calibri" w:cs="Calibri"/>
              </w:rPr>
            </w:pPr>
            <w:r w:rsidRPr="00A0778E">
              <w:rPr>
                <w:rFonts w:ascii="Calibri" w:eastAsia="Calibri" w:hAnsi="Calibri" w:cs="Times New Roman"/>
                <w:bCs/>
                <w:sz w:val="20"/>
                <w:szCs w:val="20"/>
              </w:rPr>
              <w:t>Get Living London</w:t>
            </w:r>
          </w:p>
        </w:tc>
      </w:tr>
    </w:tbl>
    <w:p w:rsidR="0074303A" w:rsidRDefault="0074303A">
      <w:bookmarkStart w:id="1" w:name="_GoBack"/>
      <w:bookmarkEnd w:id="1"/>
    </w:p>
    <w:sectPr w:rsidR="0074303A" w:rsidSect="005F440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07"/>
    <w:rsid w:val="000C5582"/>
    <w:rsid w:val="001E11CA"/>
    <w:rsid w:val="005A7A07"/>
    <w:rsid w:val="005C70EA"/>
    <w:rsid w:val="005F4407"/>
    <w:rsid w:val="0074303A"/>
    <w:rsid w:val="00A06DA8"/>
    <w:rsid w:val="00AC7937"/>
    <w:rsid w:val="00AD3135"/>
    <w:rsid w:val="00B5216B"/>
    <w:rsid w:val="00FE3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73497CB-EF44-494A-80B4-DE47CB76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07"/>
    <w:pPr>
      <w:spacing w:after="160" w:line="360"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5F4407"/>
    <w:pPr>
      <w:spacing w:after="200" w:line="240" w:lineRule="auto"/>
    </w:pPr>
    <w:rPr>
      <w:b/>
      <w:iCs/>
      <w:szCs w:val="18"/>
    </w:rPr>
  </w:style>
  <w:style w:type="character" w:customStyle="1" w:styleId="CaptionChar">
    <w:name w:val="Caption Char"/>
    <w:basedOn w:val="DefaultParagraphFont"/>
    <w:link w:val="Caption"/>
    <w:uiPriority w:val="35"/>
    <w:rsid w:val="005F4407"/>
    <w:rPr>
      <w:rFonts w:ascii="Arial" w:hAnsi="Arial"/>
      <w:b/>
      <w:iCs/>
      <w:sz w:val="22"/>
      <w:szCs w:val="18"/>
    </w:rPr>
  </w:style>
  <w:style w:type="table" w:customStyle="1" w:styleId="TableGrid2">
    <w:name w:val="Table Grid2"/>
    <w:basedOn w:val="TableNormal"/>
    <w:next w:val="TableGrid"/>
    <w:uiPriority w:val="59"/>
    <w:rsid w:val="005F44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4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Prepress Projects Ltd</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Furey</dc:creator>
  <cp:keywords/>
  <dc:description/>
  <cp:lastModifiedBy>Claire Furey</cp:lastModifiedBy>
  <cp:revision>1</cp:revision>
  <dcterms:created xsi:type="dcterms:W3CDTF">2020-02-12T10:04:00Z</dcterms:created>
  <dcterms:modified xsi:type="dcterms:W3CDTF">2020-02-12T10:04:00Z</dcterms:modified>
</cp:coreProperties>
</file>