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B88" w:rsidRPr="00034540" w:rsidRDefault="00952B88" w:rsidP="00952B88">
      <w:pPr>
        <w:pStyle w:val="Caption"/>
        <w:rPr>
          <w:rFonts w:asciiTheme="minorHAnsi" w:hAnsiTheme="minorHAnsi"/>
          <w:sz w:val="24"/>
          <w:szCs w:val="24"/>
        </w:rPr>
      </w:pPr>
      <w:bookmarkStart w:id="0" w:name="_Toc860668"/>
      <w:r>
        <w:t xml:space="preserve">Supplementary Material File </w:t>
      </w:r>
      <w:r>
        <w:rPr>
          <w:noProof/>
        </w:rPr>
        <w:t>5</w:t>
      </w:r>
      <w:r>
        <w:t xml:space="preserve">: </w:t>
      </w:r>
      <w:r w:rsidRPr="00EB0E65">
        <w:t>Physical activity differences between weekday (Monday-Friday) and weekend (Saturday, Sunday) activity by housing sector.</w:t>
      </w:r>
      <w:bookmarkEnd w:id="0"/>
    </w:p>
    <w:tbl>
      <w:tblPr>
        <w:tblW w:w="13865" w:type="dxa"/>
        <w:tblLook w:val="04A0" w:firstRow="1" w:lastRow="0" w:firstColumn="1" w:lastColumn="0" w:noHBand="0" w:noVBand="1"/>
      </w:tblPr>
      <w:tblGrid>
        <w:gridCol w:w="2122"/>
        <w:gridCol w:w="1559"/>
        <w:gridCol w:w="717"/>
        <w:gridCol w:w="1693"/>
        <w:gridCol w:w="1134"/>
        <w:gridCol w:w="1701"/>
        <w:gridCol w:w="944"/>
        <w:gridCol w:w="1324"/>
        <w:gridCol w:w="1732"/>
        <w:gridCol w:w="939"/>
      </w:tblGrid>
      <w:tr w:rsidR="00952B88" w:rsidRPr="00034540" w:rsidTr="009D705C">
        <w:trPr>
          <w:trHeight w:val="582"/>
        </w:trPr>
        <w:tc>
          <w:tcPr>
            <w:tcW w:w="2122" w:type="dxa"/>
            <w:vMerge w:val="restart"/>
            <w:tcBorders>
              <w:top w:val="single" w:sz="4" w:space="0" w:color="auto"/>
              <w:left w:val="single" w:sz="4" w:space="0" w:color="auto"/>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Physical activity variable  (N = 1107)</w:t>
            </w:r>
          </w:p>
        </w:tc>
        <w:tc>
          <w:tcPr>
            <w:tcW w:w="1559" w:type="dxa"/>
            <w:vMerge w:val="restart"/>
            <w:tcBorders>
              <w:top w:val="single" w:sz="4" w:space="0" w:color="auto"/>
              <w:left w:val="nil"/>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Housing sector group</w:t>
            </w:r>
          </w:p>
        </w:tc>
        <w:tc>
          <w:tcPr>
            <w:tcW w:w="2410" w:type="dxa"/>
            <w:gridSpan w:val="2"/>
            <w:vMerge w:val="restart"/>
            <w:tcBorders>
              <w:top w:val="single" w:sz="4" w:space="0" w:color="auto"/>
              <w:left w:val="nil"/>
              <w:right w:val="nil"/>
            </w:tcBorders>
            <w:shd w:val="clear" w:color="auto" w:fill="auto"/>
            <w:vAlign w:val="center"/>
            <w:hideMark/>
          </w:tcPr>
          <w:p w:rsidR="00952B88" w:rsidRPr="00034540" w:rsidRDefault="00952B88" w:rsidP="009D705C">
            <w:pPr>
              <w:spacing w:after="0" w:line="240" w:lineRule="auto"/>
              <w:jc w:val="center"/>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Mean (95% CI) weekday (Mon-Fri) activity</w:t>
            </w:r>
          </w:p>
        </w:tc>
        <w:tc>
          <w:tcPr>
            <w:tcW w:w="7774" w:type="dxa"/>
            <w:gridSpan w:val="6"/>
            <w:tcBorders>
              <w:top w:val="single" w:sz="4" w:space="0" w:color="auto"/>
              <w:left w:val="nil"/>
              <w:right w:val="single" w:sz="4" w:space="0" w:color="auto"/>
            </w:tcBorders>
            <w:shd w:val="clear" w:color="auto" w:fill="auto"/>
            <w:vAlign w:val="center"/>
            <w:hideMark/>
          </w:tcPr>
          <w:p w:rsidR="00952B88" w:rsidRPr="00034540" w:rsidRDefault="00952B88" w:rsidP="009D705C">
            <w:pPr>
              <w:spacing w:after="0" w:line="240" w:lineRule="auto"/>
              <w:jc w:val="center"/>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 xml:space="preserve">Difference in PA outcome compared to weekdays </w:t>
            </w:r>
          </w:p>
          <w:p w:rsidR="00952B88" w:rsidRPr="00034540" w:rsidRDefault="00952B88" w:rsidP="009D705C">
            <w:pPr>
              <w:spacing w:after="0" w:line="240" w:lineRule="auto"/>
              <w:jc w:val="center"/>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(95% confidence interval), p-value</w:t>
            </w:r>
          </w:p>
        </w:tc>
      </w:tr>
      <w:tr w:rsidR="00952B88" w:rsidRPr="00034540" w:rsidTr="009D705C">
        <w:trPr>
          <w:trHeight w:val="300"/>
        </w:trPr>
        <w:tc>
          <w:tcPr>
            <w:tcW w:w="2122" w:type="dxa"/>
            <w:vMerge/>
            <w:tcBorders>
              <w:left w:val="single" w:sz="4" w:space="0" w:color="auto"/>
              <w:bottom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vMerge/>
            <w:tcBorders>
              <w:left w:val="nil"/>
              <w:bottom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2410" w:type="dxa"/>
            <w:gridSpan w:val="2"/>
            <w:vMerge/>
            <w:tcBorders>
              <w:left w:val="nil"/>
              <w:bottom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3779" w:type="dxa"/>
            <w:gridSpan w:val="3"/>
            <w:tcBorders>
              <w:left w:val="nil"/>
              <w:bottom w:val="single" w:sz="4" w:space="0" w:color="auto"/>
              <w:right w:val="nil"/>
            </w:tcBorders>
            <w:shd w:val="clear" w:color="auto" w:fill="auto"/>
            <w:vAlign w:val="center"/>
            <w:hideMark/>
          </w:tcPr>
          <w:p w:rsidR="00952B88" w:rsidRPr="00034540" w:rsidRDefault="00952B88" w:rsidP="009D705C">
            <w:pPr>
              <w:spacing w:after="0" w:line="240" w:lineRule="auto"/>
              <w:jc w:val="center"/>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 xml:space="preserve">Saturday - weekday </w:t>
            </w:r>
          </w:p>
        </w:tc>
        <w:tc>
          <w:tcPr>
            <w:tcW w:w="3995" w:type="dxa"/>
            <w:gridSpan w:val="3"/>
            <w:tcBorders>
              <w:left w:val="nil"/>
              <w:bottom w:val="single" w:sz="4" w:space="0" w:color="auto"/>
              <w:right w:val="single" w:sz="4" w:space="0" w:color="auto"/>
            </w:tcBorders>
            <w:shd w:val="clear" w:color="auto" w:fill="auto"/>
            <w:vAlign w:val="center"/>
            <w:hideMark/>
          </w:tcPr>
          <w:p w:rsidR="00952B88" w:rsidRPr="00034540" w:rsidRDefault="00952B88" w:rsidP="009D705C">
            <w:pPr>
              <w:spacing w:after="0" w:line="240" w:lineRule="auto"/>
              <w:jc w:val="center"/>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 xml:space="preserve">Sunday - weekday </w:t>
            </w:r>
          </w:p>
        </w:tc>
      </w:tr>
      <w:tr w:rsidR="00952B88" w:rsidRPr="00034540" w:rsidTr="009D705C">
        <w:trPr>
          <w:trHeight w:hRule="exact" w:val="301"/>
        </w:trPr>
        <w:tc>
          <w:tcPr>
            <w:tcW w:w="2122" w:type="dxa"/>
            <w:vMerge w:val="restart"/>
            <w:tcBorders>
              <w:top w:val="single" w:sz="4" w:space="0" w:color="auto"/>
              <w:left w:val="single" w:sz="4" w:space="0" w:color="auto"/>
              <w:right w:val="nil"/>
            </w:tcBorders>
            <w:shd w:val="clear" w:color="auto" w:fill="auto"/>
            <w:vAlign w:val="center"/>
            <w:hideMark/>
          </w:tcPr>
          <w:p w:rsidR="00952B88" w:rsidRPr="00034540" w:rsidRDefault="00952B88" w:rsidP="009D705C">
            <w:pPr>
              <w:spacing w:line="259" w:lineRule="auto"/>
              <w:rPr>
                <w:rFonts w:ascii="Calibri" w:hAnsi="Calibri"/>
                <w:color w:val="000000"/>
              </w:rPr>
            </w:pPr>
            <w:r w:rsidRPr="00034540">
              <w:rPr>
                <w:rFonts w:ascii="Calibri" w:hAnsi="Calibri"/>
                <w:color w:val="000000"/>
              </w:rPr>
              <w:t>Daily steps</w:t>
            </w:r>
          </w:p>
        </w:tc>
        <w:tc>
          <w:tcPr>
            <w:tcW w:w="1559" w:type="dxa"/>
            <w:tcBorders>
              <w:top w:val="single" w:sz="4" w:space="0" w:color="auto"/>
              <w:left w:val="nil"/>
              <w:right w:val="nil"/>
            </w:tcBorders>
            <w:shd w:val="clear" w:color="auto" w:fill="auto"/>
            <w:vAlign w:val="center"/>
            <w:hideMark/>
          </w:tcPr>
          <w:p w:rsidR="00952B88" w:rsidRPr="00034540" w:rsidRDefault="00952B88" w:rsidP="009D705C">
            <w:pPr>
              <w:spacing w:line="259" w:lineRule="auto"/>
              <w:rPr>
                <w:rFonts w:ascii="Calibri" w:hAnsi="Calibri"/>
                <w:color w:val="000000"/>
              </w:rPr>
            </w:pPr>
            <w:r w:rsidRPr="00034540">
              <w:rPr>
                <w:rFonts w:ascii="Calibri" w:hAnsi="Calibri"/>
                <w:color w:val="000000"/>
              </w:rPr>
              <w:t>Social</w:t>
            </w:r>
          </w:p>
        </w:tc>
        <w:tc>
          <w:tcPr>
            <w:tcW w:w="717"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jc w:val="right"/>
              <w:rPr>
                <w:rFonts w:ascii="Calibri" w:hAnsi="Calibri"/>
                <w:color w:val="000000"/>
              </w:rPr>
            </w:pPr>
            <w:r w:rsidRPr="00034540">
              <w:rPr>
                <w:rFonts w:ascii="Calibri" w:hAnsi="Calibri"/>
                <w:color w:val="000000"/>
              </w:rPr>
              <w:t>8733</w:t>
            </w:r>
          </w:p>
        </w:tc>
        <w:tc>
          <w:tcPr>
            <w:tcW w:w="1693"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rPr>
                <w:rFonts w:ascii="Calibri" w:hAnsi="Calibri"/>
                <w:color w:val="000000"/>
              </w:rPr>
            </w:pPr>
            <w:r w:rsidRPr="00034540">
              <w:rPr>
                <w:rFonts w:ascii="Calibri" w:hAnsi="Calibri"/>
                <w:color w:val="000000"/>
              </w:rPr>
              <w:t>(8364, 9103)</w:t>
            </w:r>
          </w:p>
        </w:tc>
        <w:tc>
          <w:tcPr>
            <w:tcW w:w="1134"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jc w:val="right"/>
              <w:rPr>
                <w:rFonts w:ascii="Calibri" w:hAnsi="Calibri"/>
                <w:color w:val="000000"/>
              </w:rPr>
            </w:pPr>
            <w:r w:rsidRPr="00034540">
              <w:rPr>
                <w:rFonts w:ascii="Calibri" w:hAnsi="Calibri"/>
                <w:color w:val="000000"/>
              </w:rPr>
              <w:t>-1643</w:t>
            </w:r>
          </w:p>
        </w:tc>
        <w:tc>
          <w:tcPr>
            <w:tcW w:w="1701"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rPr>
                <w:rFonts w:ascii="Calibri" w:hAnsi="Calibri"/>
                <w:color w:val="000000"/>
              </w:rPr>
            </w:pPr>
            <w:r w:rsidRPr="00034540">
              <w:rPr>
                <w:rFonts w:ascii="Calibri" w:hAnsi="Calibri"/>
                <w:color w:val="000000"/>
              </w:rPr>
              <w:t>(-2078, -1207)</w:t>
            </w:r>
          </w:p>
        </w:tc>
        <w:tc>
          <w:tcPr>
            <w:tcW w:w="944"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jc w:val="right"/>
              <w:rPr>
                <w:rFonts w:ascii="Calibri" w:hAnsi="Calibri"/>
                <w:color w:val="000000"/>
              </w:rPr>
            </w:pPr>
            <w:r w:rsidRPr="00034540">
              <w:rPr>
                <w:rFonts w:ascii="Calibri" w:hAnsi="Calibri"/>
                <w:color w:val="000000"/>
              </w:rPr>
              <w:t>&lt;0.0001</w:t>
            </w:r>
          </w:p>
        </w:tc>
        <w:tc>
          <w:tcPr>
            <w:tcW w:w="1324"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jc w:val="right"/>
              <w:rPr>
                <w:rFonts w:ascii="Calibri" w:hAnsi="Calibri"/>
                <w:color w:val="000000"/>
              </w:rPr>
            </w:pPr>
            <w:r w:rsidRPr="00034540">
              <w:rPr>
                <w:rFonts w:ascii="Calibri" w:hAnsi="Calibri"/>
                <w:color w:val="000000"/>
              </w:rPr>
              <w:t>-2629</w:t>
            </w:r>
          </w:p>
        </w:tc>
        <w:tc>
          <w:tcPr>
            <w:tcW w:w="1732" w:type="dxa"/>
            <w:tcBorders>
              <w:top w:val="single" w:sz="4" w:space="0" w:color="auto"/>
              <w:left w:val="nil"/>
              <w:right w:val="nil"/>
            </w:tcBorders>
            <w:shd w:val="clear" w:color="auto" w:fill="auto"/>
            <w:noWrap/>
            <w:vAlign w:val="center"/>
            <w:hideMark/>
          </w:tcPr>
          <w:p w:rsidR="00952B88" w:rsidRPr="00034540" w:rsidRDefault="00952B88" w:rsidP="009D705C">
            <w:pPr>
              <w:spacing w:line="259" w:lineRule="auto"/>
              <w:rPr>
                <w:rFonts w:ascii="Calibri" w:hAnsi="Calibri"/>
                <w:color w:val="000000"/>
              </w:rPr>
            </w:pPr>
            <w:r w:rsidRPr="00034540">
              <w:rPr>
                <w:rFonts w:ascii="Calibri" w:hAnsi="Calibri"/>
                <w:color w:val="000000"/>
              </w:rPr>
              <w:t>(-3093, -2164)</w:t>
            </w:r>
          </w:p>
        </w:tc>
        <w:tc>
          <w:tcPr>
            <w:tcW w:w="939" w:type="dxa"/>
            <w:tcBorders>
              <w:top w:val="single" w:sz="4" w:space="0" w:color="auto"/>
              <w:left w:val="nil"/>
              <w:right w:val="single" w:sz="4" w:space="0" w:color="auto"/>
            </w:tcBorders>
            <w:shd w:val="clear" w:color="auto" w:fill="auto"/>
            <w:noWrap/>
            <w:vAlign w:val="center"/>
            <w:hideMark/>
          </w:tcPr>
          <w:p w:rsidR="00952B88" w:rsidRPr="00034540" w:rsidRDefault="00952B88" w:rsidP="009D705C">
            <w:pPr>
              <w:spacing w:line="259" w:lineRule="auto"/>
              <w:jc w:val="right"/>
              <w:rPr>
                <w:rFonts w:ascii="Calibri" w:hAnsi="Calibri"/>
                <w:color w:val="000000"/>
              </w:rPr>
            </w:pPr>
            <w:r w:rsidRPr="00034540">
              <w:rPr>
                <w:rFonts w:ascii="Calibri" w:hAnsi="Calibri"/>
                <w:color w:val="000000"/>
              </w:rPr>
              <w:t>&lt;0.0001</w:t>
            </w:r>
          </w:p>
        </w:tc>
      </w:tr>
      <w:tr w:rsidR="00952B88" w:rsidRPr="00034540" w:rsidTr="009D705C">
        <w:trPr>
          <w:trHeight w:val="300"/>
        </w:trPr>
        <w:tc>
          <w:tcPr>
            <w:tcW w:w="2122" w:type="dxa"/>
            <w:vMerge/>
            <w:tcBorders>
              <w:top w:val="nil"/>
              <w:left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tcBorders>
              <w:top w:val="nil"/>
              <w:left w:val="nil"/>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Intermediate</w:t>
            </w:r>
          </w:p>
        </w:tc>
        <w:tc>
          <w:tcPr>
            <w:tcW w:w="717"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9497</w:t>
            </w:r>
          </w:p>
        </w:tc>
        <w:tc>
          <w:tcPr>
            <w:tcW w:w="1693"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(9178, 9817)</w:t>
            </w:r>
          </w:p>
        </w:tc>
        <w:tc>
          <w:tcPr>
            <w:tcW w:w="113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460</w:t>
            </w:r>
          </w:p>
        </w:tc>
        <w:tc>
          <w:tcPr>
            <w:tcW w:w="1701"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(59, 862)</w:t>
            </w:r>
          </w:p>
        </w:tc>
        <w:tc>
          <w:tcPr>
            <w:tcW w:w="94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0.02</w:t>
            </w:r>
          </w:p>
        </w:tc>
        <w:tc>
          <w:tcPr>
            <w:tcW w:w="132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-1104</w:t>
            </w:r>
          </w:p>
        </w:tc>
        <w:tc>
          <w:tcPr>
            <w:tcW w:w="1732"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(-1528, -680)</w:t>
            </w:r>
          </w:p>
        </w:tc>
        <w:tc>
          <w:tcPr>
            <w:tcW w:w="939" w:type="dxa"/>
            <w:tcBorders>
              <w:top w:val="nil"/>
              <w:left w:val="nil"/>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&lt;0.0001</w:t>
            </w:r>
          </w:p>
        </w:tc>
      </w:tr>
      <w:tr w:rsidR="00952B88" w:rsidRPr="00034540" w:rsidTr="009D705C">
        <w:trPr>
          <w:trHeight w:val="300"/>
        </w:trPr>
        <w:tc>
          <w:tcPr>
            <w:tcW w:w="2122" w:type="dxa"/>
            <w:vMerge/>
            <w:tcBorders>
              <w:top w:val="nil"/>
              <w:left w:val="single" w:sz="4" w:space="0" w:color="auto"/>
              <w:bottom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tcBorders>
              <w:top w:val="nil"/>
              <w:left w:val="nil"/>
              <w:bottom w:val="single" w:sz="4" w:space="0" w:color="auto"/>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Market-rent</w:t>
            </w:r>
          </w:p>
        </w:tc>
        <w:tc>
          <w:tcPr>
            <w:tcW w:w="717"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9146</w:t>
            </w:r>
          </w:p>
        </w:tc>
        <w:tc>
          <w:tcPr>
            <w:tcW w:w="1693"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(8673, 9619)</w:t>
            </w:r>
          </w:p>
        </w:tc>
        <w:tc>
          <w:tcPr>
            <w:tcW w:w="113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1055</w:t>
            </w:r>
          </w:p>
        </w:tc>
        <w:tc>
          <w:tcPr>
            <w:tcW w:w="1701"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(467, 1642)</w:t>
            </w:r>
          </w:p>
        </w:tc>
        <w:tc>
          <w:tcPr>
            <w:tcW w:w="94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&lt;0.001</w:t>
            </w:r>
          </w:p>
        </w:tc>
        <w:tc>
          <w:tcPr>
            <w:tcW w:w="132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-102</w:t>
            </w:r>
          </w:p>
        </w:tc>
        <w:tc>
          <w:tcPr>
            <w:tcW w:w="1732"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hAnsi="Calibri"/>
                <w:color w:val="000000"/>
              </w:rPr>
              <w:t>(-734, 531)</w:t>
            </w:r>
          </w:p>
        </w:tc>
        <w:tc>
          <w:tcPr>
            <w:tcW w:w="939" w:type="dxa"/>
            <w:tcBorders>
              <w:top w:val="nil"/>
              <w:left w:val="nil"/>
              <w:bottom w:val="single" w:sz="4" w:space="0" w:color="auto"/>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hAnsi="Calibri"/>
                <w:color w:val="000000"/>
              </w:rPr>
              <w:t>0.75</w:t>
            </w:r>
          </w:p>
        </w:tc>
      </w:tr>
      <w:tr w:rsidR="00952B88" w:rsidRPr="00034540" w:rsidTr="009D705C">
        <w:trPr>
          <w:trHeight w:val="300"/>
        </w:trPr>
        <w:tc>
          <w:tcPr>
            <w:tcW w:w="2122" w:type="dxa"/>
            <w:vMerge w:val="restart"/>
            <w:tcBorders>
              <w:top w:val="single" w:sz="4" w:space="0" w:color="auto"/>
              <w:left w:val="single" w:sz="4" w:space="0" w:color="auto"/>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MVPA (minutes)</w:t>
            </w:r>
          </w:p>
        </w:tc>
        <w:tc>
          <w:tcPr>
            <w:tcW w:w="1559" w:type="dxa"/>
            <w:tcBorders>
              <w:top w:val="single" w:sz="4" w:space="0" w:color="auto"/>
              <w:left w:val="nil"/>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Social</w:t>
            </w:r>
          </w:p>
        </w:tc>
        <w:tc>
          <w:tcPr>
            <w:tcW w:w="717"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57.2</w:t>
            </w:r>
          </w:p>
        </w:tc>
        <w:tc>
          <w:tcPr>
            <w:tcW w:w="1693"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(54.3, 60.1)</w:t>
            </w:r>
          </w:p>
        </w:tc>
        <w:tc>
          <w:tcPr>
            <w:tcW w:w="1134"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-11.2</w:t>
            </w:r>
          </w:p>
        </w:tc>
        <w:tc>
          <w:tcPr>
            <w:tcW w:w="1701"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(-14.7, -7.7)</w:t>
            </w:r>
          </w:p>
        </w:tc>
        <w:tc>
          <w:tcPr>
            <w:tcW w:w="944"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&lt;0.0001</w:t>
            </w:r>
          </w:p>
        </w:tc>
        <w:tc>
          <w:tcPr>
            <w:tcW w:w="1324"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-18.4</w:t>
            </w:r>
          </w:p>
        </w:tc>
        <w:tc>
          <w:tcPr>
            <w:tcW w:w="1732"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(-22.1, -14.7)</w:t>
            </w:r>
          </w:p>
        </w:tc>
        <w:tc>
          <w:tcPr>
            <w:tcW w:w="939" w:type="dxa"/>
            <w:tcBorders>
              <w:top w:val="single" w:sz="4" w:space="0" w:color="auto"/>
              <w:left w:val="nil"/>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&lt;0.0001</w:t>
            </w:r>
          </w:p>
        </w:tc>
      </w:tr>
      <w:tr w:rsidR="00952B88" w:rsidRPr="00034540" w:rsidTr="009D705C">
        <w:trPr>
          <w:trHeight w:val="300"/>
        </w:trPr>
        <w:tc>
          <w:tcPr>
            <w:tcW w:w="2122" w:type="dxa"/>
            <w:vMerge/>
            <w:tcBorders>
              <w:top w:val="nil"/>
              <w:left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tcBorders>
              <w:top w:val="nil"/>
              <w:left w:val="nil"/>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Intermediate</w:t>
            </w:r>
          </w:p>
        </w:tc>
        <w:tc>
          <w:tcPr>
            <w:tcW w:w="717"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63.1</w:t>
            </w:r>
          </w:p>
        </w:tc>
        <w:tc>
          <w:tcPr>
            <w:tcW w:w="1693"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(60.6, 65.7)</w:t>
            </w:r>
          </w:p>
        </w:tc>
        <w:tc>
          <w:tcPr>
            <w:tcW w:w="113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1.5</w:t>
            </w:r>
          </w:p>
        </w:tc>
        <w:tc>
          <w:tcPr>
            <w:tcW w:w="1701"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(-1.8, 4.7)</w:t>
            </w:r>
          </w:p>
        </w:tc>
        <w:tc>
          <w:tcPr>
            <w:tcW w:w="94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0.37</w:t>
            </w:r>
          </w:p>
        </w:tc>
        <w:tc>
          <w:tcPr>
            <w:tcW w:w="132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-8.5</w:t>
            </w:r>
          </w:p>
        </w:tc>
        <w:tc>
          <w:tcPr>
            <w:tcW w:w="1732"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(-11.9, -5.1)</w:t>
            </w:r>
          </w:p>
        </w:tc>
        <w:tc>
          <w:tcPr>
            <w:tcW w:w="939" w:type="dxa"/>
            <w:tcBorders>
              <w:top w:val="nil"/>
              <w:left w:val="nil"/>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&lt;0.0001</w:t>
            </w:r>
          </w:p>
        </w:tc>
      </w:tr>
      <w:tr w:rsidR="00952B88" w:rsidRPr="00034540" w:rsidTr="009D705C">
        <w:trPr>
          <w:trHeight w:val="300"/>
        </w:trPr>
        <w:tc>
          <w:tcPr>
            <w:tcW w:w="2122" w:type="dxa"/>
            <w:vMerge/>
            <w:tcBorders>
              <w:top w:val="nil"/>
              <w:left w:val="single" w:sz="4" w:space="0" w:color="auto"/>
              <w:bottom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tcBorders>
              <w:top w:val="nil"/>
              <w:left w:val="nil"/>
              <w:bottom w:val="single" w:sz="4" w:space="0" w:color="auto"/>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Market-rent</w:t>
            </w:r>
          </w:p>
        </w:tc>
        <w:tc>
          <w:tcPr>
            <w:tcW w:w="717"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63.5</w:t>
            </w:r>
          </w:p>
        </w:tc>
        <w:tc>
          <w:tcPr>
            <w:tcW w:w="1693"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(59.8, 67.3)</w:t>
            </w:r>
          </w:p>
        </w:tc>
        <w:tc>
          <w:tcPr>
            <w:tcW w:w="113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6.6</w:t>
            </w:r>
          </w:p>
        </w:tc>
        <w:tc>
          <w:tcPr>
            <w:tcW w:w="1701"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(1.9, 11.3)</w:t>
            </w:r>
          </w:p>
        </w:tc>
        <w:tc>
          <w:tcPr>
            <w:tcW w:w="94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0.01</w:t>
            </w:r>
          </w:p>
        </w:tc>
        <w:tc>
          <w:tcPr>
            <w:tcW w:w="132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-0.1</w:t>
            </w:r>
          </w:p>
        </w:tc>
        <w:tc>
          <w:tcPr>
            <w:tcW w:w="1732"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(-5.2, 5.0)</w:t>
            </w:r>
          </w:p>
        </w:tc>
        <w:tc>
          <w:tcPr>
            <w:tcW w:w="939" w:type="dxa"/>
            <w:tcBorders>
              <w:top w:val="nil"/>
              <w:left w:val="nil"/>
              <w:bottom w:val="single" w:sz="4" w:space="0" w:color="auto"/>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0.97</w:t>
            </w:r>
          </w:p>
        </w:tc>
      </w:tr>
      <w:tr w:rsidR="00952B88" w:rsidRPr="00034540" w:rsidTr="009D705C">
        <w:trPr>
          <w:trHeight w:val="300"/>
        </w:trPr>
        <w:tc>
          <w:tcPr>
            <w:tcW w:w="2122" w:type="dxa"/>
            <w:vMerge w:val="restart"/>
            <w:tcBorders>
              <w:top w:val="single" w:sz="4" w:space="0" w:color="auto"/>
              <w:left w:val="single" w:sz="4" w:space="0" w:color="auto"/>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MVPA in ≥10 minute bouts (minutes)</w:t>
            </w:r>
          </w:p>
        </w:tc>
        <w:tc>
          <w:tcPr>
            <w:tcW w:w="1559" w:type="dxa"/>
            <w:tcBorders>
              <w:top w:val="single" w:sz="4" w:space="0" w:color="auto"/>
              <w:left w:val="nil"/>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Social</w:t>
            </w:r>
          </w:p>
        </w:tc>
        <w:tc>
          <w:tcPr>
            <w:tcW w:w="717"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16.3</w:t>
            </w:r>
          </w:p>
        </w:tc>
        <w:tc>
          <w:tcPr>
            <w:tcW w:w="1693"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(14.0, 18.5)</w:t>
            </w:r>
          </w:p>
        </w:tc>
        <w:tc>
          <w:tcPr>
            <w:tcW w:w="1134"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-4.1</w:t>
            </w:r>
          </w:p>
        </w:tc>
        <w:tc>
          <w:tcPr>
            <w:tcW w:w="1701"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(-6.9, -1.3)</w:t>
            </w:r>
          </w:p>
        </w:tc>
        <w:tc>
          <w:tcPr>
            <w:tcW w:w="944"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0.004</w:t>
            </w:r>
          </w:p>
        </w:tc>
        <w:tc>
          <w:tcPr>
            <w:tcW w:w="1324"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-6.8</w:t>
            </w:r>
          </w:p>
        </w:tc>
        <w:tc>
          <w:tcPr>
            <w:tcW w:w="1732" w:type="dxa"/>
            <w:tcBorders>
              <w:top w:val="single" w:sz="4" w:space="0" w:color="auto"/>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(-9.8, -3.9)</w:t>
            </w:r>
          </w:p>
        </w:tc>
        <w:tc>
          <w:tcPr>
            <w:tcW w:w="939" w:type="dxa"/>
            <w:tcBorders>
              <w:top w:val="single" w:sz="4" w:space="0" w:color="auto"/>
              <w:left w:val="nil"/>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&lt;0.0001</w:t>
            </w:r>
          </w:p>
        </w:tc>
      </w:tr>
      <w:tr w:rsidR="00952B88" w:rsidRPr="00034540" w:rsidTr="009D705C">
        <w:trPr>
          <w:trHeight w:val="300"/>
        </w:trPr>
        <w:tc>
          <w:tcPr>
            <w:tcW w:w="2122" w:type="dxa"/>
            <w:vMerge/>
            <w:tcBorders>
              <w:top w:val="nil"/>
              <w:left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tcBorders>
              <w:top w:val="nil"/>
              <w:left w:val="nil"/>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Intermediate</w:t>
            </w:r>
          </w:p>
        </w:tc>
        <w:tc>
          <w:tcPr>
            <w:tcW w:w="717"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22.6</w:t>
            </w:r>
          </w:p>
        </w:tc>
        <w:tc>
          <w:tcPr>
            <w:tcW w:w="1693"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(20.7, 24.6)</w:t>
            </w:r>
          </w:p>
        </w:tc>
        <w:tc>
          <w:tcPr>
            <w:tcW w:w="113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2.5</w:t>
            </w:r>
          </w:p>
        </w:tc>
        <w:tc>
          <w:tcPr>
            <w:tcW w:w="1701"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(-0.06, 5.1)</w:t>
            </w:r>
          </w:p>
        </w:tc>
        <w:tc>
          <w:tcPr>
            <w:tcW w:w="94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0.06</w:t>
            </w:r>
          </w:p>
        </w:tc>
        <w:tc>
          <w:tcPr>
            <w:tcW w:w="1324" w:type="dxa"/>
            <w:tcBorders>
              <w:top w:val="nil"/>
              <w:left w:val="nil"/>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-0.7</w:t>
            </w:r>
          </w:p>
        </w:tc>
        <w:tc>
          <w:tcPr>
            <w:tcW w:w="1732" w:type="dxa"/>
            <w:tcBorders>
              <w:top w:val="nil"/>
              <w:left w:val="nil"/>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(-3.4, 2.0)</w:t>
            </w:r>
          </w:p>
        </w:tc>
        <w:tc>
          <w:tcPr>
            <w:tcW w:w="939" w:type="dxa"/>
            <w:tcBorders>
              <w:top w:val="nil"/>
              <w:left w:val="nil"/>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0.62</w:t>
            </w:r>
          </w:p>
        </w:tc>
      </w:tr>
      <w:tr w:rsidR="00952B88" w:rsidRPr="00034540" w:rsidTr="009D705C">
        <w:trPr>
          <w:trHeight w:val="300"/>
        </w:trPr>
        <w:tc>
          <w:tcPr>
            <w:tcW w:w="2122" w:type="dxa"/>
            <w:vMerge/>
            <w:tcBorders>
              <w:top w:val="nil"/>
              <w:left w:val="single" w:sz="4" w:space="0" w:color="auto"/>
              <w:bottom w:val="single" w:sz="4" w:space="0" w:color="auto"/>
              <w:right w:val="nil"/>
            </w:tcBorders>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p>
        </w:tc>
        <w:tc>
          <w:tcPr>
            <w:tcW w:w="1559" w:type="dxa"/>
            <w:tcBorders>
              <w:top w:val="nil"/>
              <w:left w:val="nil"/>
              <w:bottom w:val="single" w:sz="4" w:space="0" w:color="auto"/>
              <w:right w:val="nil"/>
            </w:tcBorders>
            <w:shd w:val="clear" w:color="auto" w:fill="auto"/>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Market-rent</w:t>
            </w:r>
          </w:p>
        </w:tc>
        <w:tc>
          <w:tcPr>
            <w:tcW w:w="717"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24.2</w:t>
            </w:r>
          </w:p>
        </w:tc>
        <w:tc>
          <w:tcPr>
            <w:tcW w:w="1693"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(21.3, 27.1)</w:t>
            </w:r>
          </w:p>
        </w:tc>
        <w:tc>
          <w:tcPr>
            <w:tcW w:w="113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6.1</w:t>
            </w:r>
          </w:p>
        </w:tc>
        <w:tc>
          <w:tcPr>
            <w:tcW w:w="1701"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(2.4, 9.9)</w:t>
            </w:r>
          </w:p>
        </w:tc>
        <w:tc>
          <w:tcPr>
            <w:tcW w:w="94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0.001</w:t>
            </w:r>
          </w:p>
        </w:tc>
        <w:tc>
          <w:tcPr>
            <w:tcW w:w="1324"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2.8</w:t>
            </w:r>
          </w:p>
        </w:tc>
        <w:tc>
          <w:tcPr>
            <w:tcW w:w="1732" w:type="dxa"/>
            <w:tcBorders>
              <w:top w:val="nil"/>
              <w:left w:val="nil"/>
              <w:bottom w:val="single" w:sz="4" w:space="0" w:color="auto"/>
              <w:right w:val="nil"/>
            </w:tcBorders>
            <w:shd w:val="clear" w:color="auto" w:fill="auto"/>
            <w:noWrap/>
            <w:vAlign w:val="center"/>
            <w:hideMark/>
          </w:tcPr>
          <w:p w:rsidR="00952B88" w:rsidRPr="00034540" w:rsidRDefault="00952B88" w:rsidP="009D705C">
            <w:pPr>
              <w:spacing w:after="0" w:line="240" w:lineRule="auto"/>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(-1.2, 6.9)</w:t>
            </w:r>
          </w:p>
        </w:tc>
        <w:tc>
          <w:tcPr>
            <w:tcW w:w="939" w:type="dxa"/>
            <w:tcBorders>
              <w:top w:val="nil"/>
              <w:left w:val="nil"/>
              <w:bottom w:val="single" w:sz="4" w:space="0" w:color="auto"/>
              <w:right w:val="single" w:sz="4" w:space="0" w:color="auto"/>
            </w:tcBorders>
            <w:shd w:val="clear" w:color="auto" w:fill="auto"/>
            <w:noWrap/>
            <w:vAlign w:val="center"/>
            <w:hideMark/>
          </w:tcPr>
          <w:p w:rsidR="00952B88" w:rsidRPr="00034540" w:rsidRDefault="00952B88" w:rsidP="009D705C">
            <w:pPr>
              <w:spacing w:after="0" w:line="240" w:lineRule="auto"/>
              <w:jc w:val="right"/>
              <w:rPr>
                <w:rFonts w:ascii="Calibri" w:eastAsia="Times New Roman" w:hAnsi="Calibri" w:cs="Times New Roman"/>
                <w:color w:val="000000"/>
                <w:lang w:eastAsia="en-GB"/>
              </w:rPr>
            </w:pPr>
            <w:r w:rsidRPr="00034540">
              <w:rPr>
                <w:rFonts w:ascii="Calibri" w:eastAsia="Times New Roman" w:hAnsi="Calibri" w:cs="Times New Roman"/>
                <w:color w:val="000000"/>
                <w:lang w:eastAsia="en-GB"/>
              </w:rPr>
              <w:t>0.17</w:t>
            </w:r>
          </w:p>
        </w:tc>
      </w:tr>
    </w:tbl>
    <w:p w:rsidR="00952B88" w:rsidRPr="00EF61DC" w:rsidRDefault="00952B88" w:rsidP="00952B88">
      <w:pPr>
        <w:spacing w:after="0" w:line="240" w:lineRule="auto"/>
        <w:rPr>
          <w:rFonts w:asciiTheme="minorHAnsi" w:hAnsiTheme="minorHAnsi"/>
          <w:sz w:val="18"/>
          <w:szCs w:val="18"/>
        </w:rPr>
      </w:pPr>
      <w:r w:rsidRPr="00EF61DC">
        <w:rPr>
          <w:rFonts w:asciiTheme="minorHAnsi" w:hAnsiTheme="minorHAnsi"/>
          <w:sz w:val="18"/>
          <w:szCs w:val="18"/>
        </w:rPr>
        <w:t>Means and differences (95% confidence intervals) are adjusted for sex, age group, ethnic group, limiting longstanding illness, month of recording, day of the week, housing sector, an interaction between housing sector and day of week, and random effects to allow for multiple days of measurement and clustering of participants within household.</w:t>
      </w:r>
    </w:p>
    <w:p w:rsidR="00952B88" w:rsidRPr="00EF61DC" w:rsidRDefault="00952B88" w:rsidP="00952B88">
      <w:pPr>
        <w:spacing w:line="240" w:lineRule="auto"/>
        <w:rPr>
          <w:rFonts w:asciiTheme="minorHAnsi" w:hAnsiTheme="minorHAnsi"/>
          <w:sz w:val="18"/>
          <w:szCs w:val="18"/>
        </w:rPr>
      </w:pPr>
      <w:r w:rsidRPr="00EF61DC">
        <w:rPr>
          <w:rFonts w:asciiTheme="minorHAnsi" w:hAnsiTheme="minorHAnsi"/>
          <w:sz w:val="18"/>
          <w:szCs w:val="18"/>
        </w:rPr>
        <w:t>MVPA and MVPA in ≥10 minute bouts are an average daily estimate, obtained from averaging a participant’s weekly total.</w:t>
      </w:r>
    </w:p>
    <w:p w:rsidR="0074303A" w:rsidRDefault="0074303A">
      <w:bookmarkStart w:id="1" w:name="_GoBack"/>
      <w:bookmarkEnd w:id="1"/>
    </w:p>
    <w:sectPr w:rsidR="0074303A" w:rsidSect="00952B8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88"/>
    <w:rsid w:val="000C5582"/>
    <w:rsid w:val="001E11CA"/>
    <w:rsid w:val="005A7A07"/>
    <w:rsid w:val="005C70EA"/>
    <w:rsid w:val="0074303A"/>
    <w:rsid w:val="00952B88"/>
    <w:rsid w:val="00A06DA8"/>
    <w:rsid w:val="00AC7937"/>
    <w:rsid w:val="00AD3135"/>
    <w:rsid w:val="00B5216B"/>
    <w:rsid w:val="00FE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E1D528-94B7-3C40-B8E5-D36428DA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88"/>
    <w:pPr>
      <w:spacing w:after="160" w:line="360"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952B88"/>
    <w:pPr>
      <w:spacing w:after="200" w:line="240" w:lineRule="auto"/>
    </w:pPr>
    <w:rPr>
      <w:b/>
      <w:iCs/>
      <w:szCs w:val="18"/>
    </w:rPr>
  </w:style>
  <w:style w:type="character" w:customStyle="1" w:styleId="CaptionChar">
    <w:name w:val="Caption Char"/>
    <w:basedOn w:val="DefaultParagraphFont"/>
    <w:link w:val="Caption"/>
    <w:uiPriority w:val="35"/>
    <w:rsid w:val="00952B88"/>
    <w:rPr>
      <w:rFonts w:ascii="Arial" w:hAnsi="Arial"/>
      <w:b/>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Company>Prepress Projects Ltd</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Furey</dc:creator>
  <cp:keywords/>
  <dc:description/>
  <cp:lastModifiedBy>Claire Furey</cp:lastModifiedBy>
  <cp:revision>1</cp:revision>
  <dcterms:created xsi:type="dcterms:W3CDTF">2020-02-12T10:01:00Z</dcterms:created>
  <dcterms:modified xsi:type="dcterms:W3CDTF">2020-02-12T10:01:00Z</dcterms:modified>
</cp:coreProperties>
</file>