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B30F" w14:textId="0FB8A35C" w:rsidR="001B2DF3" w:rsidRPr="00663EC2" w:rsidRDefault="000572FA" w:rsidP="00663EC2">
      <w:pPr>
        <w:pStyle w:val="Heading2"/>
        <w:jc w:val="center"/>
        <w:rPr>
          <w:sz w:val="28"/>
        </w:rPr>
      </w:pPr>
      <w:r>
        <w:rPr>
          <w:sz w:val="28"/>
        </w:rPr>
        <w:t xml:space="preserve">  </w:t>
      </w:r>
      <w:r w:rsidR="00FE3A5F" w:rsidRPr="00663EC2">
        <w:rPr>
          <w:sz w:val="28"/>
        </w:rPr>
        <w:t>Procedures for r</w:t>
      </w:r>
      <w:r w:rsidR="00851DFB" w:rsidRPr="00663EC2">
        <w:rPr>
          <w:sz w:val="28"/>
        </w:rPr>
        <w:t>eporting</w:t>
      </w:r>
      <w:r w:rsidR="00FE3A5F" w:rsidRPr="00663EC2">
        <w:rPr>
          <w:sz w:val="28"/>
        </w:rPr>
        <w:t xml:space="preserve"> harm</w:t>
      </w:r>
      <w:r w:rsidR="00B22190">
        <w:rPr>
          <w:sz w:val="28"/>
        </w:rPr>
        <w:t xml:space="preserve">s associated with </w:t>
      </w:r>
      <w:r w:rsidR="005D5AAD" w:rsidRPr="00663EC2">
        <w:rPr>
          <w:sz w:val="28"/>
        </w:rPr>
        <w:t>STASH</w:t>
      </w:r>
      <w:r w:rsidR="00EC5408">
        <w:rPr>
          <w:sz w:val="28"/>
        </w:rPr>
        <w:t xml:space="preserve"> (</w:t>
      </w:r>
      <w:r w:rsidR="00EC5408" w:rsidRPr="00EC5408">
        <w:rPr>
          <w:sz w:val="28"/>
          <w:u w:val="single"/>
        </w:rPr>
        <w:t>S</w:t>
      </w:r>
      <w:r w:rsidR="00EC5408">
        <w:rPr>
          <w:sz w:val="28"/>
        </w:rPr>
        <w:t xml:space="preserve">exually </w:t>
      </w:r>
      <w:r w:rsidR="00EC5408" w:rsidRPr="00EC5408">
        <w:rPr>
          <w:sz w:val="28"/>
          <w:u w:val="single"/>
        </w:rPr>
        <w:t>T</w:t>
      </w:r>
      <w:r w:rsidR="00EC5408">
        <w:rPr>
          <w:sz w:val="28"/>
        </w:rPr>
        <w:t xml:space="preserve">ransmitted infections </w:t>
      </w:r>
      <w:r w:rsidR="00EC5408" w:rsidRPr="00EC5408">
        <w:rPr>
          <w:sz w:val="28"/>
          <w:u w:val="single"/>
        </w:rPr>
        <w:t>A</w:t>
      </w:r>
      <w:r w:rsidR="00EC5408">
        <w:rPr>
          <w:sz w:val="28"/>
        </w:rPr>
        <w:t xml:space="preserve">nd </w:t>
      </w:r>
      <w:r w:rsidR="00EC5408" w:rsidRPr="00EC5408">
        <w:rPr>
          <w:sz w:val="28"/>
          <w:u w:val="single"/>
        </w:rPr>
        <w:t>S</w:t>
      </w:r>
      <w:r w:rsidR="00EC5408">
        <w:rPr>
          <w:sz w:val="28"/>
        </w:rPr>
        <w:t xml:space="preserve">exual </w:t>
      </w:r>
      <w:r w:rsidR="00EC5408" w:rsidRPr="00EC5408">
        <w:rPr>
          <w:sz w:val="28"/>
          <w:u w:val="single"/>
        </w:rPr>
        <w:t>H</w:t>
      </w:r>
      <w:r w:rsidR="00EC5408">
        <w:rPr>
          <w:sz w:val="28"/>
        </w:rPr>
        <w:t>ealth)</w:t>
      </w:r>
      <w:r w:rsidR="00E61E0B">
        <w:rPr>
          <w:sz w:val="28"/>
        </w:rPr>
        <w:t>:</w:t>
      </w:r>
      <w:r w:rsidR="00B22190">
        <w:rPr>
          <w:sz w:val="28"/>
        </w:rPr>
        <w:t xml:space="preserve"> an NIHR-funded</w:t>
      </w:r>
      <w:r w:rsidR="00E61E0B">
        <w:rPr>
          <w:sz w:val="28"/>
        </w:rPr>
        <w:t xml:space="preserve"> </w:t>
      </w:r>
      <w:r w:rsidR="00D23443">
        <w:rPr>
          <w:sz w:val="28"/>
        </w:rPr>
        <w:t xml:space="preserve">trial of </w:t>
      </w:r>
      <w:r w:rsidR="00E61E0B">
        <w:rPr>
          <w:sz w:val="28"/>
        </w:rPr>
        <w:t>a schools-based peer supporter inte</w:t>
      </w:r>
      <w:r w:rsidR="00D23443">
        <w:rPr>
          <w:sz w:val="28"/>
        </w:rPr>
        <w:t>rvention</w:t>
      </w:r>
    </w:p>
    <w:p w14:paraId="0CFD2B98" w14:textId="77777777" w:rsidR="00FE3A5F" w:rsidRDefault="00FE3A5F" w:rsidP="009F1CAC">
      <w:pPr>
        <w:jc w:val="both"/>
      </w:pPr>
    </w:p>
    <w:p w14:paraId="5AED2D16" w14:textId="34535FD1" w:rsidR="00B9449E" w:rsidRDefault="00EF4CDC" w:rsidP="00EB5180">
      <w:pPr>
        <w:jc w:val="both"/>
      </w:pPr>
      <w:r>
        <w:t xml:space="preserve">The following document outlines the procedures for reporting </w:t>
      </w:r>
      <w:r w:rsidR="00274127">
        <w:t xml:space="preserve">to the Trial Steering Committee any </w:t>
      </w:r>
      <w:r>
        <w:t>occurrences of harm to participants in the c</w:t>
      </w:r>
      <w:r w:rsidR="00EB5180">
        <w:t xml:space="preserve">ourse of the STASH </w:t>
      </w:r>
      <w:r w:rsidR="00274127">
        <w:t>trial</w:t>
      </w:r>
      <w:r>
        <w:t>. It defines the terms used, outlines</w:t>
      </w:r>
      <w:r w:rsidR="00157CE8">
        <w:t xml:space="preserve"> the extent to which </w:t>
      </w:r>
      <w:r w:rsidR="00274127">
        <w:t>such</w:t>
      </w:r>
      <w:r w:rsidR="00157CE8">
        <w:t xml:space="preserve"> occurrences are expected</w:t>
      </w:r>
      <w:r>
        <w:t xml:space="preserve"> within the </w:t>
      </w:r>
      <w:r w:rsidR="00274127">
        <w:t>trial</w:t>
      </w:r>
      <w:r>
        <w:t xml:space="preserve"> period, and details procedures for documenting and reporting these</w:t>
      </w:r>
      <w:r w:rsidR="00157CE8">
        <w:t>.</w:t>
      </w:r>
      <w:r>
        <w:t xml:space="preserve"> </w:t>
      </w:r>
      <w:r w:rsidR="00E61E0B">
        <w:t>The document has been developed in line with West Lothian Schoo</w:t>
      </w:r>
      <w:r w:rsidR="00EB5180">
        <w:t xml:space="preserve">ls Child Protection Procedures – </w:t>
      </w:r>
      <w:r w:rsidR="00E61E0B">
        <w:t>in collaboration with West L</w:t>
      </w:r>
      <w:r w:rsidR="00EB5180">
        <w:t>othian Council Child Protection –</w:t>
      </w:r>
      <w:r w:rsidR="00E61E0B">
        <w:t xml:space="preserve"> and in line with National Institute for Health Research (NIHR) reporting procedures. </w:t>
      </w:r>
      <w:r w:rsidR="00EB5180">
        <w:t>Th</w:t>
      </w:r>
      <w:r w:rsidR="00AA353B">
        <w:t>is</w:t>
      </w:r>
      <w:r w:rsidR="000653DB">
        <w:t xml:space="preserve"> </w:t>
      </w:r>
      <w:r w:rsidR="00EB5180">
        <w:t>document should be read alongside ‘</w:t>
      </w:r>
      <w:r w:rsidR="00EB5180" w:rsidRPr="00EB5180">
        <w:t>STASH Procedures: Reporting of child protection c</w:t>
      </w:r>
      <w:r w:rsidR="00EB5180">
        <w:t>oncerns in SCHOOLS</w:t>
      </w:r>
      <w:r w:rsidR="00274127">
        <w:t>’</w:t>
      </w:r>
      <w:r w:rsidR="00EB5180">
        <w:t xml:space="preserve">, which details procedures for reporting </w:t>
      </w:r>
      <w:r w:rsidR="00274127">
        <w:t>and recording s</w:t>
      </w:r>
      <w:r w:rsidR="00EB5180">
        <w:t xml:space="preserve">ensitive disclosures and potential child protection issues which occur in participating schools in the course of the </w:t>
      </w:r>
      <w:r w:rsidR="00274127">
        <w:t>trial</w:t>
      </w:r>
      <w:r w:rsidR="00EB5180">
        <w:t xml:space="preserve">. </w:t>
      </w:r>
    </w:p>
    <w:p w14:paraId="02D891C2" w14:textId="77777777" w:rsidR="00EB5180" w:rsidRDefault="00EB5180" w:rsidP="00EB5180">
      <w:pPr>
        <w:jc w:val="both"/>
        <w:rPr>
          <w:b/>
        </w:rPr>
      </w:pPr>
    </w:p>
    <w:p w14:paraId="0D172CF6" w14:textId="4BE9B02C" w:rsidR="00EF4CDC" w:rsidRDefault="006C0CD8" w:rsidP="009F1CAC">
      <w:pPr>
        <w:ind w:right="95"/>
        <w:jc w:val="both"/>
        <w:rPr>
          <w:b/>
        </w:rPr>
      </w:pPr>
      <w:r>
        <w:rPr>
          <w:b/>
        </w:rPr>
        <w:t>Acronyms and terminology</w:t>
      </w:r>
    </w:p>
    <w:p w14:paraId="0C62C3C7" w14:textId="3130434B" w:rsidR="00E61E0B" w:rsidRDefault="00EC5408" w:rsidP="009F1CAC">
      <w:pPr>
        <w:ind w:right="95"/>
        <w:jc w:val="both"/>
      </w:pPr>
      <w:r w:rsidRPr="00EC5408">
        <w:t xml:space="preserve">‘Designated </w:t>
      </w:r>
      <w:r w:rsidR="00E61E0B">
        <w:t>member of staff for Child Protection (DMS)</w:t>
      </w:r>
      <w:r w:rsidRPr="00EC5408">
        <w:t xml:space="preserve">’: </w:t>
      </w:r>
      <w:r w:rsidR="00E61E0B">
        <w:t xml:space="preserve">Member(s) of </w:t>
      </w:r>
      <w:r w:rsidR="0080516A">
        <w:t xml:space="preserve">school </w:t>
      </w:r>
      <w:r w:rsidR="00E61E0B">
        <w:t>staff with specific responsibility for Child Protection</w:t>
      </w:r>
    </w:p>
    <w:p w14:paraId="3FFECEC4" w14:textId="517FCDC8" w:rsidR="00EB5180" w:rsidRDefault="00EB5180" w:rsidP="009F1CAC">
      <w:pPr>
        <w:ind w:right="95"/>
        <w:jc w:val="both"/>
      </w:pPr>
      <w:r w:rsidRPr="00EC5408">
        <w:t>‘ICT’: information and communication</w:t>
      </w:r>
      <w:r>
        <w:t>s technology</w:t>
      </w:r>
    </w:p>
    <w:p w14:paraId="06AC6359" w14:textId="2F970002" w:rsidR="00EB5180" w:rsidRDefault="00EB5180" w:rsidP="009F1CAC">
      <w:pPr>
        <w:ind w:right="95"/>
        <w:jc w:val="both"/>
      </w:pPr>
      <w:r w:rsidRPr="00EB5180">
        <w:t>‘NIHR’: National Institute for Health Research (study funder)</w:t>
      </w:r>
    </w:p>
    <w:p w14:paraId="2550E940" w14:textId="05E51A78" w:rsidR="00133BCF" w:rsidRDefault="00133BCF" w:rsidP="009F1CAC">
      <w:pPr>
        <w:ind w:right="95"/>
        <w:jc w:val="both"/>
      </w:pPr>
      <w:r w:rsidRPr="00133BCF">
        <w:t>‘Peer Supporters’: S4 students who have completed two-day training in STASH and have agreed to take on a role of passing on positive sexual health messages to S4 peers (see STASH Protocol)</w:t>
      </w:r>
    </w:p>
    <w:p w14:paraId="524BE60A" w14:textId="15960C3A" w:rsidR="00EC5408" w:rsidRDefault="00E61E0B" w:rsidP="009F1CAC">
      <w:pPr>
        <w:ind w:right="95"/>
        <w:jc w:val="both"/>
      </w:pPr>
      <w:r>
        <w:t xml:space="preserve">‘STASH contact teacher’: </w:t>
      </w:r>
      <w:r w:rsidR="00EC5408" w:rsidRPr="00EC5408">
        <w:t xml:space="preserve">teacher agreed as contact </w:t>
      </w:r>
      <w:r w:rsidR="0080516A">
        <w:t>point between school and STASH Research T</w:t>
      </w:r>
      <w:r w:rsidR="00EC5408" w:rsidRPr="00EC5408">
        <w:t>eam, and as contact for Peer Supporters</w:t>
      </w:r>
      <w:r>
        <w:t xml:space="preserve"> for the duration of STASH</w:t>
      </w:r>
      <w:r w:rsidR="0080516A">
        <w:t xml:space="preserve"> trial</w:t>
      </w:r>
    </w:p>
    <w:p w14:paraId="0D06C388" w14:textId="0A927980" w:rsidR="00EC5408" w:rsidRDefault="0080516A" w:rsidP="009F1CAC">
      <w:pPr>
        <w:ind w:right="95"/>
        <w:jc w:val="both"/>
      </w:pPr>
      <w:r>
        <w:t>‘STASH Research T</w:t>
      </w:r>
      <w:r w:rsidR="00EC5408" w:rsidRPr="00EC5408">
        <w:t xml:space="preserve">eam’: </w:t>
      </w:r>
      <w:r w:rsidR="00AA353B">
        <w:t xml:space="preserve">Prof Laurence Moore (Principal Investigator), </w:t>
      </w:r>
      <w:r>
        <w:t xml:space="preserve">Dr </w:t>
      </w:r>
      <w:r w:rsidR="00EC5408" w:rsidRPr="00EC5408">
        <w:t>Kirstin Mitchell (</w:t>
      </w:r>
      <w:r w:rsidR="00AA353B">
        <w:t>Co-</w:t>
      </w:r>
      <w:r w:rsidR="00EC5408" w:rsidRPr="00EC5408">
        <w:t xml:space="preserve">Principal Investigator), </w:t>
      </w:r>
      <w:r>
        <w:t xml:space="preserve">Dr </w:t>
      </w:r>
      <w:r w:rsidR="00EC5408" w:rsidRPr="00EC5408">
        <w:t xml:space="preserve">Carrie Purcell (Researcher), </w:t>
      </w:r>
      <w:r>
        <w:t xml:space="preserve">Mr </w:t>
      </w:r>
      <w:r w:rsidR="00EC5408" w:rsidRPr="00EC5408">
        <w:t>Ross Forsyth (Project Manager)</w:t>
      </w:r>
    </w:p>
    <w:p w14:paraId="7E061C6F" w14:textId="38D002D8" w:rsidR="00EB5180" w:rsidRDefault="00EB5180" w:rsidP="009F1CAC">
      <w:pPr>
        <w:ind w:right="95"/>
        <w:jc w:val="both"/>
      </w:pPr>
      <w:r>
        <w:t>‘Trial participants’: Any members of S4 in the trial school</w:t>
      </w:r>
    </w:p>
    <w:p w14:paraId="05588BBA" w14:textId="5467B2B3" w:rsidR="00133BCF" w:rsidRDefault="00133BCF" w:rsidP="009F1CAC">
      <w:pPr>
        <w:ind w:right="95"/>
        <w:jc w:val="both"/>
      </w:pPr>
      <w:r>
        <w:t>‘TSC’: STASH Trial Steering Committee</w:t>
      </w:r>
    </w:p>
    <w:p w14:paraId="427802A6" w14:textId="77777777" w:rsidR="00EC5408" w:rsidRPr="00EC5408" w:rsidRDefault="00EC5408" w:rsidP="009F1CAC">
      <w:pPr>
        <w:ind w:right="95"/>
        <w:jc w:val="both"/>
      </w:pPr>
    </w:p>
    <w:p w14:paraId="224BD48C" w14:textId="463D1F2A" w:rsidR="001B2DF3" w:rsidRPr="00663EC2" w:rsidRDefault="001B2DF3" w:rsidP="009F1CAC">
      <w:pPr>
        <w:ind w:right="95"/>
        <w:jc w:val="both"/>
        <w:rPr>
          <w:b/>
          <w:bCs/>
          <w:sz w:val="24"/>
          <w:u w:val="single"/>
          <w:lang w:val="en-US"/>
        </w:rPr>
      </w:pPr>
      <w:r w:rsidRPr="00663EC2">
        <w:rPr>
          <w:b/>
          <w:sz w:val="24"/>
          <w:u w:val="single"/>
        </w:rPr>
        <w:t xml:space="preserve">1. </w:t>
      </w:r>
      <w:r w:rsidRPr="00663EC2">
        <w:rPr>
          <w:b/>
          <w:iCs/>
          <w:sz w:val="24"/>
          <w:u w:val="single"/>
        </w:rPr>
        <w:t>Safety reporting definitions</w:t>
      </w:r>
    </w:p>
    <w:p w14:paraId="5225B33C" w14:textId="1B1B46BD" w:rsidR="001B2DF3" w:rsidRPr="00851DFB" w:rsidRDefault="00456610" w:rsidP="009F1CAC">
      <w:pPr>
        <w:ind w:right="95"/>
        <w:jc w:val="both"/>
      </w:pPr>
      <w:r>
        <w:rPr>
          <w:i/>
          <w:iCs/>
        </w:rPr>
        <w:t xml:space="preserve">1.1 </w:t>
      </w:r>
      <w:r w:rsidR="00391AAC">
        <w:rPr>
          <w:i/>
          <w:iCs/>
        </w:rPr>
        <w:t>Untoward incidents and Harms</w:t>
      </w:r>
      <w:r w:rsidR="00157CE8">
        <w:rPr>
          <w:i/>
          <w:iCs/>
        </w:rPr>
        <w:t xml:space="preserve"> </w:t>
      </w:r>
      <w:r>
        <w:rPr>
          <w:i/>
          <w:iCs/>
        </w:rPr>
        <w:t>in STASH</w:t>
      </w:r>
    </w:p>
    <w:p w14:paraId="5A23E494" w14:textId="7549C902" w:rsidR="00391AAC" w:rsidRDefault="00391AAC" w:rsidP="009F1CAC">
      <w:pPr>
        <w:ind w:right="95"/>
        <w:jc w:val="both"/>
        <w:rPr>
          <w:rFonts w:cs="Arial"/>
          <w:bCs/>
        </w:rPr>
      </w:pPr>
      <w:r w:rsidRPr="006836B0">
        <w:t xml:space="preserve">An ‘untoward incident’ is </w:t>
      </w:r>
      <w:r>
        <w:t>a negative</w:t>
      </w:r>
      <w:r w:rsidRPr="006836B0">
        <w:t xml:space="preserve"> event which is </w:t>
      </w:r>
      <w:r>
        <w:t xml:space="preserve">unintended or unplanned and may occur as a direct result of, or unrelated to, the STASH </w:t>
      </w:r>
      <w:r w:rsidR="00D23443">
        <w:t>trial</w:t>
      </w:r>
      <w:r w:rsidRPr="006836B0">
        <w:t xml:space="preserve">. </w:t>
      </w:r>
      <w:r>
        <w:t xml:space="preserve">Such events </w:t>
      </w:r>
      <w:r w:rsidRPr="006836B0">
        <w:rPr>
          <w:rFonts w:cs="Arial"/>
          <w:bCs/>
        </w:rPr>
        <w:t xml:space="preserve">may include: social exclusion/isolation </w:t>
      </w:r>
      <w:r w:rsidR="00BE6E9A">
        <w:rPr>
          <w:rFonts w:cs="Arial"/>
          <w:bCs/>
        </w:rPr>
        <w:t xml:space="preserve">of participants </w:t>
      </w:r>
      <w:r w:rsidRPr="006836B0">
        <w:rPr>
          <w:rFonts w:cs="Arial"/>
          <w:bCs/>
        </w:rPr>
        <w:t xml:space="preserve">by peers; inappropriate/inaccurate </w:t>
      </w:r>
      <w:r>
        <w:rPr>
          <w:rFonts w:cs="Arial"/>
          <w:bCs/>
        </w:rPr>
        <w:t xml:space="preserve">online </w:t>
      </w:r>
      <w:r w:rsidRPr="006836B0">
        <w:rPr>
          <w:rFonts w:cs="Arial"/>
          <w:bCs/>
        </w:rPr>
        <w:t xml:space="preserve">posts by </w:t>
      </w:r>
      <w:r>
        <w:rPr>
          <w:rFonts w:cs="Arial"/>
          <w:bCs/>
        </w:rPr>
        <w:t>Peer Supporter</w:t>
      </w:r>
      <w:r w:rsidRPr="006836B0">
        <w:rPr>
          <w:rFonts w:cs="Arial"/>
          <w:bCs/>
        </w:rPr>
        <w:t>s;</w:t>
      </w:r>
      <w:r>
        <w:rPr>
          <w:rFonts w:cs="Arial"/>
          <w:bCs/>
        </w:rPr>
        <w:t xml:space="preserve"> </w:t>
      </w:r>
      <w:r w:rsidRPr="006836B0">
        <w:rPr>
          <w:rFonts w:cs="Arial"/>
          <w:bCs/>
        </w:rPr>
        <w:t>disrespectful</w:t>
      </w:r>
      <w:r>
        <w:rPr>
          <w:rFonts w:cs="Arial"/>
          <w:bCs/>
        </w:rPr>
        <w:t xml:space="preserve"> behaviour towards others</w:t>
      </w:r>
      <w:r w:rsidRPr="006836B0">
        <w:rPr>
          <w:rFonts w:cs="Arial"/>
          <w:bCs/>
        </w:rPr>
        <w:t>; breaches of</w:t>
      </w:r>
      <w:r>
        <w:rPr>
          <w:rFonts w:cs="Arial"/>
          <w:bCs/>
        </w:rPr>
        <w:t xml:space="preserve"> private/personal information by peers</w:t>
      </w:r>
      <w:r w:rsidR="00AA353B">
        <w:rPr>
          <w:rFonts w:cs="Arial"/>
          <w:bCs/>
        </w:rPr>
        <w:t>; online bulling or sending of sexual/compromising images without consent or for the purposes of humiliation</w:t>
      </w:r>
      <w:r>
        <w:rPr>
          <w:rFonts w:cs="Arial"/>
          <w:bCs/>
        </w:rPr>
        <w:t>. An untoward incident may or may not cause harm.</w:t>
      </w:r>
    </w:p>
    <w:p w14:paraId="2905B48E" w14:textId="29AEEDAF" w:rsidR="00B65025" w:rsidRPr="006836B0" w:rsidRDefault="001257F8" w:rsidP="009F1CAC">
      <w:pPr>
        <w:ind w:right="95"/>
        <w:jc w:val="both"/>
        <w:rPr>
          <w:rFonts w:cs="Arial"/>
          <w:bCs/>
        </w:rPr>
      </w:pPr>
      <w:r>
        <w:rPr>
          <w:rFonts w:cs="Arial"/>
          <w:bCs/>
        </w:rPr>
        <w:t>‘H</w:t>
      </w:r>
      <w:r w:rsidR="00B65025">
        <w:rPr>
          <w:rFonts w:cs="Arial"/>
          <w:bCs/>
        </w:rPr>
        <w:t>arm</w:t>
      </w:r>
      <w:r w:rsidR="00B65025" w:rsidRPr="006836B0">
        <w:rPr>
          <w:rFonts w:cs="Arial"/>
          <w:bCs/>
        </w:rPr>
        <w:t>’</w:t>
      </w:r>
      <w:r w:rsidR="00391AAC">
        <w:rPr>
          <w:rFonts w:cs="Arial"/>
          <w:bCs/>
        </w:rPr>
        <w:t xml:space="preserve"> relates to</w:t>
      </w:r>
      <w:r w:rsidR="00B65025" w:rsidRPr="006836B0">
        <w:rPr>
          <w:rFonts w:cs="Arial"/>
          <w:bCs/>
        </w:rPr>
        <w:t xml:space="preserve"> </w:t>
      </w:r>
      <w:r w:rsidR="00AA353B">
        <w:rPr>
          <w:rFonts w:cs="Arial"/>
          <w:bCs/>
        </w:rPr>
        <w:t xml:space="preserve">emotional, physical and </w:t>
      </w:r>
      <w:r w:rsidR="00494E3F">
        <w:rPr>
          <w:rFonts w:cs="Arial"/>
          <w:bCs/>
        </w:rPr>
        <w:t>psychological harm including sexual assault</w:t>
      </w:r>
    </w:p>
    <w:p w14:paraId="481DA7DE" w14:textId="5AF989F0" w:rsidR="009526A4" w:rsidRPr="00417446" w:rsidRDefault="00456610" w:rsidP="009F1CAC">
      <w:pPr>
        <w:ind w:right="95"/>
        <w:jc w:val="both"/>
        <w:rPr>
          <w:i/>
        </w:rPr>
      </w:pPr>
      <w:r>
        <w:rPr>
          <w:i/>
        </w:rPr>
        <w:lastRenderedPageBreak/>
        <w:t xml:space="preserve">1.2 </w:t>
      </w:r>
      <w:r w:rsidR="0046138B">
        <w:rPr>
          <w:i/>
        </w:rPr>
        <w:t>Sensitive d</w:t>
      </w:r>
      <w:r w:rsidR="00E61E0B">
        <w:rPr>
          <w:i/>
        </w:rPr>
        <w:t>isclosure</w:t>
      </w:r>
      <w:r w:rsidR="0046138B">
        <w:rPr>
          <w:i/>
        </w:rPr>
        <w:t>s and potential child p</w:t>
      </w:r>
      <w:r w:rsidR="005D5AAD" w:rsidRPr="00417446">
        <w:rPr>
          <w:i/>
        </w:rPr>
        <w:t>rotection</w:t>
      </w:r>
      <w:r w:rsidR="003B47C7">
        <w:rPr>
          <w:i/>
        </w:rPr>
        <w:t xml:space="preserve"> </w:t>
      </w:r>
      <w:r w:rsidR="005D5AAD" w:rsidRPr="00417446">
        <w:rPr>
          <w:i/>
        </w:rPr>
        <w:t>issues</w:t>
      </w:r>
    </w:p>
    <w:p w14:paraId="439E21F1" w14:textId="2AB14318" w:rsidR="005202F6" w:rsidRPr="00391AAC" w:rsidRDefault="006836B0" w:rsidP="009F1CAC">
      <w:pPr>
        <w:ind w:right="95"/>
        <w:jc w:val="both"/>
      </w:pPr>
      <w:r>
        <w:t xml:space="preserve">Relevant child protection issues which may be disclosed in the course of the STASH </w:t>
      </w:r>
      <w:r w:rsidR="00D23443">
        <w:t>trial</w:t>
      </w:r>
      <w:r>
        <w:t xml:space="preserve"> </w:t>
      </w:r>
      <w:r w:rsidR="00A25253" w:rsidRPr="006836B0">
        <w:t>include</w:t>
      </w:r>
      <w:r>
        <w:t>:</w:t>
      </w:r>
      <w:r w:rsidR="00A25253" w:rsidRPr="006836B0">
        <w:t xml:space="preserve"> non-consensual sexual activity; </w:t>
      </w:r>
      <w:r w:rsidR="009F1CAC" w:rsidRPr="009F1CAC">
        <w:t>child sexual exploitation</w:t>
      </w:r>
      <w:r w:rsidR="00A25253" w:rsidRPr="006836B0">
        <w:t xml:space="preserve">; suicidal </w:t>
      </w:r>
      <w:r>
        <w:t>ideation; self-harm</w:t>
      </w:r>
      <w:r w:rsidR="009F1CAC">
        <w:t>/injury; neglect or</w:t>
      </w:r>
      <w:r>
        <w:t xml:space="preserve"> </w:t>
      </w:r>
      <w:r w:rsidR="00A25253" w:rsidRPr="006836B0">
        <w:t>abuse.</w:t>
      </w:r>
      <w:r w:rsidR="00BE6E9A">
        <w:t xml:space="preserve"> See </w:t>
      </w:r>
      <w:r w:rsidR="0046138B">
        <w:t>‘</w:t>
      </w:r>
      <w:r w:rsidR="00BE6E9A" w:rsidRPr="00BE6E9A">
        <w:t>STASH Procedures: Reporting of child protection concerns in SCHOOLS</w:t>
      </w:r>
      <w:r w:rsidR="0046138B">
        <w:t>’</w:t>
      </w:r>
      <w:r w:rsidR="00BE6E9A" w:rsidRPr="00BE6E9A">
        <w:t xml:space="preserve"> </w:t>
      </w:r>
      <w:r w:rsidR="00BE6E9A">
        <w:t>for</w:t>
      </w:r>
      <w:r w:rsidR="00274127">
        <w:t xml:space="preserve"> full</w:t>
      </w:r>
      <w:r w:rsidR="00BE6E9A">
        <w:t xml:space="preserve"> details</w:t>
      </w:r>
      <w:r w:rsidR="0046138B">
        <w:t xml:space="preserve"> of relevant procedures</w:t>
      </w:r>
      <w:r w:rsidR="00AA353B">
        <w:t xml:space="preserve"> relating to disclosure of sensitive information to a peer supporter or member of the STASH team</w:t>
      </w:r>
      <w:r w:rsidR="00BE6E9A">
        <w:t xml:space="preserve">. </w:t>
      </w:r>
    </w:p>
    <w:p w14:paraId="37FBE57A" w14:textId="77777777" w:rsidR="00B9449E" w:rsidRDefault="00B9449E" w:rsidP="009F1CAC">
      <w:pPr>
        <w:ind w:right="95"/>
        <w:jc w:val="both"/>
        <w:rPr>
          <w:b/>
          <w:bCs/>
          <w:sz w:val="24"/>
          <w:u w:val="single"/>
          <w:lang w:val="en-US"/>
        </w:rPr>
      </w:pPr>
    </w:p>
    <w:p w14:paraId="4878BD86" w14:textId="7910BC46" w:rsidR="00363A21" w:rsidRPr="00663EC2" w:rsidRDefault="006836B0" w:rsidP="009F1CAC">
      <w:pPr>
        <w:ind w:right="95"/>
        <w:jc w:val="both"/>
        <w:rPr>
          <w:b/>
          <w:bCs/>
          <w:sz w:val="24"/>
          <w:u w:val="single"/>
          <w:lang w:val="en-US"/>
        </w:rPr>
      </w:pPr>
      <w:r w:rsidRPr="00663EC2">
        <w:rPr>
          <w:b/>
          <w:bCs/>
          <w:sz w:val="24"/>
          <w:u w:val="single"/>
          <w:lang w:val="en-US"/>
        </w:rPr>
        <w:t xml:space="preserve">2. </w:t>
      </w:r>
      <w:r w:rsidR="00363A21" w:rsidRPr="00663EC2">
        <w:rPr>
          <w:b/>
          <w:bCs/>
          <w:sz w:val="24"/>
          <w:u w:val="single"/>
          <w:lang w:val="en-US"/>
        </w:rPr>
        <w:t>Expectations within</w:t>
      </w:r>
      <w:r w:rsidR="00FE3A5F" w:rsidRPr="00663EC2">
        <w:rPr>
          <w:b/>
          <w:bCs/>
          <w:sz w:val="24"/>
          <w:u w:val="single"/>
          <w:lang w:val="en-US"/>
        </w:rPr>
        <w:t xml:space="preserve"> the</w:t>
      </w:r>
      <w:r w:rsidR="00363A21" w:rsidRPr="00663EC2">
        <w:rPr>
          <w:b/>
          <w:bCs/>
          <w:sz w:val="24"/>
          <w:u w:val="single"/>
          <w:lang w:val="en-US"/>
        </w:rPr>
        <w:t xml:space="preserve"> STASH</w:t>
      </w:r>
      <w:r w:rsidR="00D23443">
        <w:rPr>
          <w:b/>
          <w:bCs/>
          <w:sz w:val="24"/>
          <w:u w:val="single"/>
          <w:lang w:val="en-US"/>
        </w:rPr>
        <w:t xml:space="preserve"> trial</w:t>
      </w:r>
    </w:p>
    <w:p w14:paraId="7DA154FF" w14:textId="24CCB420" w:rsidR="000653DB" w:rsidRDefault="00AB707D" w:rsidP="005202F6">
      <w:pPr>
        <w:spacing w:line="276" w:lineRule="auto"/>
        <w:ind w:right="95"/>
        <w:jc w:val="both"/>
        <w:rPr>
          <w:rFonts w:cs="Arial"/>
          <w:bCs/>
        </w:rPr>
      </w:pPr>
      <w:r>
        <w:rPr>
          <w:rFonts w:cs="Arial"/>
          <w:bCs/>
        </w:rPr>
        <w:t xml:space="preserve">Untoward incidents (as defined above) occur in </w:t>
      </w:r>
      <w:r w:rsidR="00C33704">
        <w:rPr>
          <w:rFonts w:cs="Arial"/>
          <w:bCs/>
        </w:rPr>
        <w:t>day-to-day school life,</w:t>
      </w:r>
      <w:r>
        <w:rPr>
          <w:rFonts w:cs="Arial"/>
          <w:bCs/>
        </w:rPr>
        <w:t xml:space="preserve"> and </w:t>
      </w:r>
      <w:r w:rsidR="00274127">
        <w:rPr>
          <w:rFonts w:cs="Arial"/>
          <w:bCs/>
        </w:rPr>
        <w:t>may</w:t>
      </w:r>
      <w:r>
        <w:rPr>
          <w:rFonts w:cs="Arial"/>
          <w:bCs/>
        </w:rPr>
        <w:t xml:space="preserve"> occur during the </w:t>
      </w:r>
      <w:r w:rsidR="00D23443">
        <w:rPr>
          <w:rFonts w:cs="Arial"/>
          <w:bCs/>
        </w:rPr>
        <w:t>trial</w:t>
      </w:r>
      <w:r>
        <w:rPr>
          <w:rFonts w:cs="Arial"/>
          <w:bCs/>
        </w:rPr>
        <w:t xml:space="preserve"> period</w:t>
      </w:r>
      <w:r w:rsidR="00C33704">
        <w:rPr>
          <w:rFonts w:cs="Arial"/>
          <w:bCs/>
        </w:rPr>
        <w:t>,</w:t>
      </w:r>
      <w:r>
        <w:rPr>
          <w:rFonts w:cs="Arial"/>
          <w:bCs/>
        </w:rPr>
        <w:t xml:space="preserve"> irrespective of the STASH </w:t>
      </w:r>
      <w:r w:rsidR="00D23443">
        <w:rPr>
          <w:rFonts w:cs="Arial"/>
          <w:bCs/>
        </w:rPr>
        <w:t>trial</w:t>
      </w:r>
      <w:r>
        <w:rPr>
          <w:rFonts w:cs="Arial"/>
          <w:bCs/>
        </w:rPr>
        <w:t xml:space="preserve">. In </w:t>
      </w:r>
      <w:r w:rsidR="00C33704">
        <w:rPr>
          <w:rFonts w:cs="Arial"/>
          <w:bCs/>
        </w:rPr>
        <w:t xml:space="preserve">specific </w:t>
      </w:r>
      <w:r w:rsidR="00391AAC">
        <w:rPr>
          <w:rFonts w:cs="Arial"/>
          <w:bCs/>
        </w:rPr>
        <w:t>relation to STASH, it is</w:t>
      </w:r>
      <w:r w:rsidR="00C33704">
        <w:rPr>
          <w:rFonts w:cs="Arial"/>
          <w:bCs/>
        </w:rPr>
        <w:t xml:space="preserve"> </w:t>
      </w:r>
      <w:r>
        <w:rPr>
          <w:rFonts w:cs="Arial"/>
          <w:bCs/>
        </w:rPr>
        <w:t>important to note</w:t>
      </w:r>
      <w:r w:rsidRPr="006836B0">
        <w:rPr>
          <w:rFonts w:cs="Arial"/>
          <w:bCs/>
        </w:rPr>
        <w:t xml:space="preserve"> that some </w:t>
      </w:r>
      <w:r w:rsidR="00C33704">
        <w:rPr>
          <w:rFonts w:cs="Arial"/>
          <w:bCs/>
        </w:rPr>
        <w:t>flippancy</w:t>
      </w:r>
      <w:r w:rsidRPr="006836B0">
        <w:rPr>
          <w:rFonts w:cs="Arial"/>
          <w:bCs/>
        </w:rPr>
        <w:t xml:space="preserve"> is to be </w:t>
      </w:r>
      <w:r w:rsidR="00C33704">
        <w:rPr>
          <w:rFonts w:cs="Arial"/>
          <w:bCs/>
        </w:rPr>
        <w:t>expected in young people’s online interactions</w:t>
      </w:r>
      <w:r>
        <w:rPr>
          <w:rFonts w:cs="Arial"/>
          <w:bCs/>
        </w:rPr>
        <w:t xml:space="preserve">. </w:t>
      </w:r>
      <w:r w:rsidR="00C33704">
        <w:rPr>
          <w:rFonts w:cs="Arial"/>
          <w:bCs/>
        </w:rPr>
        <w:t>Untoward incidents which do not result in</w:t>
      </w:r>
      <w:r w:rsidR="00C24386">
        <w:rPr>
          <w:rFonts w:cs="Arial"/>
          <w:bCs/>
        </w:rPr>
        <w:t xml:space="preserve"> </w:t>
      </w:r>
      <w:r w:rsidR="00C33704">
        <w:rPr>
          <w:rFonts w:cs="Arial"/>
          <w:bCs/>
        </w:rPr>
        <w:t>harm will be captured in the process evaluation of STASH (see STASH Protocol).</w:t>
      </w:r>
      <w:r w:rsidR="000653DB">
        <w:rPr>
          <w:rFonts w:cs="Arial"/>
          <w:bCs/>
        </w:rPr>
        <w:t xml:space="preserve"> Procedures for reporting sensitive disclosures and potential child protection (safeguarding) issues</w:t>
      </w:r>
      <w:r w:rsidR="00C33704">
        <w:rPr>
          <w:rFonts w:cs="Arial"/>
          <w:bCs/>
        </w:rPr>
        <w:t xml:space="preserve"> </w:t>
      </w:r>
      <w:r w:rsidR="000653DB">
        <w:rPr>
          <w:rFonts w:cs="Arial"/>
          <w:bCs/>
        </w:rPr>
        <w:t xml:space="preserve">are detailed in </w:t>
      </w:r>
      <w:r w:rsidR="000653DB" w:rsidRPr="000653DB">
        <w:rPr>
          <w:rFonts w:cs="Arial"/>
          <w:bCs/>
        </w:rPr>
        <w:t>‘STASH Procedures: Reporting of child protection concerns in SCHOOLS’</w:t>
      </w:r>
      <w:r w:rsidR="000653DB">
        <w:rPr>
          <w:rFonts w:cs="Arial"/>
          <w:bCs/>
        </w:rPr>
        <w:t xml:space="preserve">. </w:t>
      </w:r>
    </w:p>
    <w:p w14:paraId="5CBAF366" w14:textId="2306ACC9" w:rsidR="009B0EEB" w:rsidRPr="000653DB" w:rsidRDefault="00AB707D" w:rsidP="000653DB">
      <w:pPr>
        <w:spacing w:line="276" w:lineRule="auto"/>
        <w:ind w:right="95"/>
        <w:jc w:val="both"/>
      </w:pPr>
      <w:r>
        <w:rPr>
          <w:rFonts w:cs="Arial"/>
          <w:bCs/>
        </w:rPr>
        <w:t>T</w:t>
      </w:r>
      <w:r w:rsidR="00C33704">
        <w:rPr>
          <w:rFonts w:cs="Arial"/>
          <w:bCs/>
        </w:rPr>
        <w:t>h</w:t>
      </w:r>
      <w:r w:rsidR="00157CE8">
        <w:rPr>
          <w:rFonts w:cs="Arial"/>
          <w:bCs/>
        </w:rPr>
        <w:t xml:space="preserve">is guidance </w:t>
      </w:r>
      <w:r>
        <w:rPr>
          <w:rFonts w:cs="Arial"/>
          <w:bCs/>
        </w:rPr>
        <w:t xml:space="preserve">is concerned </w:t>
      </w:r>
      <w:r w:rsidR="00C33704">
        <w:rPr>
          <w:rFonts w:cs="Arial"/>
          <w:bCs/>
        </w:rPr>
        <w:t xml:space="preserve">only </w:t>
      </w:r>
      <w:r>
        <w:rPr>
          <w:rFonts w:cs="Arial"/>
          <w:bCs/>
        </w:rPr>
        <w:t>with</w:t>
      </w:r>
      <w:r w:rsidR="008F0922">
        <w:rPr>
          <w:rFonts w:cs="Arial"/>
          <w:bCs/>
        </w:rPr>
        <w:t xml:space="preserve"> </w:t>
      </w:r>
      <w:r w:rsidR="00C33704">
        <w:rPr>
          <w:rFonts w:cs="Arial"/>
          <w:bCs/>
        </w:rPr>
        <w:t xml:space="preserve">the recording and reporting of </w:t>
      </w:r>
      <w:r w:rsidR="008F0922">
        <w:rPr>
          <w:rFonts w:cs="Arial"/>
          <w:bCs/>
        </w:rPr>
        <w:t xml:space="preserve">untoward incidents </w:t>
      </w:r>
      <w:r w:rsidR="00C33704">
        <w:rPr>
          <w:rFonts w:cs="Arial"/>
          <w:bCs/>
        </w:rPr>
        <w:t xml:space="preserve">in the </w:t>
      </w:r>
      <w:r w:rsidR="00D23443">
        <w:rPr>
          <w:rFonts w:cs="Arial"/>
          <w:bCs/>
        </w:rPr>
        <w:t>trial</w:t>
      </w:r>
      <w:r w:rsidR="00C33704">
        <w:rPr>
          <w:rFonts w:cs="Arial"/>
          <w:bCs/>
        </w:rPr>
        <w:t xml:space="preserve"> period which </w:t>
      </w:r>
      <w:r w:rsidR="008F0922">
        <w:rPr>
          <w:rFonts w:cs="Arial"/>
          <w:bCs/>
        </w:rPr>
        <w:t>result in</w:t>
      </w:r>
      <w:r>
        <w:rPr>
          <w:rFonts w:cs="Arial"/>
          <w:bCs/>
        </w:rPr>
        <w:t xml:space="preserve"> harm.</w:t>
      </w:r>
      <w:r w:rsidR="000653DB">
        <w:t xml:space="preserve"> </w:t>
      </w:r>
      <w:r w:rsidR="002E734A">
        <w:rPr>
          <w:bCs/>
          <w:lang w:val="en-US"/>
        </w:rPr>
        <w:t>H</w:t>
      </w:r>
      <w:r w:rsidR="00C33704">
        <w:rPr>
          <w:bCs/>
          <w:lang w:val="en-US"/>
        </w:rPr>
        <w:t>arm</w:t>
      </w:r>
      <w:r w:rsidR="002E734A">
        <w:rPr>
          <w:bCs/>
          <w:lang w:val="en-US"/>
        </w:rPr>
        <w:t>s</w:t>
      </w:r>
      <w:r w:rsidR="00295142" w:rsidRPr="00417446">
        <w:rPr>
          <w:bCs/>
          <w:lang w:val="en-US"/>
        </w:rPr>
        <w:t xml:space="preserve"> </w:t>
      </w:r>
      <w:r w:rsidR="00C33704">
        <w:rPr>
          <w:bCs/>
          <w:lang w:val="en-US"/>
        </w:rPr>
        <w:t xml:space="preserve">occurring as </w:t>
      </w:r>
      <w:r w:rsidR="00295142" w:rsidRPr="00417446">
        <w:rPr>
          <w:bCs/>
          <w:lang w:val="en-US"/>
        </w:rPr>
        <w:t xml:space="preserve">a </w:t>
      </w:r>
      <w:r w:rsidR="00295142" w:rsidRPr="00E61E0B">
        <w:rPr>
          <w:bCs/>
          <w:i/>
          <w:lang w:val="en-US"/>
        </w:rPr>
        <w:t>dir</w:t>
      </w:r>
      <w:r w:rsidR="001C68C5" w:rsidRPr="00E61E0B">
        <w:rPr>
          <w:bCs/>
          <w:i/>
          <w:lang w:val="en-US"/>
        </w:rPr>
        <w:t>ect result</w:t>
      </w:r>
      <w:r w:rsidR="001C68C5" w:rsidRPr="00417446">
        <w:rPr>
          <w:bCs/>
          <w:lang w:val="en-US"/>
        </w:rPr>
        <w:t xml:space="preserve"> of STASH are unlikely.</w:t>
      </w:r>
      <w:r w:rsidR="009B0EEB" w:rsidRPr="00417446">
        <w:rPr>
          <w:bCs/>
          <w:lang w:val="en-US"/>
        </w:rPr>
        <w:t xml:space="preserve"> </w:t>
      </w:r>
      <w:r w:rsidR="00B139AB">
        <w:rPr>
          <w:bCs/>
          <w:lang w:val="en-US"/>
        </w:rPr>
        <w:t>H</w:t>
      </w:r>
      <w:r w:rsidR="00B65025">
        <w:rPr>
          <w:bCs/>
          <w:lang w:val="en-US"/>
        </w:rPr>
        <w:t xml:space="preserve">arm unrelated to STASH is also unlikely during the short </w:t>
      </w:r>
      <w:r w:rsidR="00D23443">
        <w:rPr>
          <w:bCs/>
          <w:lang w:val="en-US"/>
        </w:rPr>
        <w:t>trial</w:t>
      </w:r>
      <w:r w:rsidR="00B65025">
        <w:rPr>
          <w:bCs/>
          <w:lang w:val="en-US"/>
        </w:rPr>
        <w:t xml:space="preserve"> period. </w:t>
      </w:r>
    </w:p>
    <w:p w14:paraId="49680F8C" w14:textId="77777777" w:rsidR="000653DB" w:rsidRDefault="000653DB" w:rsidP="005153A8">
      <w:pPr>
        <w:ind w:right="95"/>
        <w:jc w:val="both"/>
        <w:rPr>
          <w:bCs/>
          <w:lang w:val="en-US"/>
        </w:rPr>
      </w:pPr>
    </w:p>
    <w:p w14:paraId="382940CE" w14:textId="5284F68C" w:rsidR="000653DB" w:rsidRPr="000653DB" w:rsidRDefault="000653DB" w:rsidP="000653DB">
      <w:pPr>
        <w:spacing w:line="256" w:lineRule="auto"/>
        <w:ind w:right="95"/>
        <w:jc w:val="both"/>
        <w:rPr>
          <w:rFonts w:ascii="Calibri" w:eastAsia="Calibri" w:hAnsi="Calibri" w:cs="Times New Roman"/>
          <w:b/>
          <w:bCs/>
          <w:sz w:val="24"/>
          <w:u w:val="single"/>
          <w:lang w:val="en-US"/>
        </w:rPr>
      </w:pPr>
      <w:r>
        <w:rPr>
          <w:rFonts w:ascii="Calibri" w:eastAsia="Calibri" w:hAnsi="Calibri" w:cs="Times New Roman"/>
          <w:b/>
          <w:bCs/>
          <w:sz w:val="24"/>
          <w:u w:val="single"/>
          <w:lang w:val="en-US"/>
        </w:rPr>
        <w:t>3. Procedures in place to minimise potential for ‘untoward’ incidents and harms</w:t>
      </w:r>
    </w:p>
    <w:p w14:paraId="2A5654E5" w14:textId="16E550D7" w:rsidR="001B2DF3" w:rsidRDefault="006836B0" w:rsidP="009F1CAC">
      <w:pPr>
        <w:ind w:right="95"/>
        <w:jc w:val="both"/>
        <w:rPr>
          <w:bCs/>
          <w:lang w:val="en-US"/>
        </w:rPr>
      </w:pPr>
      <w:r>
        <w:rPr>
          <w:bCs/>
          <w:lang w:val="en-US"/>
        </w:rPr>
        <w:t xml:space="preserve">The </w:t>
      </w:r>
      <w:r w:rsidR="0080516A">
        <w:rPr>
          <w:bCs/>
          <w:lang w:val="en-US"/>
        </w:rPr>
        <w:t xml:space="preserve">STASH </w:t>
      </w:r>
      <w:r>
        <w:rPr>
          <w:bCs/>
          <w:lang w:val="en-US"/>
        </w:rPr>
        <w:t>Research Team</w:t>
      </w:r>
      <w:r w:rsidR="009B0EEB" w:rsidRPr="00417446">
        <w:rPr>
          <w:bCs/>
          <w:lang w:val="en-US"/>
        </w:rPr>
        <w:t xml:space="preserve"> w</w:t>
      </w:r>
      <w:r w:rsidR="00663EC2">
        <w:rPr>
          <w:bCs/>
          <w:lang w:val="en-US"/>
        </w:rPr>
        <w:t xml:space="preserve">ill employ strategies to </w:t>
      </w:r>
      <w:r w:rsidR="00663EC2" w:rsidRPr="00663EC2">
        <w:rPr>
          <w:bCs/>
        </w:rPr>
        <w:t>minimis</w:t>
      </w:r>
      <w:r w:rsidR="009B0EEB" w:rsidRPr="00663EC2">
        <w:rPr>
          <w:bCs/>
        </w:rPr>
        <w:t>e</w:t>
      </w:r>
      <w:r w:rsidR="009B0EEB" w:rsidRPr="00417446">
        <w:rPr>
          <w:bCs/>
          <w:lang w:val="en-US"/>
        </w:rPr>
        <w:t xml:space="preserve"> the likelihood of harms occurring.</w:t>
      </w:r>
      <w:r w:rsidR="005153A8">
        <w:rPr>
          <w:bCs/>
          <w:lang w:val="en-US"/>
        </w:rPr>
        <w:t xml:space="preserve"> </w:t>
      </w:r>
      <w:r w:rsidR="00D23443">
        <w:rPr>
          <w:rFonts w:cs="Arial"/>
          <w:bCs/>
        </w:rPr>
        <w:t xml:space="preserve">Peer Supporters will be required </w:t>
      </w:r>
      <w:r w:rsidR="000653DB">
        <w:rPr>
          <w:rFonts w:cs="Arial"/>
          <w:bCs/>
        </w:rPr>
        <w:t xml:space="preserve">at training to </w:t>
      </w:r>
      <w:r w:rsidR="00D23443">
        <w:rPr>
          <w:rFonts w:cs="Arial"/>
          <w:bCs/>
        </w:rPr>
        <w:t>sign up to a</w:t>
      </w:r>
      <w:r w:rsidR="005153A8" w:rsidRPr="00417446">
        <w:rPr>
          <w:rFonts w:cs="Arial"/>
          <w:bCs/>
        </w:rPr>
        <w:t xml:space="preserve"> code of conduct </w:t>
      </w:r>
      <w:r w:rsidR="00D23443">
        <w:rPr>
          <w:rFonts w:cs="Arial"/>
          <w:bCs/>
        </w:rPr>
        <w:t>(</w:t>
      </w:r>
      <w:r w:rsidR="000653DB">
        <w:rPr>
          <w:rFonts w:cs="Arial"/>
          <w:bCs/>
        </w:rPr>
        <w:t xml:space="preserve">the </w:t>
      </w:r>
      <w:r w:rsidR="00D23443" w:rsidRPr="000653DB">
        <w:rPr>
          <w:rFonts w:cs="Arial"/>
          <w:bCs/>
        </w:rPr>
        <w:t>STASH Charter</w:t>
      </w:r>
      <w:r w:rsidR="000653DB">
        <w:rPr>
          <w:rFonts w:cs="Arial"/>
          <w:bCs/>
        </w:rPr>
        <w:t>).</w:t>
      </w:r>
      <w:r w:rsidR="00D23443">
        <w:rPr>
          <w:rFonts w:cs="Arial"/>
          <w:bCs/>
        </w:rPr>
        <w:t xml:space="preserve"> </w:t>
      </w:r>
      <w:r w:rsidR="000653DB">
        <w:rPr>
          <w:rFonts w:cs="Arial"/>
          <w:bCs/>
        </w:rPr>
        <w:t>P</w:t>
      </w:r>
      <w:r w:rsidR="005153A8" w:rsidRPr="00417446">
        <w:rPr>
          <w:rFonts w:cs="Arial"/>
          <w:bCs/>
        </w:rPr>
        <w:t>rocedures for dealing with disrespectful/</w:t>
      </w:r>
      <w:r w:rsidR="005153A8">
        <w:rPr>
          <w:rFonts w:cs="Arial"/>
          <w:bCs/>
        </w:rPr>
        <w:t>aggressive</w:t>
      </w:r>
      <w:r w:rsidR="00AA353B">
        <w:rPr>
          <w:rFonts w:cs="Arial"/>
          <w:bCs/>
        </w:rPr>
        <w:t xml:space="preserve"> online</w:t>
      </w:r>
      <w:r w:rsidR="005153A8">
        <w:rPr>
          <w:rFonts w:cs="Arial"/>
          <w:bCs/>
        </w:rPr>
        <w:t xml:space="preserve"> behaviour</w:t>
      </w:r>
      <w:r w:rsidR="004B13EE">
        <w:rPr>
          <w:rFonts w:cs="Arial"/>
          <w:bCs/>
        </w:rPr>
        <w:t xml:space="preserve"> will follow</w:t>
      </w:r>
      <w:r w:rsidR="005153A8" w:rsidRPr="000653DB">
        <w:rPr>
          <w:rFonts w:cs="Arial"/>
          <w:bCs/>
        </w:rPr>
        <w:t xml:space="preserve"> the ICT code of conduct</w:t>
      </w:r>
      <w:r w:rsidR="004B13EE">
        <w:rPr>
          <w:rFonts w:cs="Arial"/>
          <w:bCs/>
        </w:rPr>
        <w:t xml:space="preserve"> and discipline code of participating schools</w:t>
      </w:r>
      <w:r w:rsidR="005153A8">
        <w:rPr>
          <w:rFonts w:cs="Arial"/>
          <w:bCs/>
        </w:rPr>
        <w:t xml:space="preserve">. </w:t>
      </w:r>
      <w:r w:rsidR="006C0CD8">
        <w:rPr>
          <w:rFonts w:cs="Arial"/>
          <w:bCs/>
        </w:rPr>
        <w:t xml:space="preserve">Social media use will be confined to private </w:t>
      </w:r>
      <w:r w:rsidR="007A496B">
        <w:rPr>
          <w:rFonts w:cs="Arial"/>
          <w:bCs/>
        </w:rPr>
        <w:t>(</w:t>
      </w:r>
      <w:r w:rsidR="00F72246">
        <w:rPr>
          <w:rFonts w:cs="Arial"/>
          <w:bCs/>
        </w:rPr>
        <w:t xml:space="preserve">‘secret’ ie. non-visible, </w:t>
      </w:r>
      <w:r w:rsidR="007A496B">
        <w:rPr>
          <w:rFonts w:cs="Arial"/>
          <w:bCs/>
        </w:rPr>
        <w:t xml:space="preserve">invite-only) </w:t>
      </w:r>
      <w:r w:rsidR="00F72246">
        <w:rPr>
          <w:rFonts w:cs="Arial"/>
          <w:bCs/>
        </w:rPr>
        <w:t xml:space="preserve">Facebook </w:t>
      </w:r>
      <w:r w:rsidR="007A496B">
        <w:rPr>
          <w:rFonts w:cs="Arial"/>
          <w:bCs/>
        </w:rPr>
        <w:t>groups, of which</w:t>
      </w:r>
      <w:r w:rsidR="006C0CD8">
        <w:rPr>
          <w:rFonts w:cs="Arial"/>
          <w:bCs/>
        </w:rPr>
        <w:t xml:space="preserve"> </w:t>
      </w:r>
      <w:r w:rsidR="007A496B">
        <w:rPr>
          <w:rFonts w:cs="Arial"/>
          <w:bCs/>
        </w:rPr>
        <w:t xml:space="preserve">STASH </w:t>
      </w:r>
      <w:r w:rsidR="003247A0">
        <w:rPr>
          <w:rFonts w:cs="Arial"/>
          <w:bCs/>
        </w:rPr>
        <w:t>T</w:t>
      </w:r>
      <w:r w:rsidR="006C0CD8">
        <w:rPr>
          <w:rFonts w:cs="Arial"/>
          <w:bCs/>
        </w:rPr>
        <w:t>rainer</w:t>
      </w:r>
      <w:r w:rsidR="000653DB">
        <w:rPr>
          <w:rFonts w:cs="Arial"/>
          <w:bCs/>
        </w:rPr>
        <w:t>s will be a member. Trainers</w:t>
      </w:r>
      <w:r w:rsidR="006C0CD8">
        <w:rPr>
          <w:rFonts w:cs="Arial"/>
          <w:bCs/>
        </w:rPr>
        <w:t xml:space="preserve"> will conduct monitoring ‘spot checks’</w:t>
      </w:r>
      <w:r w:rsidR="007A496B">
        <w:rPr>
          <w:rFonts w:cs="Arial"/>
          <w:bCs/>
        </w:rPr>
        <w:t>,</w:t>
      </w:r>
      <w:r w:rsidR="003247A0">
        <w:rPr>
          <w:rFonts w:cs="Arial"/>
          <w:bCs/>
        </w:rPr>
        <w:t xml:space="preserve"> and Peer S</w:t>
      </w:r>
      <w:r w:rsidR="006C0CD8">
        <w:rPr>
          <w:rFonts w:cs="Arial"/>
          <w:bCs/>
        </w:rPr>
        <w:t xml:space="preserve">upporters will </w:t>
      </w:r>
      <w:r w:rsidR="00F72246">
        <w:rPr>
          <w:rFonts w:cs="Arial"/>
          <w:bCs/>
        </w:rPr>
        <w:t xml:space="preserve">also </w:t>
      </w:r>
      <w:r w:rsidR="006C0CD8">
        <w:rPr>
          <w:rFonts w:cs="Arial"/>
          <w:bCs/>
        </w:rPr>
        <w:t>be encouraged to report</w:t>
      </w:r>
      <w:r w:rsidR="00F72246">
        <w:rPr>
          <w:rFonts w:cs="Arial"/>
          <w:bCs/>
        </w:rPr>
        <w:t xml:space="preserve"> any untoward incidents </w:t>
      </w:r>
      <w:r w:rsidR="000653DB">
        <w:rPr>
          <w:rFonts w:cs="Arial"/>
          <w:bCs/>
        </w:rPr>
        <w:t xml:space="preserve">promptly </w:t>
      </w:r>
      <w:r w:rsidR="00F72246">
        <w:rPr>
          <w:rFonts w:cs="Arial"/>
          <w:bCs/>
        </w:rPr>
        <w:t>to the T</w:t>
      </w:r>
      <w:r w:rsidR="006C0CD8">
        <w:rPr>
          <w:rFonts w:cs="Arial"/>
          <w:bCs/>
        </w:rPr>
        <w:t xml:space="preserve">rainer and/or </w:t>
      </w:r>
      <w:r w:rsidR="007A496B">
        <w:rPr>
          <w:rFonts w:cs="Arial"/>
          <w:bCs/>
        </w:rPr>
        <w:t>S</w:t>
      </w:r>
      <w:r w:rsidR="003247A0">
        <w:rPr>
          <w:rFonts w:cs="Arial"/>
          <w:bCs/>
        </w:rPr>
        <w:t>TASH C</w:t>
      </w:r>
      <w:r w:rsidR="007A496B">
        <w:rPr>
          <w:rFonts w:cs="Arial"/>
          <w:bCs/>
        </w:rPr>
        <w:t>ontact</w:t>
      </w:r>
      <w:r w:rsidR="003247A0">
        <w:rPr>
          <w:rFonts w:cs="Arial"/>
          <w:bCs/>
        </w:rPr>
        <w:t xml:space="preserve"> T</w:t>
      </w:r>
      <w:r w:rsidR="006C0CD8">
        <w:rPr>
          <w:rFonts w:cs="Arial"/>
          <w:bCs/>
        </w:rPr>
        <w:t xml:space="preserve">eacher. </w:t>
      </w:r>
      <w:r w:rsidR="007A496B">
        <w:rPr>
          <w:rFonts w:cs="Arial"/>
          <w:bCs/>
        </w:rPr>
        <w:t>S</w:t>
      </w:r>
      <w:r w:rsidR="005153A8">
        <w:rPr>
          <w:rFonts w:cs="Arial"/>
          <w:bCs/>
        </w:rPr>
        <w:t xml:space="preserve">tudents </w:t>
      </w:r>
      <w:r w:rsidR="007A496B">
        <w:rPr>
          <w:rFonts w:cs="Arial"/>
          <w:bCs/>
        </w:rPr>
        <w:t xml:space="preserve">will also have the option </w:t>
      </w:r>
      <w:r w:rsidR="003247A0">
        <w:rPr>
          <w:rFonts w:cs="Arial"/>
          <w:bCs/>
        </w:rPr>
        <w:t>to privately message the T</w:t>
      </w:r>
      <w:r w:rsidR="005153A8">
        <w:rPr>
          <w:rFonts w:cs="Arial"/>
          <w:bCs/>
        </w:rPr>
        <w:t>rainer</w:t>
      </w:r>
      <w:r w:rsidR="000653DB">
        <w:rPr>
          <w:rFonts w:cs="Arial"/>
          <w:bCs/>
        </w:rPr>
        <w:t xml:space="preserve"> as</w:t>
      </w:r>
      <w:r w:rsidR="007A496B">
        <w:rPr>
          <w:rFonts w:cs="Arial"/>
          <w:bCs/>
        </w:rPr>
        <w:t xml:space="preserve"> required. </w:t>
      </w:r>
      <w:r w:rsidR="00AA353B">
        <w:rPr>
          <w:bCs/>
          <w:lang w:val="en-US"/>
        </w:rPr>
        <w:t>The Trainer should</w:t>
      </w:r>
      <w:r w:rsidR="000653DB" w:rsidRPr="000653DB">
        <w:rPr>
          <w:bCs/>
          <w:lang w:val="en-US"/>
        </w:rPr>
        <w:t xml:space="preserve"> pass on any concerns to the Contact Teacher without delay.</w:t>
      </w:r>
    </w:p>
    <w:p w14:paraId="47E8556C" w14:textId="23926060" w:rsidR="00133BCF" w:rsidRDefault="00133BCF" w:rsidP="009F1CAC">
      <w:pPr>
        <w:ind w:right="95"/>
        <w:jc w:val="both"/>
        <w:rPr>
          <w:bCs/>
          <w:lang w:val="en-US"/>
        </w:rPr>
      </w:pPr>
      <w:r w:rsidRPr="00133BCF">
        <w:rPr>
          <w:bCs/>
          <w:lang w:val="en-US"/>
        </w:rPr>
        <w:t>All members of the Research Team</w:t>
      </w:r>
      <w:r w:rsidR="007D62C0">
        <w:rPr>
          <w:bCs/>
          <w:lang w:val="en-US"/>
        </w:rPr>
        <w:t xml:space="preserve"> and the trainers</w:t>
      </w:r>
      <w:r w:rsidRPr="00133BCF">
        <w:rPr>
          <w:bCs/>
          <w:lang w:val="en-US"/>
        </w:rPr>
        <w:t xml:space="preserve"> working in schools have PVG clearance</w:t>
      </w:r>
      <w:r>
        <w:rPr>
          <w:bCs/>
          <w:lang w:val="en-US"/>
        </w:rPr>
        <w:t xml:space="preserve">/Enhanced Disclosure Scotland certification, which allows them to work with young people under 16. </w:t>
      </w:r>
    </w:p>
    <w:p w14:paraId="7399C0A0" w14:textId="77777777" w:rsidR="000653DB" w:rsidRDefault="000653DB" w:rsidP="009F1CAC">
      <w:pPr>
        <w:ind w:right="95"/>
        <w:jc w:val="both"/>
        <w:rPr>
          <w:iCs/>
        </w:rPr>
      </w:pPr>
    </w:p>
    <w:p w14:paraId="3EDE9EDE" w14:textId="4EF1DC91" w:rsidR="00851DFB" w:rsidRPr="00663EC2" w:rsidRDefault="000653DB" w:rsidP="009F1CAC">
      <w:pPr>
        <w:ind w:right="95"/>
        <w:jc w:val="both"/>
        <w:rPr>
          <w:b/>
          <w:sz w:val="24"/>
          <w:u w:val="single"/>
        </w:rPr>
      </w:pPr>
      <w:r w:rsidRPr="000653DB">
        <w:rPr>
          <w:b/>
          <w:iCs/>
          <w:sz w:val="24"/>
          <w:u w:val="single"/>
        </w:rPr>
        <w:t>4.</w:t>
      </w:r>
      <w:r w:rsidR="00417446" w:rsidRPr="000653DB">
        <w:rPr>
          <w:iCs/>
          <w:sz w:val="24"/>
          <w:u w:val="single"/>
        </w:rPr>
        <w:t xml:space="preserve"> </w:t>
      </w:r>
      <w:r w:rsidR="005D5AAD" w:rsidRPr="000653DB">
        <w:rPr>
          <w:b/>
          <w:iCs/>
          <w:sz w:val="24"/>
          <w:u w:val="single"/>
        </w:rPr>
        <w:t>Procedures</w:t>
      </w:r>
      <w:r w:rsidR="005D5AAD" w:rsidRPr="00663EC2">
        <w:rPr>
          <w:b/>
          <w:iCs/>
          <w:sz w:val="24"/>
          <w:u w:val="single"/>
        </w:rPr>
        <w:t xml:space="preserve"> for reporting </w:t>
      </w:r>
      <w:r w:rsidR="0005793D" w:rsidRPr="00663EC2">
        <w:rPr>
          <w:b/>
          <w:iCs/>
          <w:sz w:val="24"/>
          <w:u w:val="single"/>
        </w:rPr>
        <w:t xml:space="preserve">and documenting </w:t>
      </w:r>
      <w:r w:rsidR="005D5AAD" w:rsidRPr="00663EC2">
        <w:rPr>
          <w:b/>
          <w:iCs/>
          <w:sz w:val="24"/>
          <w:u w:val="single"/>
        </w:rPr>
        <w:t>harms</w:t>
      </w:r>
      <w:r w:rsidR="00A25253" w:rsidRPr="00663EC2">
        <w:rPr>
          <w:b/>
          <w:iCs/>
          <w:sz w:val="24"/>
          <w:u w:val="single"/>
        </w:rPr>
        <w:t xml:space="preserve"> </w:t>
      </w:r>
    </w:p>
    <w:p w14:paraId="4C6F57CD" w14:textId="77777777" w:rsidR="000653DB" w:rsidRDefault="001B2DF3" w:rsidP="009F1CAC">
      <w:pPr>
        <w:ind w:right="95"/>
        <w:jc w:val="both"/>
      </w:pPr>
      <w:r>
        <w:t xml:space="preserve">The following sets out reporting procedures at each </w:t>
      </w:r>
      <w:r w:rsidR="000653DB">
        <w:t>point</w:t>
      </w:r>
      <w:r>
        <w:t xml:space="preserve"> of interaction in the STASH </w:t>
      </w:r>
      <w:r w:rsidR="007A496B">
        <w:t>trial</w:t>
      </w:r>
      <w:r>
        <w:t xml:space="preserve">. These relate to the involvement of the </w:t>
      </w:r>
      <w:r w:rsidR="000653DB">
        <w:t xml:space="preserve">STASH </w:t>
      </w:r>
      <w:r>
        <w:t>Research Team, STASH Trainers,</w:t>
      </w:r>
      <w:r w:rsidR="00F72246">
        <w:t xml:space="preserve"> STASH Contact T</w:t>
      </w:r>
      <w:r w:rsidR="000653DB">
        <w:t>eacher/</w:t>
      </w:r>
      <w:r w:rsidR="007A496B">
        <w:t xml:space="preserve">DMS, </w:t>
      </w:r>
      <w:r w:rsidR="00F93E4D">
        <w:t>Peer Supporter</w:t>
      </w:r>
      <w:r>
        <w:t xml:space="preserve">s, and the </w:t>
      </w:r>
      <w:r w:rsidR="000653DB">
        <w:t xml:space="preserve">whole </w:t>
      </w:r>
      <w:r>
        <w:t xml:space="preserve">S4 year group. </w:t>
      </w:r>
    </w:p>
    <w:p w14:paraId="6C333313" w14:textId="4E7E217C" w:rsidR="00AB707D" w:rsidRDefault="00EA5F5D" w:rsidP="009F1CAC">
      <w:pPr>
        <w:ind w:right="95"/>
        <w:jc w:val="both"/>
      </w:pPr>
      <w:r>
        <w:t xml:space="preserve">While there are no </w:t>
      </w:r>
      <w:r w:rsidR="007C0560">
        <w:t>likely</w:t>
      </w:r>
      <w:r>
        <w:t xml:space="preserve"> harms in relation to the </w:t>
      </w:r>
      <w:r w:rsidR="007C0560">
        <w:t>trial, the following mechanisms</w:t>
      </w:r>
      <w:r>
        <w:t xml:space="preserve"> are in place through which any unexpected harms w</w:t>
      </w:r>
      <w:r w:rsidR="00B65025">
        <w:t>ill be identified and reported</w:t>
      </w:r>
      <w:r w:rsidR="007A496B">
        <w:t>,</w:t>
      </w:r>
      <w:r w:rsidR="00B65025">
        <w:t xml:space="preserve"> regardless of whether they result from the STASH </w:t>
      </w:r>
      <w:r w:rsidR="007A496B">
        <w:t>trial,</w:t>
      </w:r>
      <w:r w:rsidR="007D62C0">
        <w:t xml:space="preserve"> or are</w:t>
      </w:r>
      <w:r w:rsidR="00B65025">
        <w:t xml:space="preserve"> concurrent. </w:t>
      </w:r>
      <w:r w:rsidR="00AB707D">
        <w:t xml:space="preserve">Schools have policies </w:t>
      </w:r>
      <w:r w:rsidR="007A496B">
        <w:t xml:space="preserve">in place </w:t>
      </w:r>
      <w:r w:rsidR="00AB707D">
        <w:t>to deal with behaviours that constitute minor untoward incidents</w:t>
      </w:r>
      <w:r w:rsidR="000653DB">
        <w:t>, and so these are not addressed here</w:t>
      </w:r>
      <w:r w:rsidR="00AB707D">
        <w:t>.</w:t>
      </w:r>
    </w:p>
    <w:p w14:paraId="5FC9EBF6" w14:textId="77777777" w:rsidR="0078301C" w:rsidRDefault="0078301C" w:rsidP="009F1CAC">
      <w:pPr>
        <w:ind w:right="95"/>
        <w:jc w:val="both"/>
        <w:rPr>
          <w:i/>
        </w:rPr>
      </w:pPr>
    </w:p>
    <w:p w14:paraId="578E0509" w14:textId="4B1935AC" w:rsidR="00EA5F5D" w:rsidRPr="0078301C" w:rsidRDefault="000653DB" w:rsidP="009F1CAC">
      <w:pPr>
        <w:ind w:right="95"/>
        <w:jc w:val="both"/>
        <w:rPr>
          <w:i/>
        </w:rPr>
      </w:pPr>
      <w:r w:rsidRPr="0078301C">
        <w:rPr>
          <w:i/>
        </w:rPr>
        <w:t>4</w:t>
      </w:r>
      <w:r w:rsidR="00EA5F5D" w:rsidRPr="0078301C">
        <w:rPr>
          <w:i/>
        </w:rPr>
        <w:t>.</w:t>
      </w:r>
      <w:r w:rsidR="007C0560" w:rsidRPr="0078301C">
        <w:rPr>
          <w:i/>
        </w:rPr>
        <w:t>1</w:t>
      </w:r>
      <w:r w:rsidR="00EA5F5D" w:rsidRPr="0078301C">
        <w:rPr>
          <w:i/>
        </w:rPr>
        <w:t xml:space="preserve"> Identification of possible harm in relation to participants (</w:t>
      </w:r>
      <w:r w:rsidR="00663EC2" w:rsidRPr="0078301C">
        <w:rPr>
          <w:i/>
        </w:rPr>
        <w:t xml:space="preserve">all </w:t>
      </w:r>
      <w:r w:rsidR="00EA5F5D" w:rsidRPr="0078301C">
        <w:rPr>
          <w:i/>
        </w:rPr>
        <w:t xml:space="preserve">S4s including </w:t>
      </w:r>
      <w:r w:rsidR="00F93E4D" w:rsidRPr="0078301C">
        <w:rPr>
          <w:i/>
        </w:rPr>
        <w:t>Peer Supporter</w:t>
      </w:r>
      <w:r w:rsidR="00EA5F5D" w:rsidRPr="0078301C">
        <w:rPr>
          <w:i/>
        </w:rPr>
        <w:t>s)</w:t>
      </w:r>
    </w:p>
    <w:p w14:paraId="29CC610C" w14:textId="42497B9F" w:rsidR="00133BCF" w:rsidRDefault="00133BCF" w:rsidP="009F1CAC">
      <w:pPr>
        <w:ind w:right="95"/>
        <w:jc w:val="both"/>
      </w:pPr>
      <w:r w:rsidRPr="00133BCF">
        <w:t>In the course of STASH Year 1 (2016) preparatory work, we sought to identify and articulate potential untoward incidents via a number of avenues. These have included: consultation sessions with young people; a young peoples’ advisory group; interviews and friendship group discussions with participants from the pilot school; interviews with key sch</w:t>
      </w:r>
      <w:r>
        <w:t>ool staff (including the STASH C</w:t>
      </w:r>
      <w:r w:rsidRPr="00133BCF">
        <w:t>onta</w:t>
      </w:r>
      <w:r>
        <w:t>ct T</w:t>
      </w:r>
      <w:r w:rsidRPr="00133BCF">
        <w:t xml:space="preserve">eacher school and DMS for Child Protection); and preparatory discussions with West Lothian Education and Child Protection Officers, and a range of experts in schools-based interventions and child protection.  </w:t>
      </w:r>
    </w:p>
    <w:p w14:paraId="57067807" w14:textId="765B03D2" w:rsidR="005E0BE5" w:rsidRDefault="005E0BE5" w:rsidP="009F1CAC">
      <w:pPr>
        <w:ind w:right="95"/>
        <w:jc w:val="both"/>
      </w:pPr>
      <w:r>
        <w:t xml:space="preserve">Within the school setting, reporting of potential </w:t>
      </w:r>
      <w:r w:rsidR="00E7147D">
        <w:t xml:space="preserve">harms </w:t>
      </w:r>
      <w:r>
        <w:t>will follow school procedure</w:t>
      </w:r>
      <w:r w:rsidR="00EA7B88">
        <w:t>s</w:t>
      </w:r>
      <w:r w:rsidR="003247A0">
        <w:t xml:space="preserve">, which require immediate reporting of </w:t>
      </w:r>
      <w:r w:rsidR="00133BCF">
        <w:t xml:space="preserve">sensitive </w:t>
      </w:r>
      <w:r w:rsidR="003247A0">
        <w:t>disclosures and child protection concerns</w:t>
      </w:r>
      <w:r w:rsidR="002152B5">
        <w:t xml:space="preserve"> (see Appendix 1</w:t>
      </w:r>
      <w:r w:rsidR="004B13EE">
        <w:t xml:space="preserve"> for example from one school</w:t>
      </w:r>
      <w:r w:rsidR="002152B5">
        <w:t xml:space="preserve">). These procedures </w:t>
      </w:r>
      <w:r w:rsidR="00EA7B88">
        <w:t xml:space="preserve">are </w:t>
      </w:r>
      <w:r w:rsidR="002152B5">
        <w:t xml:space="preserve">in turn </w:t>
      </w:r>
      <w:r w:rsidR="00EA7B88">
        <w:t xml:space="preserve">steered </w:t>
      </w:r>
      <w:r>
        <w:t xml:space="preserve">by national guidance </w:t>
      </w:r>
      <w:r w:rsidR="001B2DF3">
        <w:t xml:space="preserve">and local </w:t>
      </w:r>
      <w:r w:rsidR="00133BCF">
        <w:t xml:space="preserve">(West Lothian Local Authority) </w:t>
      </w:r>
      <w:r w:rsidR="001B2DF3">
        <w:t xml:space="preserve">protocols </w:t>
      </w:r>
      <w:r>
        <w:t>on child protection and underage sexual activity (</w:t>
      </w:r>
      <w:r w:rsidR="00E00A2A">
        <w:t xml:space="preserve">eg. 2010 National Guidance on Underage Sexual Activity – see </w:t>
      </w:r>
      <w:r w:rsidR="00F93E4D">
        <w:t>Appendix</w:t>
      </w:r>
      <w:r w:rsidR="002152B5">
        <w:t xml:space="preserve"> 2</w:t>
      </w:r>
      <w:r>
        <w:t xml:space="preserve">). </w:t>
      </w:r>
    </w:p>
    <w:p w14:paraId="550B00BF" w14:textId="7D45B4FE" w:rsidR="005D5AAD" w:rsidRDefault="00133BCF" w:rsidP="009F1CAC">
      <w:pPr>
        <w:ind w:right="95"/>
        <w:jc w:val="both"/>
      </w:pPr>
      <w:r>
        <w:t>The STASH Contact Teacher/DMS</w:t>
      </w:r>
      <w:r w:rsidR="003247A0">
        <w:t xml:space="preserve"> </w:t>
      </w:r>
      <w:r w:rsidR="009D482F">
        <w:t xml:space="preserve">and </w:t>
      </w:r>
      <w:r w:rsidR="00851DFB" w:rsidRPr="00851DFB">
        <w:t>those delivering the intervention (</w:t>
      </w:r>
      <w:r w:rsidR="003247A0">
        <w:t>STASH T</w:t>
      </w:r>
      <w:r w:rsidR="007F3198">
        <w:t xml:space="preserve">rainers </w:t>
      </w:r>
      <w:r w:rsidR="009D482F">
        <w:t xml:space="preserve">and </w:t>
      </w:r>
      <w:r w:rsidR="00F93E4D">
        <w:t>Peer Supporter</w:t>
      </w:r>
      <w:r w:rsidR="009D482F">
        <w:t xml:space="preserve">s) </w:t>
      </w:r>
      <w:r w:rsidR="00851DFB" w:rsidRPr="00851DFB">
        <w:t xml:space="preserve">will be asked to </w:t>
      </w:r>
      <w:r>
        <w:t>notify</w:t>
      </w:r>
      <w:r w:rsidR="00851DFB" w:rsidRPr="00851DFB">
        <w:t xml:space="preserve"> the </w:t>
      </w:r>
      <w:r w:rsidR="007C0560">
        <w:t>Research T</w:t>
      </w:r>
      <w:r w:rsidR="00F93E4D">
        <w:t>eam within five</w:t>
      </w:r>
      <w:r w:rsidR="00851DFB" w:rsidRPr="00851DFB">
        <w:t xml:space="preserve"> working days if any </w:t>
      </w:r>
      <w:r w:rsidR="00E7147D">
        <w:t>harm</w:t>
      </w:r>
      <w:r w:rsidR="00851DFB" w:rsidRPr="00851DFB">
        <w:t xml:space="preserve"> </w:t>
      </w:r>
      <w:r w:rsidR="009D482F">
        <w:t>occurs to a member of staff or student</w:t>
      </w:r>
      <w:r w:rsidR="00851DFB" w:rsidRPr="00851DFB">
        <w:t xml:space="preserve">, as a direct result of taking part in </w:t>
      </w:r>
      <w:r w:rsidR="009D482F">
        <w:t xml:space="preserve">the </w:t>
      </w:r>
      <w:r w:rsidR="007F3198">
        <w:t>STASH</w:t>
      </w:r>
      <w:r w:rsidR="009D482F">
        <w:t xml:space="preserve"> </w:t>
      </w:r>
      <w:r w:rsidR="003247A0">
        <w:t>trial</w:t>
      </w:r>
      <w:r w:rsidR="007C0560">
        <w:t xml:space="preserve">. In </w:t>
      </w:r>
      <w:r w:rsidR="00F93E4D">
        <w:t>such a case</w:t>
      </w:r>
      <w:r w:rsidR="007C0560">
        <w:t xml:space="preserve">, </w:t>
      </w:r>
      <w:r w:rsidR="00F93E4D">
        <w:t xml:space="preserve">a </w:t>
      </w:r>
      <w:r w:rsidR="003247A0">
        <w:t>trial</w:t>
      </w:r>
      <w:r w:rsidR="007C0560">
        <w:t>-</w:t>
      </w:r>
      <w:r w:rsidR="00851DFB" w:rsidRPr="00851DFB">
        <w:t xml:space="preserve">specific </w:t>
      </w:r>
      <w:r w:rsidR="001257F8">
        <w:t>harm report</w:t>
      </w:r>
      <w:r w:rsidR="005D5AAD">
        <w:t xml:space="preserve"> </w:t>
      </w:r>
      <w:r w:rsidR="00F93E4D">
        <w:t>form</w:t>
      </w:r>
      <w:r w:rsidR="00851DFB" w:rsidRPr="00851DFB">
        <w:t xml:space="preserve"> will be used to record information on the event</w:t>
      </w:r>
      <w:r w:rsidR="003247A0">
        <w:t xml:space="preserve"> (see Appendix 3</w:t>
      </w:r>
      <w:r w:rsidR="00F93E4D">
        <w:t>)</w:t>
      </w:r>
      <w:r w:rsidR="00851DFB" w:rsidRPr="00851DFB">
        <w:t>.</w:t>
      </w:r>
      <w:r w:rsidR="007F3198">
        <w:t xml:space="preserve"> </w:t>
      </w:r>
    </w:p>
    <w:p w14:paraId="6FB2F436" w14:textId="6E6D95D5" w:rsidR="005202F6" w:rsidRDefault="007F3198" w:rsidP="005202F6">
      <w:pPr>
        <w:ind w:right="95"/>
        <w:jc w:val="both"/>
      </w:pPr>
      <w:r>
        <w:t xml:space="preserve">Members of the </w:t>
      </w:r>
      <w:r w:rsidR="007C0560">
        <w:t>Research T</w:t>
      </w:r>
      <w:r>
        <w:t xml:space="preserve">eam at </w:t>
      </w:r>
      <w:r w:rsidR="00133BCF">
        <w:t xml:space="preserve">the </w:t>
      </w:r>
      <w:r>
        <w:t xml:space="preserve">University of Glasgow </w:t>
      </w:r>
      <w:r w:rsidR="009D482F">
        <w:t xml:space="preserve">will </w:t>
      </w:r>
      <w:r w:rsidR="00A25253">
        <w:t xml:space="preserve">be required to document any harms reported to them </w:t>
      </w:r>
      <w:r w:rsidR="00F0716F">
        <w:t xml:space="preserve">during </w:t>
      </w:r>
      <w:r w:rsidR="00133BCF">
        <w:t xml:space="preserve">trial </w:t>
      </w:r>
      <w:r w:rsidR="00F0716F">
        <w:t>da</w:t>
      </w:r>
      <w:r w:rsidR="00F0716F" w:rsidRPr="00A25253">
        <w:t>ta collection</w:t>
      </w:r>
      <w:r w:rsidR="007C0560">
        <w:t xml:space="preserve">. </w:t>
      </w:r>
      <w:r w:rsidR="00851DFB" w:rsidRPr="00851DFB">
        <w:t xml:space="preserve">All </w:t>
      </w:r>
      <w:r w:rsidR="005D5AAD">
        <w:t xml:space="preserve">documented harms </w:t>
      </w:r>
      <w:r w:rsidR="00851DFB" w:rsidRPr="00851DFB">
        <w:t>will be discussed with the Principal Investigator</w:t>
      </w:r>
      <w:r w:rsidR="004B13EE">
        <w:t>s</w:t>
      </w:r>
      <w:r w:rsidR="00851DFB" w:rsidRPr="00851DFB">
        <w:t xml:space="preserve"> </w:t>
      </w:r>
      <w:r w:rsidR="00B9449E">
        <w:t>(</w:t>
      </w:r>
      <w:r w:rsidR="004B13EE">
        <w:t>LM/</w:t>
      </w:r>
      <w:r w:rsidR="00B9449E">
        <w:t>KM</w:t>
      </w:r>
      <w:r>
        <w:t xml:space="preserve">) </w:t>
      </w:r>
      <w:r w:rsidR="00851DFB" w:rsidRPr="00851DFB">
        <w:t xml:space="preserve">to assess </w:t>
      </w:r>
      <w:r w:rsidR="007C0560">
        <w:t>severity and causality</w:t>
      </w:r>
      <w:r w:rsidR="00C82147">
        <w:t xml:space="preserve">. </w:t>
      </w:r>
      <w:r w:rsidR="005202F6">
        <w:t xml:space="preserve">Causality will be determined according to the criteria in Table 1. </w:t>
      </w:r>
      <w:r w:rsidR="00C24386" w:rsidRPr="00C24386">
        <w:t>In the case of discrepant views on causality the event will be handled at the highest event categorisation.</w:t>
      </w:r>
    </w:p>
    <w:p w14:paraId="76BA7FED" w14:textId="77777777" w:rsidR="00F93E4D" w:rsidRDefault="00F93E4D" w:rsidP="005202F6">
      <w:pPr>
        <w:ind w:right="95"/>
        <w:jc w:val="both"/>
      </w:pPr>
    </w:p>
    <w:p w14:paraId="14F16542" w14:textId="30680100" w:rsidR="005202F6" w:rsidRPr="00F93E4D" w:rsidRDefault="00F93E4D" w:rsidP="005202F6">
      <w:pPr>
        <w:ind w:right="95"/>
        <w:jc w:val="both"/>
        <w:rPr>
          <w:i/>
          <w:sz w:val="20"/>
        </w:rPr>
      </w:pPr>
      <w:r w:rsidRPr="00F93E4D">
        <w:rPr>
          <w:i/>
          <w:sz w:val="20"/>
        </w:rPr>
        <w:t>Table 1. Causal relationship between untoward incide</w:t>
      </w:r>
      <w:r w:rsidR="003247A0">
        <w:rPr>
          <w:i/>
          <w:sz w:val="20"/>
        </w:rPr>
        <w:t>nt resulting in harm and STASH trial</w:t>
      </w: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6945"/>
      </w:tblGrid>
      <w:tr w:rsidR="005202F6" w14:paraId="096EC718" w14:textId="77777777" w:rsidTr="00663EC2">
        <w:trPr>
          <w:trHeight w:val="389"/>
        </w:trPr>
        <w:tc>
          <w:tcPr>
            <w:tcW w:w="1525" w:type="dxa"/>
            <w:tcBorders>
              <w:top w:val="single" w:sz="4" w:space="0" w:color="auto"/>
              <w:left w:val="single" w:sz="4" w:space="0" w:color="auto"/>
              <w:bottom w:val="single" w:sz="4" w:space="0" w:color="auto"/>
              <w:right w:val="single" w:sz="4" w:space="0" w:color="auto"/>
            </w:tcBorders>
            <w:hideMark/>
          </w:tcPr>
          <w:p w14:paraId="3F4FB347" w14:textId="77777777" w:rsidR="005202F6" w:rsidRPr="005202F6" w:rsidRDefault="005202F6" w:rsidP="00494E3F">
            <w:pPr>
              <w:spacing w:line="360" w:lineRule="auto"/>
              <w:jc w:val="both"/>
              <w:rPr>
                <w:rFonts w:cs="Arial"/>
                <w:b/>
                <w:sz w:val="20"/>
                <w:szCs w:val="20"/>
                <w:lang w:val="en-US"/>
              </w:rPr>
            </w:pPr>
            <w:r w:rsidRPr="005202F6">
              <w:rPr>
                <w:rFonts w:cs="Arial"/>
                <w:b/>
                <w:sz w:val="20"/>
                <w:szCs w:val="20"/>
                <w:lang w:val="en-US"/>
              </w:rPr>
              <w:t>Relationship</w:t>
            </w:r>
          </w:p>
        </w:tc>
        <w:tc>
          <w:tcPr>
            <w:tcW w:w="6945" w:type="dxa"/>
            <w:tcBorders>
              <w:top w:val="single" w:sz="4" w:space="0" w:color="auto"/>
              <w:left w:val="single" w:sz="4" w:space="0" w:color="auto"/>
              <w:bottom w:val="single" w:sz="4" w:space="0" w:color="auto"/>
              <w:right w:val="single" w:sz="4" w:space="0" w:color="auto"/>
            </w:tcBorders>
            <w:hideMark/>
          </w:tcPr>
          <w:p w14:paraId="6F9D87C7" w14:textId="77777777" w:rsidR="005202F6" w:rsidRPr="005202F6" w:rsidRDefault="005202F6" w:rsidP="00494E3F">
            <w:pPr>
              <w:spacing w:line="360" w:lineRule="auto"/>
              <w:jc w:val="both"/>
              <w:rPr>
                <w:rFonts w:cs="Arial"/>
                <w:b/>
                <w:sz w:val="20"/>
                <w:szCs w:val="20"/>
                <w:lang w:val="en-US"/>
              </w:rPr>
            </w:pPr>
            <w:r w:rsidRPr="005202F6">
              <w:rPr>
                <w:rFonts w:cs="Arial"/>
                <w:b/>
                <w:sz w:val="20"/>
                <w:szCs w:val="20"/>
                <w:lang w:val="en-US"/>
              </w:rPr>
              <w:t>Description</w:t>
            </w:r>
          </w:p>
        </w:tc>
      </w:tr>
      <w:tr w:rsidR="005202F6" w14:paraId="4BEE1A74" w14:textId="77777777" w:rsidTr="00663EC2">
        <w:trPr>
          <w:trHeight w:val="263"/>
        </w:trPr>
        <w:tc>
          <w:tcPr>
            <w:tcW w:w="1525" w:type="dxa"/>
            <w:tcBorders>
              <w:top w:val="single" w:sz="4" w:space="0" w:color="auto"/>
              <w:left w:val="single" w:sz="4" w:space="0" w:color="auto"/>
              <w:bottom w:val="single" w:sz="4" w:space="0" w:color="auto"/>
              <w:right w:val="single" w:sz="4" w:space="0" w:color="auto"/>
            </w:tcBorders>
            <w:hideMark/>
          </w:tcPr>
          <w:p w14:paraId="79D8A979" w14:textId="77777777" w:rsidR="005202F6" w:rsidRPr="005202F6" w:rsidRDefault="005202F6" w:rsidP="00494E3F">
            <w:pPr>
              <w:spacing w:line="360" w:lineRule="auto"/>
              <w:jc w:val="both"/>
              <w:rPr>
                <w:rFonts w:cs="Arial"/>
                <w:b/>
                <w:sz w:val="20"/>
                <w:szCs w:val="20"/>
                <w:lang w:val="en-US"/>
              </w:rPr>
            </w:pPr>
            <w:r w:rsidRPr="005202F6">
              <w:rPr>
                <w:rFonts w:cs="Arial"/>
                <w:b/>
                <w:sz w:val="20"/>
                <w:szCs w:val="20"/>
                <w:lang w:val="en-US"/>
              </w:rPr>
              <w:t>Unrelated</w:t>
            </w:r>
          </w:p>
        </w:tc>
        <w:tc>
          <w:tcPr>
            <w:tcW w:w="6945" w:type="dxa"/>
            <w:tcBorders>
              <w:top w:val="single" w:sz="4" w:space="0" w:color="auto"/>
              <w:left w:val="single" w:sz="4" w:space="0" w:color="auto"/>
              <w:bottom w:val="single" w:sz="4" w:space="0" w:color="auto"/>
              <w:right w:val="single" w:sz="4" w:space="0" w:color="auto"/>
            </w:tcBorders>
            <w:hideMark/>
          </w:tcPr>
          <w:p w14:paraId="07EA8B49" w14:textId="6FFB1217" w:rsidR="005202F6" w:rsidRPr="005202F6" w:rsidRDefault="005202F6" w:rsidP="003247A0">
            <w:pPr>
              <w:spacing w:line="276" w:lineRule="auto"/>
              <w:jc w:val="both"/>
              <w:rPr>
                <w:rFonts w:cs="Arial"/>
                <w:sz w:val="20"/>
                <w:szCs w:val="20"/>
                <w:lang w:val="en-US"/>
              </w:rPr>
            </w:pPr>
            <w:r w:rsidRPr="005202F6">
              <w:rPr>
                <w:rFonts w:cs="Arial"/>
                <w:sz w:val="20"/>
                <w:szCs w:val="20"/>
                <w:lang w:val="en-US"/>
              </w:rPr>
              <w:t xml:space="preserve">There is no evidence of any causal relationship with the </w:t>
            </w:r>
            <w:r w:rsidR="003247A0">
              <w:rPr>
                <w:rFonts w:cs="Arial"/>
                <w:sz w:val="20"/>
                <w:szCs w:val="20"/>
                <w:lang w:val="en-US"/>
              </w:rPr>
              <w:t>trial</w:t>
            </w:r>
            <w:r w:rsidRPr="005202F6">
              <w:rPr>
                <w:rFonts w:cs="Arial"/>
                <w:sz w:val="20"/>
                <w:szCs w:val="20"/>
                <w:lang w:val="en-US"/>
              </w:rPr>
              <w:t xml:space="preserve"> </w:t>
            </w:r>
          </w:p>
        </w:tc>
      </w:tr>
      <w:tr w:rsidR="005202F6" w14:paraId="315C6B77" w14:textId="77777777" w:rsidTr="00663EC2">
        <w:trPr>
          <w:trHeight w:val="846"/>
        </w:trPr>
        <w:tc>
          <w:tcPr>
            <w:tcW w:w="1525" w:type="dxa"/>
            <w:tcBorders>
              <w:top w:val="single" w:sz="4" w:space="0" w:color="auto"/>
              <w:left w:val="single" w:sz="4" w:space="0" w:color="auto"/>
              <w:bottom w:val="single" w:sz="4" w:space="0" w:color="auto"/>
              <w:right w:val="single" w:sz="4" w:space="0" w:color="auto"/>
            </w:tcBorders>
            <w:hideMark/>
          </w:tcPr>
          <w:p w14:paraId="0879B10E" w14:textId="77777777" w:rsidR="005202F6" w:rsidRPr="005202F6" w:rsidRDefault="005202F6" w:rsidP="00494E3F">
            <w:pPr>
              <w:spacing w:line="360" w:lineRule="auto"/>
              <w:jc w:val="both"/>
              <w:rPr>
                <w:rFonts w:cs="Arial"/>
                <w:b/>
                <w:sz w:val="20"/>
                <w:szCs w:val="20"/>
                <w:lang w:val="en-US"/>
              </w:rPr>
            </w:pPr>
            <w:r w:rsidRPr="005202F6">
              <w:rPr>
                <w:rFonts w:cs="Arial"/>
                <w:b/>
                <w:sz w:val="20"/>
                <w:szCs w:val="20"/>
                <w:lang w:val="en-US"/>
              </w:rPr>
              <w:t>Unlikely</w:t>
            </w:r>
          </w:p>
        </w:tc>
        <w:tc>
          <w:tcPr>
            <w:tcW w:w="6945" w:type="dxa"/>
            <w:tcBorders>
              <w:top w:val="single" w:sz="4" w:space="0" w:color="auto"/>
              <w:left w:val="single" w:sz="4" w:space="0" w:color="auto"/>
              <w:bottom w:val="single" w:sz="4" w:space="0" w:color="auto"/>
              <w:right w:val="single" w:sz="4" w:space="0" w:color="auto"/>
            </w:tcBorders>
            <w:hideMark/>
          </w:tcPr>
          <w:p w14:paraId="3F8A228E" w14:textId="2BE43016" w:rsidR="005202F6" w:rsidRPr="005202F6" w:rsidRDefault="005202F6" w:rsidP="003247A0">
            <w:pPr>
              <w:spacing w:line="276" w:lineRule="auto"/>
              <w:jc w:val="both"/>
              <w:rPr>
                <w:rFonts w:cs="Arial"/>
                <w:sz w:val="20"/>
                <w:szCs w:val="20"/>
                <w:lang w:val="en-US"/>
              </w:rPr>
            </w:pPr>
            <w:r w:rsidRPr="005202F6">
              <w:rPr>
                <w:rFonts w:cs="Arial"/>
                <w:sz w:val="20"/>
                <w:szCs w:val="20"/>
                <w:lang w:val="en-US"/>
              </w:rPr>
              <w:t>There is little evidence to suggest there is a casual relationship (e.g. the event did not occur within a reasonable time after interv</w:t>
            </w:r>
            <w:r>
              <w:rPr>
                <w:rFonts w:cs="Arial"/>
                <w:sz w:val="20"/>
                <w:szCs w:val="20"/>
                <w:lang w:val="en-US"/>
              </w:rPr>
              <w:t xml:space="preserve">ention) with the </w:t>
            </w:r>
            <w:r w:rsidR="003247A0">
              <w:rPr>
                <w:rFonts w:cs="Arial"/>
                <w:sz w:val="20"/>
                <w:szCs w:val="20"/>
                <w:lang w:val="en-US"/>
              </w:rPr>
              <w:t>trial</w:t>
            </w:r>
            <w:r w:rsidRPr="005202F6">
              <w:rPr>
                <w:rFonts w:cs="Arial"/>
                <w:sz w:val="20"/>
                <w:szCs w:val="20"/>
                <w:lang w:val="en-US"/>
              </w:rPr>
              <w:t>. There is another reasonable</w:t>
            </w:r>
            <w:r>
              <w:rPr>
                <w:rFonts w:cs="Arial"/>
                <w:sz w:val="20"/>
                <w:szCs w:val="20"/>
                <w:lang w:val="en-US"/>
              </w:rPr>
              <w:t xml:space="preserve"> explanation for the event </w:t>
            </w:r>
            <w:r w:rsidRPr="00495069">
              <w:rPr>
                <w:rFonts w:cs="Arial"/>
                <w:sz w:val="20"/>
                <w:szCs w:val="20"/>
                <w:lang w:val="en-US"/>
              </w:rPr>
              <w:t>(e.g. known behavioral issues).</w:t>
            </w:r>
          </w:p>
        </w:tc>
      </w:tr>
      <w:tr w:rsidR="005202F6" w14:paraId="25C1118B" w14:textId="77777777" w:rsidTr="00663EC2">
        <w:trPr>
          <w:trHeight w:val="962"/>
        </w:trPr>
        <w:tc>
          <w:tcPr>
            <w:tcW w:w="1525" w:type="dxa"/>
            <w:tcBorders>
              <w:top w:val="single" w:sz="4" w:space="0" w:color="auto"/>
              <w:left w:val="single" w:sz="4" w:space="0" w:color="auto"/>
              <w:bottom w:val="single" w:sz="4" w:space="0" w:color="auto"/>
              <w:right w:val="single" w:sz="4" w:space="0" w:color="auto"/>
            </w:tcBorders>
            <w:hideMark/>
          </w:tcPr>
          <w:p w14:paraId="419391D1" w14:textId="77777777" w:rsidR="005202F6" w:rsidRPr="005202F6" w:rsidRDefault="005202F6" w:rsidP="00494E3F">
            <w:pPr>
              <w:spacing w:line="360" w:lineRule="auto"/>
              <w:jc w:val="both"/>
              <w:rPr>
                <w:rFonts w:cs="Arial"/>
                <w:b/>
                <w:sz w:val="20"/>
                <w:szCs w:val="20"/>
                <w:lang w:val="en-US"/>
              </w:rPr>
            </w:pPr>
            <w:r w:rsidRPr="005202F6">
              <w:rPr>
                <w:rFonts w:cs="Arial"/>
                <w:b/>
                <w:sz w:val="20"/>
                <w:szCs w:val="20"/>
                <w:lang w:val="en-US"/>
              </w:rPr>
              <w:t>Possible</w:t>
            </w:r>
          </w:p>
        </w:tc>
        <w:tc>
          <w:tcPr>
            <w:tcW w:w="6945" w:type="dxa"/>
            <w:tcBorders>
              <w:top w:val="single" w:sz="4" w:space="0" w:color="auto"/>
              <w:left w:val="single" w:sz="4" w:space="0" w:color="auto"/>
              <w:bottom w:val="single" w:sz="4" w:space="0" w:color="auto"/>
              <w:right w:val="single" w:sz="4" w:space="0" w:color="auto"/>
            </w:tcBorders>
            <w:hideMark/>
          </w:tcPr>
          <w:p w14:paraId="554DD3BE" w14:textId="29100965" w:rsidR="005202F6" w:rsidRPr="005202F6" w:rsidRDefault="005202F6" w:rsidP="003247A0">
            <w:pPr>
              <w:spacing w:line="276" w:lineRule="auto"/>
              <w:jc w:val="both"/>
              <w:rPr>
                <w:rFonts w:cs="Arial"/>
                <w:sz w:val="20"/>
                <w:szCs w:val="20"/>
                <w:lang w:val="en-US"/>
              </w:rPr>
            </w:pPr>
            <w:r w:rsidRPr="005202F6">
              <w:rPr>
                <w:rFonts w:cs="Arial"/>
                <w:sz w:val="20"/>
                <w:szCs w:val="20"/>
                <w:lang w:val="en-US"/>
              </w:rPr>
              <w:t xml:space="preserve">There is some evidence to suggest a causal relationship with the </w:t>
            </w:r>
            <w:r w:rsidR="003247A0">
              <w:rPr>
                <w:rFonts w:cs="Arial"/>
                <w:sz w:val="20"/>
                <w:szCs w:val="20"/>
                <w:lang w:val="en-US"/>
              </w:rPr>
              <w:t>trial</w:t>
            </w:r>
            <w:r w:rsidRPr="005202F6">
              <w:rPr>
                <w:rFonts w:cs="Arial"/>
                <w:sz w:val="20"/>
                <w:szCs w:val="20"/>
                <w:lang w:val="en-US"/>
              </w:rPr>
              <w:t xml:space="preserve"> (e.g. because the event occurs within a reasonable time after intervention). However, the influence of other factors may have contributed to the </w:t>
            </w:r>
            <w:r w:rsidRPr="00495069">
              <w:rPr>
                <w:rFonts w:cs="Arial"/>
                <w:sz w:val="20"/>
                <w:szCs w:val="20"/>
                <w:lang w:val="en-US"/>
              </w:rPr>
              <w:t>event (e.g. known behavioral issues).</w:t>
            </w:r>
          </w:p>
        </w:tc>
      </w:tr>
      <w:tr w:rsidR="005202F6" w14:paraId="3580C511" w14:textId="77777777" w:rsidTr="00663EC2">
        <w:trPr>
          <w:trHeight w:val="542"/>
        </w:trPr>
        <w:tc>
          <w:tcPr>
            <w:tcW w:w="1525" w:type="dxa"/>
            <w:tcBorders>
              <w:top w:val="single" w:sz="4" w:space="0" w:color="auto"/>
              <w:left w:val="single" w:sz="4" w:space="0" w:color="auto"/>
              <w:bottom w:val="single" w:sz="4" w:space="0" w:color="auto"/>
              <w:right w:val="single" w:sz="4" w:space="0" w:color="auto"/>
            </w:tcBorders>
            <w:hideMark/>
          </w:tcPr>
          <w:p w14:paraId="7ACABC16" w14:textId="77777777" w:rsidR="005202F6" w:rsidRPr="005202F6" w:rsidRDefault="005202F6" w:rsidP="00494E3F">
            <w:pPr>
              <w:spacing w:line="360" w:lineRule="auto"/>
              <w:jc w:val="both"/>
              <w:rPr>
                <w:rFonts w:cs="Arial"/>
                <w:b/>
                <w:sz w:val="20"/>
                <w:szCs w:val="20"/>
                <w:lang w:val="en-US"/>
              </w:rPr>
            </w:pPr>
            <w:r w:rsidRPr="005202F6">
              <w:rPr>
                <w:rFonts w:cs="Arial"/>
                <w:b/>
                <w:sz w:val="20"/>
                <w:szCs w:val="20"/>
                <w:lang w:val="en-US"/>
              </w:rPr>
              <w:t>Probable</w:t>
            </w:r>
          </w:p>
        </w:tc>
        <w:tc>
          <w:tcPr>
            <w:tcW w:w="6945" w:type="dxa"/>
            <w:tcBorders>
              <w:top w:val="single" w:sz="4" w:space="0" w:color="auto"/>
              <w:left w:val="single" w:sz="4" w:space="0" w:color="auto"/>
              <w:bottom w:val="single" w:sz="4" w:space="0" w:color="auto"/>
              <w:right w:val="single" w:sz="4" w:space="0" w:color="auto"/>
            </w:tcBorders>
            <w:hideMark/>
          </w:tcPr>
          <w:p w14:paraId="4E9E99D8" w14:textId="77777777" w:rsidR="005202F6" w:rsidRPr="005202F6" w:rsidRDefault="005202F6" w:rsidP="00494E3F">
            <w:pPr>
              <w:spacing w:line="276" w:lineRule="auto"/>
              <w:jc w:val="both"/>
              <w:rPr>
                <w:rFonts w:cs="Arial"/>
                <w:sz w:val="20"/>
                <w:szCs w:val="20"/>
                <w:lang w:val="en-US"/>
              </w:rPr>
            </w:pPr>
            <w:r w:rsidRPr="005202F6">
              <w:rPr>
                <w:rFonts w:cs="Arial"/>
                <w:sz w:val="20"/>
                <w:szCs w:val="20"/>
                <w:lang w:val="en-US"/>
              </w:rPr>
              <w:t>There is evidence to suggest a causal relationship and the influence of other factors is unlikely.</w:t>
            </w:r>
          </w:p>
        </w:tc>
      </w:tr>
      <w:tr w:rsidR="005202F6" w14:paraId="03697FD8" w14:textId="77777777" w:rsidTr="00663EC2">
        <w:trPr>
          <w:trHeight w:val="542"/>
        </w:trPr>
        <w:tc>
          <w:tcPr>
            <w:tcW w:w="1525" w:type="dxa"/>
            <w:tcBorders>
              <w:top w:val="single" w:sz="4" w:space="0" w:color="auto"/>
              <w:left w:val="single" w:sz="4" w:space="0" w:color="auto"/>
              <w:bottom w:val="single" w:sz="4" w:space="0" w:color="auto"/>
              <w:right w:val="single" w:sz="4" w:space="0" w:color="auto"/>
            </w:tcBorders>
            <w:hideMark/>
          </w:tcPr>
          <w:p w14:paraId="2814EF99" w14:textId="77777777" w:rsidR="005202F6" w:rsidRPr="005202F6" w:rsidRDefault="005202F6" w:rsidP="00494E3F">
            <w:pPr>
              <w:spacing w:line="360" w:lineRule="auto"/>
              <w:jc w:val="both"/>
              <w:rPr>
                <w:rFonts w:cs="Arial"/>
                <w:b/>
                <w:sz w:val="20"/>
                <w:szCs w:val="20"/>
                <w:lang w:val="en-US"/>
              </w:rPr>
            </w:pPr>
            <w:r w:rsidRPr="005202F6">
              <w:rPr>
                <w:rFonts w:cs="Arial"/>
                <w:b/>
                <w:sz w:val="20"/>
                <w:szCs w:val="20"/>
                <w:lang w:val="en-US"/>
              </w:rPr>
              <w:t>Definite</w:t>
            </w:r>
          </w:p>
        </w:tc>
        <w:tc>
          <w:tcPr>
            <w:tcW w:w="6945" w:type="dxa"/>
            <w:tcBorders>
              <w:top w:val="single" w:sz="4" w:space="0" w:color="auto"/>
              <w:left w:val="single" w:sz="4" w:space="0" w:color="auto"/>
              <w:bottom w:val="single" w:sz="4" w:space="0" w:color="auto"/>
              <w:right w:val="single" w:sz="4" w:space="0" w:color="auto"/>
            </w:tcBorders>
            <w:hideMark/>
          </w:tcPr>
          <w:p w14:paraId="463892EE" w14:textId="77777777" w:rsidR="005202F6" w:rsidRPr="005202F6" w:rsidRDefault="005202F6" w:rsidP="00494E3F">
            <w:pPr>
              <w:spacing w:line="276" w:lineRule="auto"/>
              <w:ind w:left="4"/>
              <w:jc w:val="both"/>
              <w:rPr>
                <w:rFonts w:cs="Arial"/>
                <w:sz w:val="20"/>
                <w:szCs w:val="20"/>
                <w:lang w:val="en-US"/>
              </w:rPr>
            </w:pPr>
            <w:r w:rsidRPr="005202F6">
              <w:rPr>
                <w:rFonts w:cs="Arial"/>
                <w:sz w:val="20"/>
                <w:szCs w:val="20"/>
                <w:lang w:val="en-US"/>
              </w:rPr>
              <w:t>There is clear evidence to suggest a causal relationship and other possible contributing factors can be ruled out.</w:t>
            </w:r>
          </w:p>
        </w:tc>
      </w:tr>
      <w:tr w:rsidR="005202F6" w14:paraId="4757B3F9" w14:textId="77777777" w:rsidTr="00663EC2">
        <w:trPr>
          <w:trHeight w:val="553"/>
        </w:trPr>
        <w:tc>
          <w:tcPr>
            <w:tcW w:w="1525" w:type="dxa"/>
            <w:tcBorders>
              <w:top w:val="single" w:sz="4" w:space="0" w:color="auto"/>
              <w:left w:val="single" w:sz="4" w:space="0" w:color="auto"/>
              <w:bottom w:val="single" w:sz="4" w:space="0" w:color="auto"/>
              <w:right w:val="single" w:sz="4" w:space="0" w:color="auto"/>
            </w:tcBorders>
            <w:hideMark/>
          </w:tcPr>
          <w:p w14:paraId="015A2A9C" w14:textId="77777777" w:rsidR="005202F6" w:rsidRPr="005202F6" w:rsidRDefault="005202F6" w:rsidP="00494E3F">
            <w:pPr>
              <w:spacing w:line="360" w:lineRule="auto"/>
              <w:jc w:val="both"/>
              <w:rPr>
                <w:rFonts w:cs="Arial"/>
                <w:b/>
                <w:sz w:val="20"/>
                <w:szCs w:val="20"/>
                <w:lang w:val="en-US"/>
              </w:rPr>
            </w:pPr>
            <w:r w:rsidRPr="005202F6">
              <w:rPr>
                <w:rFonts w:cs="Arial"/>
                <w:b/>
                <w:sz w:val="20"/>
                <w:szCs w:val="20"/>
                <w:lang w:val="en-US"/>
              </w:rPr>
              <w:lastRenderedPageBreak/>
              <w:t>Not assessable</w:t>
            </w:r>
          </w:p>
        </w:tc>
        <w:tc>
          <w:tcPr>
            <w:tcW w:w="6945" w:type="dxa"/>
            <w:tcBorders>
              <w:top w:val="single" w:sz="4" w:space="0" w:color="auto"/>
              <w:left w:val="single" w:sz="4" w:space="0" w:color="auto"/>
              <w:bottom w:val="single" w:sz="4" w:space="0" w:color="auto"/>
              <w:right w:val="single" w:sz="4" w:space="0" w:color="auto"/>
            </w:tcBorders>
            <w:hideMark/>
          </w:tcPr>
          <w:p w14:paraId="7B214B6E" w14:textId="77777777" w:rsidR="005202F6" w:rsidRPr="005202F6" w:rsidRDefault="005202F6" w:rsidP="00494E3F">
            <w:pPr>
              <w:spacing w:line="276" w:lineRule="auto"/>
              <w:jc w:val="both"/>
              <w:rPr>
                <w:rFonts w:cs="Arial"/>
                <w:sz w:val="20"/>
                <w:szCs w:val="20"/>
                <w:lang w:val="en-US"/>
              </w:rPr>
            </w:pPr>
            <w:r w:rsidRPr="005202F6">
              <w:rPr>
                <w:rFonts w:cs="Arial"/>
                <w:sz w:val="20"/>
                <w:szCs w:val="20"/>
                <w:lang w:val="en-US"/>
              </w:rPr>
              <w:t>There is insufficient or incomplete evidence to make a judgement of the causal relationship.</w:t>
            </w:r>
          </w:p>
        </w:tc>
      </w:tr>
    </w:tbl>
    <w:p w14:paraId="6C7DC2F0" w14:textId="77777777" w:rsidR="005202F6" w:rsidRDefault="005202F6" w:rsidP="009F1CAC">
      <w:pPr>
        <w:ind w:right="95"/>
        <w:jc w:val="both"/>
      </w:pPr>
    </w:p>
    <w:p w14:paraId="38C1A54E" w14:textId="504DC203" w:rsidR="00047C68" w:rsidRPr="00E61778" w:rsidRDefault="00851DFB" w:rsidP="00047C68">
      <w:pPr>
        <w:spacing w:after="200" w:line="276" w:lineRule="auto"/>
        <w:jc w:val="both"/>
        <w:rPr>
          <w:rFonts w:cs="Arial"/>
          <w:i/>
          <w:sz w:val="20"/>
          <w:szCs w:val="20"/>
        </w:rPr>
      </w:pPr>
      <w:r w:rsidRPr="00851DFB">
        <w:t>All</w:t>
      </w:r>
      <w:r w:rsidR="00C24386">
        <w:t xml:space="preserve"> </w:t>
      </w:r>
      <w:r w:rsidR="008C40D5">
        <w:t xml:space="preserve">reported </w:t>
      </w:r>
      <w:r w:rsidR="00C24386">
        <w:t>harm</w:t>
      </w:r>
      <w:r w:rsidR="008C40D5">
        <w:t>s</w:t>
      </w:r>
      <w:r w:rsidR="00C24386">
        <w:t>, for</w:t>
      </w:r>
      <w:r w:rsidRPr="00851DFB">
        <w:t xml:space="preserve"> </w:t>
      </w:r>
      <w:r w:rsidR="00C24386">
        <w:t xml:space="preserve">which causality is </w:t>
      </w:r>
      <w:r w:rsidRPr="00851DFB">
        <w:t xml:space="preserve">deemed </w:t>
      </w:r>
      <w:r w:rsidR="00C24386">
        <w:t>‘possible</w:t>
      </w:r>
      <w:r w:rsidR="00133BCF">
        <w:t>’ and above</w:t>
      </w:r>
      <w:r w:rsidR="00C24386">
        <w:t>,</w:t>
      </w:r>
      <w:r w:rsidR="005D5AAD">
        <w:t xml:space="preserve"> </w:t>
      </w:r>
      <w:r w:rsidRPr="00851DFB">
        <w:t xml:space="preserve">will be reported </w:t>
      </w:r>
      <w:r w:rsidR="00C24386">
        <w:t xml:space="preserve">in writing </w:t>
      </w:r>
      <w:r w:rsidRPr="00851DFB">
        <w:t xml:space="preserve">to the </w:t>
      </w:r>
      <w:r w:rsidR="007F3198">
        <w:t xml:space="preserve">STASH </w:t>
      </w:r>
      <w:r w:rsidR="00133BCF">
        <w:t>TSC</w:t>
      </w:r>
      <w:r w:rsidR="007F3198">
        <w:t xml:space="preserve"> </w:t>
      </w:r>
      <w:r w:rsidR="00C24386">
        <w:t xml:space="preserve">and </w:t>
      </w:r>
      <w:r w:rsidR="00133BCF">
        <w:t>the NIHR</w:t>
      </w:r>
      <w:r w:rsidRPr="00851DFB">
        <w:t xml:space="preserve"> within </w:t>
      </w:r>
      <w:r w:rsidR="00C24386" w:rsidRPr="00C24386">
        <w:t xml:space="preserve">15 days of the Research Team receiving </w:t>
      </w:r>
      <w:r w:rsidR="00C24386" w:rsidRPr="00047C68">
        <w:t>the initial report.</w:t>
      </w:r>
      <w:r w:rsidR="00047C68">
        <w:t xml:space="preserve"> Reporting should be made via the form in appendix 3</w:t>
      </w:r>
      <w:r w:rsidR="00C24386" w:rsidRPr="00047C68">
        <w:t xml:space="preserve"> </w:t>
      </w:r>
      <w:r w:rsidR="00047C68" w:rsidRPr="00047C68">
        <w:rPr>
          <w:rFonts w:cs="Arial"/>
        </w:rPr>
        <w:t xml:space="preserve">The threshold for informing the TSC is set at low. The chair will circulate with rest of group if necessary. If the chair is away, the PI should inform the designated representative (DG). </w:t>
      </w:r>
    </w:p>
    <w:p w14:paraId="6DBBB5F5" w14:textId="65F95643" w:rsidR="00851DFB" w:rsidRDefault="00A0201C" w:rsidP="009F1CAC">
      <w:pPr>
        <w:ind w:right="95"/>
        <w:jc w:val="both"/>
      </w:pPr>
      <w:r>
        <w:t>A</w:t>
      </w:r>
      <w:r w:rsidR="003A63F1">
        <w:t xml:space="preserve"> </w:t>
      </w:r>
      <w:r w:rsidR="001257F8">
        <w:t>harm</w:t>
      </w:r>
      <w:r w:rsidR="003A63F1">
        <w:t xml:space="preserve"> </w:t>
      </w:r>
      <w:r>
        <w:t xml:space="preserve">which is deemed </w:t>
      </w:r>
      <w:r w:rsidR="0078301C">
        <w:t>‘</w:t>
      </w:r>
      <w:r w:rsidR="00C24386">
        <w:t>unrelated</w:t>
      </w:r>
      <w:r w:rsidR="0078301C">
        <w:t>’</w:t>
      </w:r>
      <w:r w:rsidR="00C24386">
        <w:t xml:space="preserve"> or </w:t>
      </w:r>
      <w:r w:rsidR="0078301C">
        <w:t>‘</w:t>
      </w:r>
      <w:r w:rsidR="00C24386">
        <w:t xml:space="preserve">unlikely </w:t>
      </w:r>
      <w:r>
        <w:t>to be related</w:t>
      </w:r>
      <w:r w:rsidR="0078301C">
        <w:t>’</w:t>
      </w:r>
      <w:r>
        <w:t xml:space="preserve"> to the </w:t>
      </w:r>
      <w:r w:rsidR="003247A0">
        <w:t>trial</w:t>
      </w:r>
      <w:r>
        <w:t xml:space="preserve"> will be reported to the TSC at the next scheduled meeting.</w:t>
      </w:r>
      <w:r w:rsidR="006C0CD8">
        <w:t xml:space="preserve"> Regardless of attribution, harms will be reported immediately to the </w:t>
      </w:r>
      <w:r w:rsidR="0078301C">
        <w:t>STASH C</w:t>
      </w:r>
      <w:r w:rsidR="003247A0">
        <w:t>ontact Teacher</w:t>
      </w:r>
      <w:r w:rsidR="006C0CD8">
        <w:t xml:space="preserve"> and handled via school procedures</w:t>
      </w:r>
      <w:r w:rsidR="0080516A">
        <w:t xml:space="preserve"> (see Appendix 1</w:t>
      </w:r>
      <w:r w:rsidR="0078301C">
        <w:t xml:space="preserve"> and </w:t>
      </w:r>
      <w:r w:rsidR="0078301C" w:rsidRPr="0078301C">
        <w:t>‘STASH Procedures: Reporting of child protection concerns in SCHOOLS’</w:t>
      </w:r>
      <w:r w:rsidR="0080516A">
        <w:t>)</w:t>
      </w:r>
      <w:r w:rsidR="006C0CD8">
        <w:t xml:space="preserve">. </w:t>
      </w:r>
      <w:r w:rsidR="007F3198" w:rsidRPr="007F3198">
        <w:t xml:space="preserve"> </w:t>
      </w:r>
    </w:p>
    <w:p w14:paraId="70F822B5" w14:textId="77777777" w:rsidR="00F93E4D" w:rsidRDefault="00F93E4D" w:rsidP="009F1CAC">
      <w:pPr>
        <w:ind w:right="95"/>
        <w:jc w:val="both"/>
        <w:rPr>
          <w:b/>
        </w:rPr>
      </w:pPr>
    </w:p>
    <w:p w14:paraId="2073B6D3" w14:textId="724F9F05" w:rsidR="00E00A2A" w:rsidRPr="0078301C" w:rsidRDefault="0078301C" w:rsidP="009F1CAC">
      <w:pPr>
        <w:ind w:right="95"/>
        <w:jc w:val="both"/>
        <w:rPr>
          <w:i/>
        </w:rPr>
      </w:pPr>
      <w:r>
        <w:rPr>
          <w:i/>
        </w:rPr>
        <w:t>4</w:t>
      </w:r>
      <w:r w:rsidR="007C0560" w:rsidRPr="0078301C">
        <w:rPr>
          <w:i/>
        </w:rPr>
        <w:t>.2</w:t>
      </w:r>
      <w:r w:rsidR="00926FA8" w:rsidRPr="0078301C">
        <w:rPr>
          <w:i/>
        </w:rPr>
        <w:t xml:space="preserve"> Reporting of </w:t>
      </w:r>
      <w:r>
        <w:rPr>
          <w:i/>
        </w:rPr>
        <w:t xml:space="preserve">sensitive </w:t>
      </w:r>
      <w:r w:rsidR="00926FA8" w:rsidRPr="0078301C">
        <w:rPr>
          <w:i/>
        </w:rPr>
        <w:t xml:space="preserve">disclosures </w:t>
      </w:r>
      <w:r>
        <w:rPr>
          <w:i/>
        </w:rPr>
        <w:t>and potential child protection (safeguarding) issues</w:t>
      </w:r>
      <w:r w:rsidR="003B47C7" w:rsidRPr="0078301C">
        <w:rPr>
          <w:i/>
        </w:rPr>
        <w:t xml:space="preserve"> </w:t>
      </w:r>
      <w:r w:rsidR="00926FA8" w:rsidRPr="0078301C">
        <w:rPr>
          <w:i/>
        </w:rPr>
        <w:t xml:space="preserve">to </w:t>
      </w:r>
      <w:r w:rsidR="00F93E4D" w:rsidRPr="0078301C">
        <w:rPr>
          <w:i/>
        </w:rPr>
        <w:t>Peer Supporter</w:t>
      </w:r>
      <w:r w:rsidR="00926FA8" w:rsidRPr="0078301C">
        <w:rPr>
          <w:i/>
        </w:rPr>
        <w:t xml:space="preserve">s </w:t>
      </w:r>
      <w:r>
        <w:rPr>
          <w:i/>
        </w:rPr>
        <w:t>during STASH trial</w:t>
      </w:r>
      <w:r w:rsidR="00926FA8" w:rsidRPr="0078301C">
        <w:rPr>
          <w:i/>
        </w:rPr>
        <w:t xml:space="preserve"> </w:t>
      </w:r>
    </w:p>
    <w:p w14:paraId="2301F7EA" w14:textId="77777777" w:rsidR="0078301C" w:rsidRPr="0078301C" w:rsidRDefault="0078301C" w:rsidP="0078301C">
      <w:pPr>
        <w:ind w:right="95"/>
        <w:jc w:val="both"/>
        <w:rPr>
          <w:rFonts w:cs="Arial"/>
          <w:bCs/>
        </w:rPr>
      </w:pPr>
      <w:r w:rsidRPr="0078301C">
        <w:rPr>
          <w:rFonts w:cs="Arial"/>
          <w:bCs/>
        </w:rPr>
        <w:t xml:space="preserve">Appropriate responses to sensitive disclosures and procedures for reporting potential child protection issues are explained – and their importance emphasised – during the two-day Peer Supporter training. In particular, Peer Supporters will be advised on how to respond to sensitive information shared by peers (including respecting privacy), and when to share these with the STASH Contact Teacher/DMS. </w:t>
      </w:r>
    </w:p>
    <w:p w14:paraId="1D9086AE" w14:textId="33EFE135" w:rsidR="0078301C" w:rsidRPr="0078301C" w:rsidRDefault="0078301C" w:rsidP="0078301C">
      <w:pPr>
        <w:ind w:right="95"/>
        <w:jc w:val="both"/>
        <w:rPr>
          <w:rFonts w:cs="Arial"/>
          <w:bCs/>
        </w:rPr>
      </w:pPr>
      <w:r w:rsidRPr="0078301C">
        <w:rPr>
          <w:rFonts w:cs="Arial"/>
          <w:bCs/>
        </w:rPr>
        <w:t>Peer Supporters are given guidance on how to identify sensitive disclosures and potential CP issues, and when and how to report these incidents to the Trainer or Contact Teacher/DMS. The expectation is made clear to young people acting as Peer Supporters that any disclosures about which they feel worried or uncomfortable should be reported without delay to the Contact Teacher/DMS. Schools have in place procedures for handling disclosures relating to child protection (see Appendix 1), which should then be followed as normal. Peer Supporters are advised that they may also contact the STASH trainer via Faceboo</w:t>
      </w:r>
      <w:r>
        <w:rPr>
          <w:rFonts w:cs="Arial"/>
          <w:bCs/>
        </w:rPr>
        <w:t>k, if they wish (see below)</w:t>
      </w:r>
      <w:r w:rsidRPr="0078301C">
        <w:rPr>
          <w:rFonts w:cs="Arial"/>
          <w:bCs/>
        </w:rPr>
        <w:t xml:space="preserve">. </w:t>
      </w:r>
    </w:p>
    <w:p w14:paraId="4C8B7D4E" w14:textId="31DB9772" w:rsidR="0078301C" w:rsidRPr="0078301C" w:rsidRDefault="0078301C" w:rsidP="0078301C">
      <w:pPr>
        <w:ind w:right="95"/>
        <w:jc w:val="both"/>
        <w:rPr>
          <w:rFonts w:cs="Arial"/>
          <w:bCs/>
        </w:rPr>
      </w:pPr>
      <w:r w:rsidRPr="0078301C">
        <w:rPr>
          <w:rFonts w:cs="Arial"/>
          <w:bCs/>
        </w:rPr>
        <w:t>It is possible that students might make other disclosures to Peer Supporters in the trial period which do not constitute a child protection issue, but which are nonetheless experienced as concerning by either party. During training, Peer Supporters are advised to act only within their comfort level, and are not to provide support beyond what they would normally offer to a friend. We recognise that the capacity of minors to make appropriate decisions around their own safety is a contested issue. STASH Peer Supporters will be strongly encouraged to refer other students to appropriate sources of adult help, and are provided in their training with detailed guidance on when to refer and to whom</w:t>
      </w:r>
      <w:r w:rsidR="00E62A4B">
        <w:rPr>
          <w:rFonts w:cs="Arial"/>
          <w:bCs/>
        </w:rPr>
        <w:t xml:space="preserve"> (usually the Contact Teacher/DMS)</w:t>
      </w:r>
      <w:r w:rsidRPr="0078301C">
        <w:rPr>
          <w:rFonts w:cs="Arial"/>
          <w:bCs/>
        </w:rPr>
        <w:t>. These will be established at the initial Peer Supporter training and maintained throughout the trial, via the regular follow-up</w:t>
      </w:r>
      <w:r w:rsidR="00047C68">
        <w:rPr>
          <w:rFonts w:cs="Arial"/>
          <w:bCs/>
        </w:rPr>
        <w:t xml:space="preserve"> sessions led by STASH Trainers</w:t>
      </w:r>
      <w:r w:rsidRPr="0078301C">
        <w:rPr>
          <w:rFonts w:cs="Arial"/>
          <w:bCs/>
        </w:rPr>
        <w:t>.</w:t>
      </w:r>
    </w:p>
    <w:p w14:paraId="01E83D7A" w14:textId="071ECE66" w:rsidR="00BE41B2" w:rsidRDefault="00BE41B2" w:rsidP="009F1CAC">
      <w:pPr>
        <w:ind w:right="95"/>
        <w:jc w:val="both"/>
        <w:rPr>
          <w:i/>
        </w:rPr>
      </w:pPr>
      <w:r w:rsidRPr="00BE41B2">
        <w:rPr>
          <w:i/>
        </w:rPr>
        <w:t>4</w:t>
      </w:r>
      <w:r w:rsidR="00FE3A5F" w:rsidRPr="00BE41B2">
        <w:rPr>
          <w:i/>
        </w:rPr>
        <w:t>.3</w:t>
      </w:r>
      <w:r w:rsidR="00926FA8" w:rsidRPr="00BE41B2">
        <w:rPr>
          <w:i/>
        </w:rPr>
        <w:t xml:space="preserve"> Disclosures </w:t>
      </w:r>
      <w:r w:rsidR="00FE3A5F" w:rsidRPr="00BE41B2">
        <w:rPr>
          <w:i/>
        </w:rPr>
        <w:t xml:space="preserve">of harm </w:t>
      </w:r>
      <w:r w:rsidR="00926FA8" w:rsidRPr="00BE41B2">
        <w:rPr>
          <w:i/>
        </w:rPr>
        <w:t xml:space="preserve">to Research Team </w:t>
      </w:r>
      <w:r w:rsidR="00CE0F1D" w:rsidRPr="00BE41B2">
        <w:rPr>
          <w:i/>
        </w:rPr>
        <w:t>and/or STASH trainers</w:t>
      </w:r>
    </w:p>
    <w:p w14:paraId="37081352" w14:textId="064D0315" w:rsidR="0005793D" w:rsidRDefault="00F168D6" w:rsidP="009F1CAC">
      <w:pPr>
        <w:ind w:right="95"/>
        <w:jc w:val="both"/>
      </w:pPr>
      <w:r>
        <w:t xml:space="preserve">The </w:t>
      </w:r>
      <w:r w:rsidR="0005793D">
        <w:t>role of the Research Team and STASH trainers includes: having awarene</w:t>
      </w:r>
      <w:r w:rsidR="0080516A">
        <w:t>ss of relevant child protection/</w:t>
      </w:r>
      <w:r w:rsidR="0005793D">
        <w:t>safeguarding procedures; recognising indicators of abuse; recording and passing on relevant information</w:t>
      </w:r>
      <w:r w:rsidR="0080516A">
        <w:t xml:space="preserve"> without delay</w:t>
      </w:r>
      <w:r w:rsidR="0005793D">
        <w:t>; consultation with an appropriate person</w:t>
      </w:r>
      <w:r w:rsidR="00FE3A5F">
        <w:t xml:space="preserve">. Procedures for referral </w:t>
      </w:r>
      <w:r w:rsidR="0080516A">
        <w:t xml:space="preserve">follow school procedures </w:t>
      </w:r>
      <w:r w:rsidR="00FE3A5F">
        <w:t xml:space="preserve">(see </w:t>
      </w:r>
      <w:r w:rsidR="00F93E4D">
        <w:t>Appendix</w:t>
      </w:r>
      <w:r w:rsidR="00FE3A5F">
        <w:t xml:space="preserve"> 1) and </w:t>
      </w:r>
      <w:r w:rsidR="0080516A" w:rsidRPr="0080516A">
        <w:t>relevant national guidance</w:t>
      </w:r>
      <w:r w:rsidR="00FE3A5F">
        <w:t xml:space="preserve">. </w:t>
      </w:r>
    </w:p>
    <w:p w14:paraId="41E536DD" w14:textId="74E4CFA4" w:rsidR="00E62A4B" w:rsidRDefault="00E62A4B" w:rsidP="009F1CAC">
      <w:pPr>
        <w:ind w:right="95"/>
        <w:jc w:val="both"/>
      </w:pPr>
      <w:r w:rsidRPr="0078301C">
        <w:rPr>
          <w:rFonts w:cs="Arial"/>
          <w:bCs/>
        </w:rPr>
        <w:lastRenderedPageBreak/>
        <w:t xml:space="preserve">In the course of the </w:t>
      </w:r>
      <w:r>
        <w:rPr>
          <w:rFonts w:cs="Arial"/>
          <w:bCs/>
        </w:rPr>
        <w:t>process</w:t>
      </w:r>
      <w:r w:rsidRPr="0078301C">
        <w:rPr>
          <w:rFonts w:cs="Arial"/>
          <w:bCs/>
        </w:rPr>
        <w:t xml:space="preserve"> evaluation, all S4 participants will also be asked whether they perceived any negative untoward incidents resulting from the trial.</w:t>
      </w:r>
      <w:r>
        <w:rPr>
          <w:rFonts w:cs="Arial"/>
          <w:bCs/>
        </w:rPr>
        <w:t xml:space="preserve"> </w:t>
      </w:r>
      <w:r w:rsidR="0005793D">
        <w:t xml:space="preserve">The </w:t>
      </w:r>
      <w:r w:rsidR="00926FA8">
        <w:t>Research Team</w:t>
      </w:r>
      <w:r w:rsidR="00CE0F1D">
        <w:t xml:space="preserve"> and STASH Trainers</w:t>
      </w:r>
      <w:r w:rsidR="00926FA8" w:rsidRPr="00926FA8">
        <w:t xml:space="preserve"> wi</w:t>
      </w:r>
      <w:r w:rsidR="00926FA8">
        <w:t>ll only break confidentiality where</w:t>
      </w:r>
      <w:r w:rsidR="00CE0F1D">
        <w:t xml:space="preserve"> a disclosure during </w:t>
      </w:r>
      <w:r w:rsidR="0080516A">
        <w:t xml:space="preserve">Peer Supporter </w:t>
      </w:r>
      <w:r w:rsidR="00CE0F1D">
        <w:t xml:space="preserve">training or evaluation fieldwork </w:t>
      </w:r>
      <w:r w:rsidR="0080516A">
        <w:t xml:space="preserve">(group discussions, paired interviews) </w:t>
      </w:r>
      <w:r w:rsidR="00926FA8" w:rsidRPr="00926FA8">
        <w:t xml:space="preserve">suggests that </w:t>
      </w:r>
      <w:r w:rsidR="00CE0F1D">
        <w:t>a young person</w:t>
      </w:r>
      <w:r w:rsidR="00926FA8" w:rsidRPr="00926FA8">
        <w:t xml:space="preserve"> might be at risk </w:t>
      </w:r>
      <w:r w:rsidR="0080516A">
        <w:t>or pose a risk to</w:t>
      </w:r>
      <w:r w:rsidR="00926FA8" w:rsidRPr="00926FA8">
        <w:t xml:space="preserve"> others</w:t>
      </w:r>
      <w:r w:rsidR="00926FA8">
        <w:t xml:space="preserve"> (see </w:t>
      </w:r>
      <w:r w:rsidR="00F93E4D">
        <w:t>Appendix</w:t>
      </w:r>
      <w:r w:rsidR="00926FA8">
        <w:t xml:space="preserve"> 1)</w:t>
      </w:r>
      <w:r w:rsidR="00926FA8" w:rsidRPr="00926FA8">
        <w:t xml:space="preserve">. We will work </w:t>
      </w:r>
      <w:r w:rsidR="00926FA8">
        <w:t>closely with the school (</w:t>
      </w:r>
      <w:r w:rsidR="00495069">
        <w:t xml:space="preserve">via the </w:t>
      </w:r>
      <w:r w:rsidR="0080516A">
        <w:t>Contact Teacher</w:t>
      </w:r>
      <w:r w:rsidR="00926FA8">
        <w:t xml:space="preserve">) to ensure that any relevant information is shared. </w:t>
      </w:r>
    </w:p>
    <w:p w14:paraId="4C4EDFD4" w14:textId="3451D63E" w:rsidR="00BE41B2" w:rsidRPr="00BE41B2" w:rsidRDefault="00BE41B2" w:rsidP="009F1CAC">
      <w:pPr>
        <w:ind w:right="95"/>
        <w:jc w:val="both"/>
        <w:rPr>
          <w:i/>
        </w:rPr>
      </w:pPr>
      <w:r w:rsidRPr="00BE41B2">
        <w:rPr>
          <w:i/>
        </w:rPr>
        <w:t>4.4 Referral for sexual health advice</w:t>
      </w:r>
    </w:p>
    <w:p w14:paraId="372DB517" w14:textId="06DEF1F1" w:rsidR="00926FA8" w:rsidRPr="00926FA8" w:rsidRDefault="00BE41B2" w:rsidP="009F1CAC">
      <w:pPr>
        <w:ind w:right="95"/>
        <w:jc w:val="both"/>
      </w:pPr>
      <w:r>
        <w:t>The Research Team</w:t>
      </w:r>
      <w:r w:rsidR="00926FA8">
        <w:t xml:space="preserve"> will also work with</w:t>
      </w:r>
      <w:r w:rsidR="00926FA8" w:rsidRPr="00926FA8">
        <w:t xml:space="preserve"> local </w:t>
      </w:r>
      <w:r w:rsidR="00926FA8">
        <w:t xml:space="preserve">young people’s </w:t>
      </w:r>
      <w:r w:rsidR="00926FA8" w:rsidRPr="00926FA8">
        <w:t>sexual health services</w:t>
      </w:r>
      <w:r w:rsidR="0080516A">
        <w:t>,</w:t>
      </w:r>
      <w:r w:rsidR="00926FA8">
        <w:t xml:space="preserve"> school nurses</w:t>
      </w:r>
      <w:r w:rsidR="0080516A">
        <w:t>/sexual health drop-in services,</w:t>
      </w:r>
      <w:r w:rsidR="00926FA8">
        <w:t xml:space="preserve"> </w:t>
      </w:r>
      <w:r w:rsidR="00926FA8" w:rsidRPr="00926FA8">
        <w:t xml:space="preserve">and youth organisations to </w:t>
      </w:r>
      <w:r w:rsidR="00926FA8">
        <w:t>ensure appropriate</w:t>
      </w:r>
      <w:r w:rsidR="00926FA8" w:rsidRPr="00926FA8">
        <w:t xml:space="preserve"> referral for young people requesting help with personal issues related to their sexual health</w:t>
      </w:r>
      <w:r w:rsidR="00926FA8">
        <w:t>. Every member of the Research Team</w:t>
      </w:r>
      <w:r w:rsidR="00926FA8" w:rsidRPr="00926FA8">
        <w:t xml:space="preserve"> will </w:t>
      </w:r>
      <w:r w:rsidR="00926FA8">
        <w:t>be provided with</w:t>
      </w:r>
      <w:r w:rsidR="00926FA8" w:rsidRPr="00926FA8">
        <w:t xml:space="preserve"> </w:t>
      </w:r>
      <w:r w:rsidR="00926FA8">
        <w:t>relevant contact details</w:t>
      </w:r>
      <w:r w:rsidR="00926FA8" w:rsidRPr="00926FA8">
        <w:t xml:space="preserve"> for local services</w:t>
      </w:r>
      <w:r w:rsidR="00926FA8">
        <w:t>, which they</w:t>
      </w:r>
      <w:r w:rsidR="00926FA8" w:rsidRPr="00926FA8">
        <w:t xml:space="preserve"> </w:t>
      </w:r>
      <w:r w:rsidR="00926FA8">
        <w:t>can provide to</w:t>
      </w:r>
      <w:r w:rsidR="00926FA8" w:rsidRPr="00926FA8">
        <w:t xml:space="preserve"> students as appropriate.</w:t>
      </w:r>
      <w:r w:rsidR="00926FA8">
        <w:t xml:space="preserve"> </w:t>
      </w:r>
      <w:r w:rsidR="0080516A">
        <w:t xml:space="preserve">Local sexual health services will be invited to attend Peer Supporter training and/or follow-up sessions, in order to consolidate pathways to support. </w:t>
      </w:r>
    </w:p>
    <w:p w14:paraId="20B5D0DC" w14:textId="1E70749A" w:rsidR="00E00A2A" w:rsidRDefault="00E00A2A" w:rsidP="009F1CAC">
      <w:pPr>
        <w:ind w:right="95"/>
        <w:jc w:val="both"/>
      </w:pPr>
    </w:p>
    <w:p w14:paraId="12398C9B" w14:textId="77777777" w:rsidR="00E00A2A" w:rsidRDefault="00E00A2A" w:rsidP="009F1CAC">
      <w:pPr>
        <w:ind w:right="95"/>
        <w:jc w:val="both"/>
      </w:pPr>
    </w:p>
    <w:p w14:paraId="66474B11" w14:textId="77777777" w:rsidR="00B9449E" w:rsidRDefault="00B9449E">
      <w:pPr>
        <w:rPr>
          <w:b/>
        </w:rPr>
      </w:pPr>
      <w:r>
        <w:rPr>
          <w:b/>
        </w:rPr>
        <w:br w:type="page"/>
      </w:r>
    </w:p>
    <w:p w14:paraId="44D3C284" w14:textId="57E77A2F" w:rsidR="00E00A2A" w:rsidRDefault="00F93E4D" w:rsidP="009F1CAC">
      <w:pPr>
        <w:ind w:right="95"/>
        <w:jc w:val="both"/>
        <w:rPr>
          <w:b/>
        </w:rPr>
      </w:pPr>
      <w:r w:rsidRPr="00F93E4D">
        <w:rPr>
          <w:b/>
        </w:rPr>
        <w:lastRenderedPageBreak/>
        <w:t>Appendix</w:t>
      </w:r>
      <w:r w:rsidR="00E00A2A" w:rsidRPr="00F93E4D">
        <w:rPr>
          <w:b/>
        </w:rPr>
        <w:t xml:space="preserve"> 1. </w:t>
      </w:r>
    </w:p>
    <w:p w14:paraId="05D86EE0" w14:textId="77777777" w:rsidR="003247A0" w:rsidRDefault="003247A0" w:rsidP="009F1CAC">
      <w:pPr>
        <w:ind w:right="95"/>
        <w:jc w:val="both"/>
        <w:rPr>
          <w:b/>
        </w:rPr>
      </w:pPr>
    </w:p>
    <w:p w14:paraId="5956C83C" w14:textId="5A1E9377" w:rsidR="002152B5" w:rsidRDefault="00AA353B" w:rsidP="002152B5">
      <w:pPr>
        <w:ind w:left="720" w:right="1229"/>
        <w:jc w:val="both"/>
        <w:rPr>
          <w:b/>
        </w:rPr>
      </w:pPr>
      <w:r>
        <w:rPr>
          <w:b/>
        </w:rPr>
        <w:t>AA</w:t>
      </w:r>
      <w:r w:rsidR="002152B5" w:rsidRPr="002152B5">
        <w:rPr>
          <w:b/>
        </w:rPr>
        <w:t xml:space="preserve"> (PILOT SCHOOL) CHILD PROTECTION PROCEDURES </w:t>
      </w:r>
    </w:p>
    <w:p w14:paraId="5B223C6C" w14:textId="77777777" w:rsidR="003247A0" w:rsidRPr="002152B5" w:rsidRDefault="003247A0" w:rsidP="002152B5">
      <w:pPr>
        <w:ind w:left="720" w:right="1229"/>
        <w:jc w:val="both"/>
        <w:rPr>
          <w:b/>
        </w:rPr>
      </w:pPr>
    </w:p>
    <w:p w14:paraId="714C8434" w14:textId="5CA713FA" w:rsidR="002152B5" w:rsidRDefault="002152B5" w:rsidP="002152B5">
      <w:pPr>
        <w:ind w:left="720" w:right="1229"/>
        <w:jc w:val="both"/>
      </w:pPr>
      <w:r>
        <w:t xml:space="preserve">All members of staff have the responsibility to follow Edinburgh and Lothians Inter-Agency Child Protection Procedures. Copies of the procedures are held in the school office. </w:t>
      </w:r>
    </w:p>
    <w:p w14:paraId="4685B3C1" w14:textId="2758E655" w:rsidR="002152B5" w:rsidRDefault="002152B5" w:rsidP="002152B5">
      <w:pPr>
        <w:ind w:left="720" w:right="1229"/>
        <w:jc w:val="both"/>
      </w:pPr>
      <w:r>
        <w:t xml:space="preserve">The designated members of staff for Child Protection are: </w:t>
      </w:r>
    </w:p>
    <w:p w14:paraId="4CC91EB4" w14:textId="77777777" w:rsidR="007D62C0" w:rsidRDefault="007D62C0" w:rsidP="007D62C0">
      <w:pPr>
        <w:ind w:left="720" w:right="1229"/>
        <w:jc w:val="both"/>
        <w:rPr>
          <w:rFonts w:ascii="Calibri" w:eastAsia="Calibri" w:hAnsi="Calibri" w:cs="Times New Roman"/>
          <w:b/>
        </w:rPr>
      </w:pPr>
      <w:r>
        <w:rPr>
          <w:rFonts w:ascii="Calibri" w:eastAsia="Calibri" w:hAnsi="Calibri" w:cs="Times New Roman"/>
          <w:b/>
        </w:rPr>
        <w:t>*LIST OF TEACHERS WITH RESPONSIBILITY FOR CHILD PROTECTION*</w:t>
      </w:r>
    </w:p>
    <w:p w14:paraId="188905DA" w14:textId="7ED7928A" w:rsidR="002152B5" w:rsidRDefault="002152B5" w:rsidP="002152B5">
      <w:pPr>
        <w:ind w:left="720" w:right="1229"/>
        <w:jc w:val="both"/>
      </w:pPr>
      <w:r>
        <w:t xml:space="preserve">Action procedures for managing a disclosure are in the Child Protection Policy and E&amp;L Inter-Agency Procedures. </w:t>
      </w:r>
    </w:p>
    <w:p w14:paraId="64D64D0C" w14:textId="762E2AC5" w:rsidR="002152B5" w:rsidRDefault="002152B5" w:rsidP="002152B5">
      <w:pPr>
        <w:ind w:left="720" w:right="1229"/>
        <w:jc w:val="both"/>
      </w:pPr>
      <w:r>
        <w:t xml:space="preserve">Remember: </w:t>
      </w:r>
    </w:p>
    <w:p w14:paraId="0C56BA1A" w14:textId="15889EA2" w:rsidR="002152B5" w:rsidRDefault="002152B5" w:rsidP="002152B5">
      <w:pPr>
        <w:ind w:left="720" w:right="1229"/>
        <w:jc w:val="both"/>
      </w:pPr>
      <w:r>
        <w:t xml:space="preserve">When faced with a disclosure or concern – </w:t>
      </w:r>
    </w:p>
    <w:p w14:paraId="642BB1AA" w14:textId="1991D109" w:rsidR="002152B5" w:rsidRDefault="002152B5" w:rsidP="002152B5">
      <w:pPr>
        <w:ind w:left="720" w:right="1229"/>
        <w:jc w:val="both"/>
      </w:pPr>
      <w:r>
        <w:t>Do not guarantee confidentiality</w:t>
      </w:r>
    </w:p>
    <w:p w14:paraId="049D1741" w14:textId="334B12B8" w:rsidR="002152B5" w:rsidRDefault="002152B5" w:rsidP="002152B5">
      <w:pPr>
        <w:ind w:left="720" w:right="1229"/>
        <w:jc w:val="both"/>
      </w:pPr>
      <w:r>
        <w:t>Be receptive and reassuring</w:t>
      </w:r>
    </w:p>
    <w:p w14:paraId="0A0D177F" w14:textId="54360A1F" w:rsidR="002152B5" w:rsidRDefault="002152B5" w:rsidP="002152B5">
      <w:pPr>
        <w:ind w:left="720" w:right="1229"/>
        <w:jc w:val="both"/>
      </w:pPr>
      <w:r>
        <w:t>A signed, hand-written record of concerns noting the date and time when the matter was passed to DMS</w:t>
      </w:r>
    </w:p>
    <w:p w14:paraId="1550B4D5" w14:textId="056B9939" w:rsidR="002152B5" w:rsidRDefault="002152B5" w:rsidP="002152B5">
      <w:pPr>
        <w:ind w:left="720" w:right="1229"/>
        <w:jc w:val="both"/>
      </w:pPr>
      <w:r>
        <w:t>Share your concern with the DMS on the same day</w:t>
      </w:r>
    </w:p>
    <w:p w14:paraId="780EC7AC" w14:textId="77777777" w:rsidR="002152B5" w:rsidRDefault="002152B5" w:rsidP="002152B5">
      <w:pPr>
        <w:ind w:left="720" w:right="1229"/>
        <w:jc w:val="both"/>
      </w:pPr>
      <w:r>
        <w:t xml:space="preserve">Where DMS is unavailable, you must not delay, but make a referral immediately to one of the Core Agencies: </w:t>
      </w:r>
    </w:p>
    <w:p w14:paraId="0AD68820" w14:textId="77777777" w:rsidR="007D62C0" w:rsidRPr="007D62C0" w:rsidRDefault="007D62C0" w:rsidP="007D62C0">
      <w:pPr>
        <w:ind w:left="720" w:right="1229" w:firstLine="720"/>
        <w:jc w:val="both"/>
        <w:rPr>
          <w:rFonts w:ascii="Calibri" w:eastAsia="Calibri" w:hAnsi="Calibri" w:cs="Times New Roman"/>
          <w:b/>
        </w:rPr>
      </w:pPr>
      <w:r w:rsidRPr="007D62C0">
        <w:rPr>
          <w:rFonts w:ascii="Calibri" w:eastAsia="Calibri" w:hAnsi="Calibri" w:cs="Times New Roman"/>
          <w:b/>
        </w:rPr>
        <w:t>*List core agencies and contact details*</w:t>
      </w:r>
    </w:p>
    <w:p w14:paraId="7FBF3C65" w14:textId="77777777" w:rsidR="002152B5" w:rsidRDefault="002152B5" w:rsidP="007D62C0">
      <w:pPr>
        <w:ind w:right="1229"/>
        <w:jc w:val="both"/>
      </w:pPr>
    </w:p>
    <w:p w14:paraId="48C64C09" w14:textId="77777777" w:rsidR="002152B5" w:rsidRDefault="002152B5" w:rsidP="002152B5">
      <w:pPr>
        <w:pBdr>
          <w:bottom w:val="single" w:sz="6" w:space="1" w:color="auto"/>
        </w:pBdr>
        <w:ind w:left="720" w:right="1229" w:firstLine="720"/>
        <w:jc w:val="both"/>
      </w:pPr>
    </w:p>
    <w:p w14:paraId="378426D1" w14:textId="77777777" w:rsidR="003247A0" w:rsidRDefault="003247A0" w:rsidP="003247A0">
      <w:pPr>
        <w:ind w:right="1229"/>
        <w:jc w:val="both"/>
      </w:pPr>
    </w:p>
    <w:p w14:paraId="75845642" w14:textId="77777777" w:rsidR="002152B5" w:rsidRDefault="002152B5" w:rsidP="009F1CAC">
      <w:pPr>
        <w:ind w:right="95"/>
        <w:jc w:val="both"/>
      </w:pPr>
    </w:p>
    <w:p w14:paraId="70EE0E05" w14:textId="2544282A" w:rsidR="00D01D17" w:rsidRDefault="00D01D17">
      <w:r>
        <w:br w:type="page"/>
      </w:r>
    </w:p>
    <w:p w14:paraId="42C587EF" w14:textId="77777777" w:rsidR="002152B5" w:rsidRPr="002152B5" w:rsidRDefault="002152B5" w:rsidP="009F1CAC">
      <w:pPr>
        <w:ind w:right="95"/>
        <w:jc w:val="both"/>
      </w:pPr>
    </w:p>
    <w:p w14:paraId="2B524BA9" w14:textId="0F2D565C" w:rsidR="002152B5" w:rsidRPr="00F93E4D" w:rsidRDefault="002152B5" w:rsidP="009F1CAC">
      <w:pPr>
        <w:ind w:right="95"/>
        <w:jc w:val="both"/>
        <w:rPr>
          <w:b/>
        </w:rPr>
      </w:pPr>
      <w:r>
        <w:rPr>
          <w:b/>
        </w:rPr>
        <w:t xml:space="preserve">Appendix 2. </w:t>
      </w:r>
    </w:p>
    <w:p w14:paraId="3495D643" w14:textId="77777777" w:rsidR="002C438D" w:rsidRDefault="00CE0F1D" w:rsidP="009F1CAC">
      <w:pPr>
        <w:ind w:right="95"/>
        <w:jc w:val="both"/>
      </w:pPr>
      <w:r>
        <w:t>The two most relevant documents relating to schools-based policy on the above issues are</w:t>
      </w:r>
      <w:r w:rsidR="002C438D">
        <w:t>:</w:t>
      </w:r>
    </w:p>
    <w:p w14:paraId="38CE9D7B" w14:textId="7B1B2506" w:rsidR="00CE0F1D" w:rsidRDefault="002C438D" w:rsidP="009F1CAC">
      <w:pPr>
        <w:ind w:right="95"/>
        <w:jc w:val="both"/>
      </w:pPr>
      <w:r>
        <w:t>1.</w:t>
      </w:r>
      <w:r w:rsidR="00CE0F1D">
        <w:t xml:space="preserve"> </w:t>
      </w:r>
      <w:r w:rsidR="00CE0F1D" w:rsidRPr="00CE0F1D">
        <w:t xml:space="preserve">GIRFEC </w:t>
      </w:r>
      <w:hyperlink r:id="rId8" w:history="1">
        <w:r w:rsidRPr="00A26A93">
          <w:rPr>
            <w:rStyle w:val="Hyperlink"/>
          </w:rPr>
          <w:t>http://www.gov.scot/Topics/People/Young-People/gettingitright/wellbeing</w:t>
        </w:r>
      </w:hyperlink>
      <w:r>
        <w:t xml:space="preserve"> (</w:t>
      </w:r>
      <w:r w:rsidR="00CE0F1D" w:rsidRPr="00CE0F1D">
        <w:t>sets out roles and responsibilities, information sharing, risk assessment and respondin</w:t>
      </w:r>
      <w:r w:rsidR="00CE0F1D">
        <w:t xml:space="preserve">g to child protection concerns) and </w:t>
      </w:r>
    </w:p>
    <w:p w14:paraId="0FA5191C" w14:textId="3B6304E0" w:rsidR="00926FA8" w:rsidRDefault="002C438D" w:rsidP="00D01D17">
      <w:pPr>
        <w:ind w:right="95"/>
      </w:pPr>
      <w:r>
        <w:t xml:space="preserve">2. </w:t>
      </w:r>
      <w:r w:rsidR="00926FA8">
        <w:t xml:space="preserve">NATIONAL GUIDANCE: Under-age Sexual Activity: Meeting the Needs of Children and Young People and Identifying Child Protection Concerns </w:t>
      </w:r>
      <w:r>
        <w:t xml:space="preserve">(2010) </w:t>
      </w:r>
      <w:hyperlink r:id="rId9" w:history="1">
        <w:r w:rsidR="00926FA8" w:rsidRPr="00EB3FB1">
          <w:rPr>
            <w:rStyle w:val="Hyperlink"/>
          </w:rPr>
          <w:t>http://www.gov.scot/resource/doc/333495/0108880.pdf</w:t>
        </w:r>
      </w:hyperlink>
      <w:r>
        <w:t xml:space="preserve"> (</w:t>
      </w:r>
      <w:r w:rsidR="00926FA8">
        <w:t xml:space="preserve">to be read alongside </w:t>
      </w:r>
      <w:r>
        <w:t>GIRFEC)</w:t>
      </w:r>
    </w:p>
    <w:p w14:paraId="60BEDD38" w14:textId="6084F901" w:rsidR="002C438D" w:rsidRDefault="002A7F31" w:rsidP="009F1CAC">
      <w:pPr>
        <w:ind w:right="95"/>
        <w:jc w:val="both"/>
      </w:pPr>
      <w:r>
        <w:t>While s</w:t>
      </w:r>
      <w:r w:rsidRPr="002A7F31">
        <w:t xml:space="preserve">pecific </w:t>
      </w:r>
      <w:r>
        <w:t>protocols are developed locally, t</w:t>
      </w:r>
      <w:r w:rsidR="002C438D" w:rsidRPr="002C438D">
        <w:t xml:space="preserve">he latter </w:t>
      </w:r>
      <w:r>
        <w:t xml:space="preserve">document </w:t>
      </w:r>
      <w:r w:rsidR="002C438D" w:rsidRPr="002C438D">
        <w:t xml:space="preserve">outlines </w:t>
      </w:r>
      <w:r w:rsidR="002C438D">
        <w:t>examples of potential indicators of harm / circumstances in which information should be shared amongst agencies with responsibility for child protection</w:t>
      </w:r>
      <w:r>
        <w:t xml:space="preserve"> (see below). All adults involved in STASH will operate with these guidelines in mind. </w:t>
      </w:r>
    </w:p>
    <w:p w14:paraId="1FECCC8E" w14:textId="46B405A1" w:rsidR="001C39EB" w:rsidRPr="002C438D" w:rsidRDefault="001C39EB" w:rsidP="001C39EB">
      <w:pPr>
        <w:ind w:right="95"/>
        <w:jc w:val="both"/>
      </w:pPr>
      <w:r>
        <w:t>The following section has been reproduced from the national guidance on under-age sexual activity</w:t>
      </w:r>
      <w:bookmarkStart w:id="0" w:name="_GoBack"/>
      <w:bookmarkEnd w:id="0"/>
      <w:r>
        <w:t>, with permission from The Scottish Government.</w:t>
      </w:r>
    </w:p>
    <w:p w14:paraId="20C07508" w14:textId="5A7019AF" w:rsidR="002A7F31" w:rsidRDefault="001C39EB" w:rsidP="001C39EB">
      <w:pPr>
        <w:ind w:right="95"/>
        <w:jc w:val="both"/>
        <w:rPr>
          <w:i/>
        </w:rPr>
      </w:pPr>
      <w:r>
        <w:rPr>
          <w:i/>
        </w:rPr>
        <w:t xml:space="preserve"> </w:t>
      </w:r>
      <w:r w:rsidR="002A7F31">
        <w:rPr>
          <w:i/>
        </w:rPr>
        <w:t>‘</w:t>
      </w:r>
      <w:r w:rsidR="00926FA8" w:rsidRPr="00926FA8">
        <w:rPr>
          <w:i/>
        </w:rPr>
        <w:t>Automatic sharing of concerns</w:t>
      </w:r>
    </w:p>
    <w:p w14:paraId="2B389A98" w14:textId="125681C3" w:rsidR="00926FA8" w:rsidRPr="002A7F31" w:rsidRDefault="00926FA8" w:rsidP="009F1CAC">
      <w:pPr>
        <w:ind w:right="95"/>
        <w:jc w:val="both"/>
        <w:rPr>
          <w:i/>
        </w:rPr>
      </w:pPr>
      <w:r w:rsidRPr="00926FA8">
        <w:t xml:space="preserve">There are certain circumstances in which practitioners should automatically share child protection concerns: </w:t>
      </w:r>
    </w:p>
    <w:p w14:paraId="358F8A38" w14:textId="77777777" w:rsidR="00926FA8" w:rsidRPr="00926FA8" w:rsidRDefault="00926FA8" w:rsidP="009F1CAC">
      <w:pPr>
        <w:ind w:right="95"/>
        <w:jc w:val="both"/>
      </w:pPr>
      <w:r w:rsidRPr="00926FA8">
        <w:t>• if the young person is currently 13 or over but sexual activity took place when they were 12 or under;</w:t>
      </w:r>
    </w:p>
    <w:p w14:paraId="5EB64761" w14:textId="77777777" w:rsidR="00926FA8" w:rsidRPr="00926FA8" w:rsidRDefault="00926FA8" w:rsidP="009F1CAC">
      <w:pPr>
        <w:ind w:right="95"/>
        <w:jc w:val="both"/>
      </w:pPr>
      <w:r w:rsidRPr="00926FA8">
        <w:t>• if there is evidence or indication that the young person is involved in pornography or prostitution;</w:t>
      </w:r>
    </w:p>
    <w:p w14:paraId="11DD478E" w14:textId="77777777" w:rsidR="00926FA8" w:rsidRPr="00926FA8" w:rsidRDefault="00926FA8" w:rsidP="009F1CAC">
      <w:pPr>
        <w:ind w:right="95"/>
        <w:jc w:val="both"/>
      </w:pPr>
      <w:r w:rsidRPr="00926FA8">
        <w:t xml:space="preserve">• if the 'other person' is in a position of trust in relation to the young person; </w:t>
      </w:r>
    </w:p>
    <w:p w14:paraId="710EDAF7" w14:textId="77777777" w:rsidR="00926FA8" w:rsidRPr="00926FA8" w:rsidRDefault="00926FA8" w:rsidP="009F1CAC">
      <w:pPr>
        <w:ind w:right="95"/>
        <w:jc w:val="both"/>
      </w:pPr>
      <w:r w:rsidRPr="00926FA8">
        <w:t>• if the young person is perceived to be at immediate risk.</w:t>
      </w:r>
    </w:p>
    <w:p w14:paraId="61F32167" w14:textId="77777777" w:rsidR="00926FA8" w:rsidRPr="00926FA8" w:rsidRDefault="00926FA8" w:rsidP="009F1CAC">
      <w:pPr>
        <w:ind w:right="95"/>
        <w:jc w:val="both"/>
        <w:rPr>
          <w:i/>
        </w:rPr>
      </w:pPr>
      <w:r w:rsidRPr="00926FA8">
        <w:rPr>
          <w:i/>
        </w:rPr>
        <w:t>In these circumstances, the practitioner should:</w:t>
      </w:r>
    </w:p>
    <w:p w14:paraId="47554702" w14:textId="77777777" w:rsidR="00926FA8" w:rsidRPr="00926FA8" w:rsidRDefault="00926FA8" w:rsidP="009F1CAC">
      <w:pPr>
        <w:ind w:right="95"/>
        <w:jc w:val="both"/>
      </w:pPr>
      <w:r w:rsidRPr="00926FA8">
        <w:t>• where appropriate, speak with the child and young person prior to passing on the child protection concern – every reasonable effort should be made to seek their agreement;</w:t>
      </w:r>
    </w:p>
    <w:p w14:paraId="2D91E25B" w14:textId="77777777" w:rsidR="00926FA8" w:rsidRPr="00926FA8" w:rsidRDefault="00926FA8" w:rsidP="009F1CAC">
      <w:pPr>
        <w:ind w:right="95"/>
        <w:jc w:val="both"/>
      </w:pPr>
      <w:r w:rsidRPr="00926FA8">
        <w:t>• share the child protection concern in line with their local child protection procedures, detailing those who are involved, the nature of the concerns etc; and</w:t>
      </w:r>
    </w:p>
    <w:p w14:paraId="50A5939A" w14:textId="77777777" w:rsidR="00926FA8" w:rsidRPr="00926FA8" w:rsidRDefault="00926FA8" w:rsidP="009F1CAC">
      <w:pPr>
        <w:ind w:right="95"/>
        <w:jc w:val="both"/>
      </w:pPr>
      <w:r w:rsidRPr="00926FA8">
        <w:t>• if agreement is not reached, the professional should share the child protection concern and inform the child and young person that this will be the course of action.</w:t>
      </w:r>
    </w:p>
    <w:p w14:paraId="7B1C4CEA" w14:textId="77777777" w:rsidR="00926FA8" w:rsidRPr="00926FA8" w:rsidRDefault="00926FA8" w:rsidP="009F1CAC">
      <w:pPr>
        <w:ind w:right="95"/>
        <w:jc w:val="both"/>
        <w:rPr>
          <w:i/>
        </w:rPr>
      </w:pPr>
      <w:r w:rsidRPr="00926FA8">
        <w:rPr>
          <w:i/>
        </w:rPr>
        <w:t xml:space="preserve">If the young person is </w:t>
      </w:r>
      <w:r w:rsidRPr="00926FA8">
        <w:rPr>
          <w:i/>
          <w:u w:val="single"/>
        </w:rPr>
        <w:t xml:space="preserve">not </w:t>
      </w:r>
      <w:r w:rsidRPr="00926FA8">
        <w:rPr>
          <w:i/>
        </w:rPr>
        <w:t xml:space="preserve">at risk of harm: </w:t>
      </w:r>
    </w:p>
    <w:p w14:paraId="07BFA246" w14:textId="77777777" w:rsidR="00926FA8" w:rsidRPr="00926FA8" w:rsidRDefault="00926FA8" w:rsidP="009F1CAC">
      <w:pPr>
        <w:ind w:right="95"/>
        <w:jc w:val="both"/>
        <w:rPr>
          <w:i/>
        </w:rPr>
      </w:pPr>
      <w:r w:rsidRPr="00926FA8">
        <w:rPr>
          <w:i/>
        </w:rPr>
        <w:t>If the practitioner has assessed that the sexual behaviour is consensual teenage sexual activity where there are no concerns of abuse or exploitation, the practitioner should:</w:t>
      </w:r>
    </w:p>
    <w:p w14:paraId="5DC1153E" w14:textId="77777777" w:rsidR="00926FA8" w:rsidRPr="00926FA8" w:rsidRDefault="00926FA8" w:rsidP="009F1CAC">
      <w:pPr>
        <w:ind w:right="95"/>
        <w:jc w:val="both"/>
      </w:pPr>
      <w:r w:rsidRPr="00926FA8">
        <w:t>• uphold the confidentiality rights of the young person; and</w:t>
      </w:r>
    </w:p>
    <w:p w14:paraId="5358E61B" w14:textId="77777777" w:rsidR="00926FA8" w:rsidRPr="00926FA8" w:rsidRDefault="00926FA8" w:rsidP="009F1CAC">
      <w:pPr>
        <w:ind w:right="95"/>
        <w:jc w:val="both"/>
      </w:pPr>
      <w:r w:rsidRPr="00926FA8">
        <w:t>• provide practical assistance and advice as required. Practitioners not qualified to provide this should signpost young people to the appropriate local services (e.g. sexual health services).</w:t>
      </w:r>
    </w:p>
    <w:p w14:paraId="148079F2" w14:textId="77777777" w:rsidR="00926FA8" w:rsidRPr="00926FA8" w:rsidRDefault="00926FA8" w:rsidP="009F1CAC">
      <w:pPr>
        <w:ind w:right="95"/>
        <w:jc w:val="both"/>
        <w:rPr>
          <w:i/>
        </w:rPr>
      </w:pPr>
      <w:r w:rsidRPr="00926FA8">
        <w:rPr>
          <w:i/>
        </w:rPr>
        <w:lastRenderedPageBreak/>
        <w:t>If the practitioner has assessed that the sexual behaviour is not abusive or exploitative, but that there remain concerns about the young person's behaviour e.g. their ability to assess risk, their use of drugs/alcohol, the environment in which they seek sexual contacts etc, then the practitioner should:</w:t>
      </w:r>
    </w:p>
    <w:p w14:paraId="1FD2EE1E" w14:textId="77777777" w:rsidR="00926FA8" w:rsidRPr="00926FA8" w:rsidRDefault="00926FA8" w:rsidP="009F1CAC">
      <w:pPr>
        <w:ind w:right="95"/>
        <w:jc w:val="both"/>
      </w:pPr>
      <w:r w:rsidRPr="00926FA8">
        <w:t>• uphold the confidentiality rights of the young person; and</w:t>
      </w:r>
    </w:p>
    <w:p w14:paraId="7A05A706" w14:textId="77777777" w:rsidR="00926FA8" w:rsidRPr="00926FA8" w:rsidRDefault="00926FA8" w:rsidP="009F1CAC">
      <w:pPr>
        <w:ind w:right="95"/>
        <w:jc w:val="both"/>
      </w:pPr>
      <w:r w:rsidRPr="00926FA8">
        <w:t>• provide practical assistance and advice as required within their own agency or, with their permission, refer them to the appropriate clinical or support services, including forensic or sexual health services.</w:t>
      </w:r>
    </w:p>
    <w:p w14:paraId="45E57EE0" w14:textId="77777777" w:rsidR="00926FA8" w:rsidRPr="00926FA8" w:rsidRDefault="00926FA8" w:rsidP="009F1CAC">
      <w:pPr>
        <w:ind w:right="95"/>
        <w:jc w:val="both"/>
        <w:rPr>
          <w:i/>
        </w:rPr>
      </w:pPr>
      <w:r w:rsidRPr="00926FA8">
        <w:rPr>
          <w:i/>
        </w:rPr>
        <w:t>In both these scenarios, a single-agency decision-making process is normally appropriate.</w:t>
      </w:r>
    </w:p>
    <w:p w14:paraId="10412E38" w14:textId="77777777" w:rsidR="00926FA8" w:rsidRPr="00926FA8" w:rsidRDefault="00926FA8" w:rsidP="009F1CAC">
      <w:pPr>
        <w:ind w:right="95"/>
        <w:jc w:val="both"/>
        <w:rPr>
          <w:i/>
        </w:rPr>
      </w:pPr>
      <w:r w:rsidRPr="00926FA8">
        <w:rPr>
          <w:i/>
        </w:rPr>
        <w:t xml:space="preserve">If there are concerns that the young person might be at risk of harm: </w:t>
      </w:r>
    </w:p>
    <w:p w14:paraId="2F96E1D4" w14:textId="77777777" w:rsidR="00926FA8" w:rsidRPr="00926FA8" w:rsidRDefault="00926FA8" w:rsidP="009F1CAC">
      <w:pPr>
        <w:ind w:right="95"/>
        <w:jc w:val="both"/>
        <w:rPr>
          <w:i/>
        </w:rPr>
      </w:pPr>
      <w:r w:rsidRPr="00926FA8">
        <w:rPr>
          <w:i/>
        </w:rPr>
        <w:t xml:space="preserve">If the practitioner is concerned that the young person's behaviour, or the nature of the sexual behaviour and/or relationship, could indicate that the young person is at risk of harm, the practitioner should: </w:t>
      </w:r>
    </w:p>
    <w:p w14:paraId="4A62406E" w14:textId="77777777" w:rsidR="00926FA8" w:rsidRPr="00926FA8" w:rsidRDefault="00926FA8" w:rsidP="009F1CAC">
      <w:pPr>
        <w:ind w:right="95"/>
        <w:jc w:val="both"/>
      </w:pPr>
      <w:r w:rsidRPr="00926FA8">
        <w:t>• seek guidance from a line-manager in accordance with their agency's guidelines and decide if further action is required;</w:t>
      </w:r>
    </w:p>
    <w:p w14:paraId="364EA191" w14:textId="77777777" w:rsidR="00926FA8" w:rsidRPr="00926FA8" w:rsidRDefault="00926FA8" w:rsidP="009F1CAC">
      <w:pPr>
        <w:ind w:right="95"/>
        <w:jc w:val="both"/>
      </w:pPr>
      <w:r w:rsidRPr="00926FA8">
        <w:t>• inform the young person about the need speak to other practitioners, where required, and seek their consent if possible;</w:t>
      </w:r>
    </w:p>
    <w:p w14:paraId="0198F6D8" w14:textId="77777777" w:rsidR="00926FA8" w:rsidRPr="00926FA8" w:rsidRDefault="00926FA8" w:rsidP="009F1CAC">
      <w:pPr>
        <w:ind w:right="95"/>
        <w:jc w:val="both"/>
      </w:pPr>
      <w:r w:rsidRPr="00926FA8">
        <w:t>• share appropriate information with other practitioners about the young person;</w:t>
      </w:r>
    </w:p>
    <w:p w14:paraId="644274AA" w14:textId="77777777" w:rsidR="00926FA8" w:rsidRPr="00926FA8" w:rsidRDefault="00926FA8" w:rsidP="009F1CAC">
      <w:pPr>
        <w:ind w:right="95"/>
        <w:jc w:val="both"/>
      </w:pPr>
      <w:r w:rsidRPr="00926FA8">
        <w:t>• if required, seek advice from other services and agencies to assist in this decision-making; and</w:t>
      </w:r>
    </w:p>
    <w:p w14:paraId="64828070" w14:textId="2A1DF179" w:rsidR="00926FA8" w:rsidRDefault="00926FA8" w:rsidP="009F1CAC">
      <w:pPr>
        <w:ind w:right="95"/>
        <w:jc w:val="both"/>
      </w:pPr>
      <w:r w:rsidRPr="00926FA8">
        <w:t>• share information with the police if there are concerns about the</w:t>
      </w:r>
      <w:r w:rsidR="00B9449E">
        <w:t xml:space="preserve"> young person's sexual partner.’</w:t>
      </w:r>
      <w:r w:rsidRPr="00926FA8">
        <w:cr/>
      </w:r>
    </w:p>
    <w:p w14:paraId="4517CC8B" w14:textId="77777777" w:rsidR="00F93E4D" w:rsidRDefault="00F93E4D" w:rsidP="009F1CAC">
      <w:pPr>
        <w:ind w:right="95"/>
        <w:jc w:val="both"/>
      </w:pPr>
    </w:p>
    <w:p w14:paraId="48A8B7D6" w14:textId="77777777" w:rsidR="00F93E4D" w:rsidRDefault="00F93E4D">
      <w:pPr>
        <w:rPr>
          <w:b/>
        </w:rPr>
      </w:pPr>
      <w:r>
        <w:rPr>
          <w:b/>
        </w:rPr>
        <w:br w:type="page"/>
      </w:r>
    </w:p>
    <w:p w14:paraId="3D0ECE28" w14:textId="55EF2D2B" w:rsidR="00F93E4D" w:rsidRPr="00F93E4D" w:rsidRDefault="003247A0" w:rsidP="009F1CAC">
      <w:pPr>
        <w:ind w:right="95"/>
        <w:jc w:val="both"/>
        <w:rPr>
          <w:b/>
        </w:rPr>
      </w:pPr>
      <w:r>
        <w:rPr>
          <w:b/>
        </w:rPr>
        <w:lastRenderedPageBreak/>
        <w:t>Appendix 3</w:t>
      </w:r>
    </w:p>
    <w:p w14:paraId="5FA9A98A" w14:textId="77777777" w:rsidR="00E61778" w:rsidRPr="005529E1" w:rsidRDefault="00E61778" w:rsidP="00E61778">
      <w:pPr>
        <w:ind w:right="95"/>
        <w:jc w:val="both"/>
        <w:rPr>
          <w:rFonts w:ascii="Calibri" w:eastAsia="Calibri" w:hAnsi="Calibri" w:cs="Times New Roman"/>
          <w:b/>
          <w:bCs/>
        </w:rPr>
      </w:pPr>
      <w:r w:rsidRPr="005529E1">
        <w:rPr>
          <w:rFonts w:ascii="Calibri" w:eastAsia="Calibri" w:hAnsi="Calibri" w:cs="Times New Roman"/>
          <w:b/>
        </w:rPr>
        <w:t>Appendix 3</w:t>
      </w:r>
    </w:p>
    <w:p w14:paraId="0AD9E9C1" w14:textId="77777777" w:rsidR="00E61778" w:rsidRPr="005529E1" w:rsidRDefault="00E61778" w:rsidP="00E61778">
      <w:pPr>
        <w:ind w:right="95"/>
        <w:jc w:val="both"/>
        <w:rPr>
          <w:rFonts w:ascii="Calibri" w:eastAsia="Calibri" w:hAnsi="Calibri" w:cs="Times New Roman"/>
          <w:b/>
          <w:bCs/>
        </w:rPr>
      </w:pPr>
      <w:r w:rsidRPr="005529E1">
        <w:rPr>
          <w:rFonts w:ascii="Calibri" w:eastAsia="Calibri" w:hAnsi="Calibri" w:cs="Times New Roman"/>
          <w:b/>
          <w:bCs/>
        </w:rPr>
        <w:t>STASH TRIAL</w:t>
      </w:r>
    </w:p>
    <w:p w14:paraId="64E943B0" w14:textId="77777777" w:rsidR="00E61778" w:rsidRPr="005529E1" w:rsidRDefault="00E61778" w:rsidP="00E61778">
      <w:pPr>
        <w:ind w:right="95"/>
        <w:jc w:val="both"/>
        <w:rPr>
          <w:rFonts w:ascii="Calibri" w:eastAsia="Calibri" w:hAnsi="Calibri" w:cs="Times New Roman"/>
          <w:b/>
          <w:bCs/>
        </w:rPr>
      </w:pPr>
      <w:r w:rsidRPr="005529E1">
        <w:rPr>
          <w:rFonts w:ascii="Calibri" w:eastAsia="Calibri" w:hAnsi="Calibri" w:cs="Times New Roman"/>
          <w:b/>
          <w:bCs/>
        </w:rPr>
        <w:t xml:space="preserve">REPORT </w:t>
      </w:r>
      <w:r>
        <w:rPr>
          <w:rFonts w:ascii="Calibri" w:eastAsia="Calibri" w:hAnsi="Calibri" w:cs="Times New Roman"/>
          <w:b/>
          <w:bCs/>
        </w:rPr>
        <w:t xml:space="preserve">TO RESEARCH TEAM </w:t>
      </w:r>
      <w:r w:rsidRPr="005529E1">
        <w:rPr>
          <w:rFonts w:ascii="Calibri" w:eastAsia="Calibri" w:hAnsi="Calibri" w:cs="Times New Roman"/>
          <w:b/>
          <w:bCs/>
        </w:rPr>
        <w:t>OF</w:t>
      </w:r>
      <w:r>
        <w:rPr>
          <w:rFonts w:ascii="Calibri" w:eastAsia="Calibri" w:hAnsi="Calibri" w:cs="Times New Roman"/>
          <w:b/>
          <w:bCs/>
        </w:rPr>
        <w:t xml:space="preserve"> SERIOUS NEGATIVE EVENTS RESULTING IN SIGNIFICANT EMOTIONAL AND/OR PSYCHOLOGICAL HARM TO ONE OR MORE INDIVIDUALS</w:t>
      </w:r>
      <w:r w:rsidRPr="005529E1">
        <w:rPr>
          <w:rFonts w:ascii="Calibri" w:eastAsia="Calibri" w:hAnsi="Calibri" w:cs="Times New Roman"/>
          <w:b/>
          <w:bCs/>
        </w:rPr>
        <w:t xml:space="preserve"> </w:t>
      </w:r>
    </w:p>
    <w:p w14:paraId="63D6A814" w14:textId="77777777" w:rsidR="00E61778" w:rsidRPr="005529E1" w:rsidRDefault="00E61778" w:rsidP="00E61778">
      <w:pPr>
        <w:ind w:right="95"/>
        <w:jc w:val="both"/>
        <w:rPr>
          <w:rFonts w:ascii="Calibri" w:eastAsia="Calibri" w:hAnsi="Calibri" w:cs="Times New Roman"/>
        </w:rPr>
      </w:pPr>
      <w:r w:rsidRPr="005529E1">
        <w:rPr>
          <w:rFonts w:ascii="Calibri" w:eastAsia="Calibri" w:hAnsi="Calibri" w:cs="Times New Roman"/>
        </w:rPr>
        <w:t xml:space="preserve">STASH Contact Teachers and </w:t>
      </w:r>
      <w:r>
        <w:rPr>
          <w:rFonts w:ascii="Calibri" w:eastAsia="Calibri" w:hAnsi="Calibri" w:cs="Times New Roman"/>
        </w:rPr>
        <w:t>Trainers</w:t>
      </w:r>
      <w:r w:rsidRPr="005529E1">
        <w:rPr>
          <w:rFonts w:ascii="Calibri" w:eastAsia="Calibri" w:hAnsi="Calibri" w:cs="Times New Roman"/>
        </w:rPr>
        <w:t xml:space="preserve"> are asked to contact the </w:t>
      </w:r>
      <w:r>
        <w:rPr>
          <w:rFonts w:ascii="Calibri" w:eastAsia="Calibri" w:hAnsi="Calibri" w:cs="Times New Roman"/>
        </w:rPr>
        <w:t>Research Team</w:t>
      </w:r>
      <w:r w:rsidRPr="005529E1">
        <w:rPr>
          <w:rFonts w:ascii="Calibri" w:eastAsia="Calibri" w:hAnsi="Calibri" w:cs="Times New Roman"/>
        </w:rPr>
        <w:t xml:space="preserve"> </w:t>
      </w:r>
      <w:r w:rsidRPr="005529E1">
        <w:rPr>
          <w:rFonts w:ascii="Calibri" w:eastAsia="Calibri" w:hAnsi="Calibri" w:cs="Times New Roman"/>
          <w:u w:val="single"/>
        </w:rPr>
        <w:t>within five working</w:t>
      </w:r>
      <w:r w:rsidRPr="005529E1">
        <w:rPr>
          <w:rFonts w:ascii="Calibri" w:eastAsia="Calibri" w:hAnsi="Calibri" w:cs="Times New Roman"/>
        </w:rPr>
        <w:t xml:space="preserve"> days if </w:t>
      </w:r>
      <w:r>
        <w:rPr>
          <w:rFonts w:ascii="Calibri" w:eastAsia="Calibri" w:hAnsi="Calibri" w:cs="Times New Roman"/>
        </w:rPr>
        <w:t xml:space="preserve">they become aware of </w:t>
      </w:r>
      <w:r w:rsidRPr="005529E1">
        <w:rPr>
          <w:rFonts w:ascii="Calibri" w:eastAsia="Calibri" w:hAnsi="Calibri" w:cs="Times New Roman"/>
        </w:rPr>
        <w:t xml:space="preserve">any </w:t>
      </w:r>
      <w:r>
        <w:rPr>
          <w:rFonts w:ascii="Calibri" w:eastAsia="Calibri" w:hAnsi="Calibri" w:cs="Times New Roman"/>
        </w:rPr>
        <w:t>sensitive disclosure</w:t>
      </w:r>
      <w:r w:rsidRPr="00E25AD0">
        <w:rPr>
          <w:rFonts w:ascii="Calibri" w:eastAsia="Calibri" w:hAnsi="Calibri" w:cs="Times New Roman"/>
        </w:rPr>
        <w:t xml:space="preserve"> and/or p</w:t>
      </w:r>
      <w:r>
        <w:rPr>
          <w:rFonts w:ascii="Calibri" w:eastAsia="Calibri" w:hAnsi="Calibri" w:cs="Times New Roman"/>
        </w:rPr>
        <w:t>otential child protection issue</w:t>
      </w:r>
      <w:r w:rsidRPr="005529E1">
        <w:rPr>
          <w:rFonts w:ascii="Calibri" w:eastAsia="Calibri" w:hAnsi="Calibri" w:cs="Times New Roman"/>
        </w:rPr>
        <w:t xml:space="preserve"> occurs, as a direct result of the STASH study. Young people acting as peer supporters are asked to pass on any </w:t>
      </w:r>
      <w:r w:rsidRPr="00E25AD0">
        <w:rPr>
          <w:rFonts w:ascii="Calibri" w:eastAsia="Calibri" w:hAnsi="Calibri" w:cs="Times New Roman"/>
        </w:rPr>
        <w:t xml:space="preserve">sensitive disclosure and/or potential child protection issue </w:t>
      </w:r>
      <w:r w:rsidRPr="005529E1">
        <w:rPr>
          <w:rFonts w:ascii="Calibri" w:eastAsia="Calibri" w:hAnsi="Calibri" w:cs="Times New Roman"/>
        </w:rPr>
        <w:t xml:space="preserve">to </w:t>
      </w:r>
      <w:r>
        <w:rPr>
          <w:rFonts w:ascii="Calibri" w:eastAsia="Calibri" w:hAnsi="Calibri" w:cs="Times New Roman"/>
        </w:rPr>
        <w:t>DMS</w:t>
      </w:r>
      <w:r w:rsidRPr="005529E1">
        <w:rPr>
          <w:rFonts w:ascii="Calibri" w:eastAsia="Calibri" w:hAnsi="Calibri" w:cs="Times New Roman"/>
        </w:rPr>
        <w:t xml:space="preserve"> or </w:t>
      </w:r>
      <w:r>
        <w:rPr>
          <w:rFonts w:ascii="Calibri" w:eastAsia="Calibri" w:hAnsi="Calibri" w:cs="Times New Roman"/>
        </w:rPr>
        <w:t>Trainers</w:t>
      </w:r>
      <w:r w:rsidRPr="005529E1">
        <w:rPr>
          <w:rFonts w:ascii="Calibri" w:eastAsia="Calibri" w:hAnsi="Calibri" w:cs="Times New Roman"/>
        </w:rPr>
        <w:t xml:space="preserve"> for reporting as soon as possible. </w:t>
      </w:r>
    </w:p>
    <w:p w14:paraId="3CFAEBBF" w14:textId="77777777" w:rsidR="00E61778" w:rsidRDefault="00E61778" w:rsidP="00E61778">
      <w:pPr>
        <w:ind w:right="95"/>
        <w:jc w:val="both"/>
        <w:rPr>
          <w:rFonts w:ascii="Calibri" w:eastAsia="Calibri" w:hAnsi="Calibri" w:cs="Times New Roman"/>
        </w:rPr>
      </w:pPr>
    </w:p>
    <w:p w14:paraId="0132C81F" w14:textId="77777777" w:rsidR="00E61778" w:rsidRPr="005529E1" w:rsidRDefault="00E61778" w:rsidP="00E61778">
      <w:pPr>
        <w:ind w:right="95"/>
        <w:jc w:val="both"/>
        <w:rPr>
          <w:rFonts w:ascii="Calibri" w:eastAsia="Calibri" w:hAnsi="Calibri" w:cs="Times New Roman"/>
          <w:b/>
        </w:rPr>
      </w:pPr>
      <w:r w:rsidRPr="005529E1">
        <w:rPr>
          <w:rFonts w:ascii="Calibri" w:eastAsia="Calibri" w:hAnsi="Calibri" w:cs="Times New Roman"/>
          <w:b/>
        </w:rPr>
        <w:t xml:space="preserve">1. Details of person making report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80"/>
        <w:gridCol w:w="5220"/>
      </w:tblGrid>
      <w:tr w:rsidR="00E61778" w:rsidRPr="005529E1" w14:paraId="3FCF74A4" w14:textId="77777777" w:rsidTr="00E76676">
        <w:trPr>
          <w:trHeight w:val="418"/>
        </w:trPr>
        <w:tc>
          <w:tcPr>
            <w:tcW w:w="3780" w:type="dxa"/>
            <w:tcBorders>
              <w:top w:val="single" w:sz="6" w:space="0" w:color="000000"/>
              <w:left w:val="single" w:sz="6" w:space="0" w:color="000000"/>
              <w:bottom w:val="single" w:sz="6" w:space="0" w:color="000000"/>
              <w:right w:val="single" w:sz="6" w:space="0" w:color="000000"/>
            </w:tcBorders>
            <w:hideMark/>
          </w:tcPr>
          <w:p w14:paraId="1433F68D" w14:textId="77777777" w:rsidR="00E61778" w:rsidRPr="005529E1" w:rsidRDefault="00E61778" w:rsidP="00E76676">
            <w:pPr>
              <w:ind w:right="95"/>
              <w:jc w:val="both"/>
              <w:rPr>
                <w:rFonts w:ascii="Calibri" w:eastAsia="Calibri" w:hAnsi="Calibri" w:cs="Times New Roman"/>
                <w:b/>
                <w:i/>
                <w:iCs/>
              </w:rPr>
            </w:pPr>
            <w:r w:rsidRPr="005529E1">
              <w:rPr>
                <w:rFonts w:ascii="Calibri" w:eastAsia="Calibri" w:hAnsi="Calibri" w:cs="Times New Roman"/>
                <w:b/>
                <w:i/>
                <w:iCs/>
              </w:rPr>
              <w:t>Name:</w:t>
            </w:r>
          </w:p>
        </w:tc>
        <w:tc>
          <w:tcPr>
            <w:tcW w:w="5220" w:type="dxa"/>
            <w:tcBorders>
              <w:top w:val="single" w:sz="6" w:space="0" w:color="000000"/>
              <w:left w:val="single" w:sz="6" w:space="0" w:color="000000"/>
              <w:bottom w:val="single" w:sz="6" w:space="0" w:color="000000"/>
              <w:right w:val="single" w:sz="6" w:space="0" w:color="000000"/>
            </w:tcBorders>
          </w:tcPr>
          <w:p w14:paraId="288635EC" w14:textId="77777777" w:rsidR="00E61778" w:rsidRPr="005529E1" w:rsidRDefault="00E61778" w:rsidP="00E76676">
            <w:pPr>
              <w:ind w:right="95"/>
              <w:jc w:val="both"/>
              <w:rPr>
                <w:rFonts w:ascii="Calibri" w:eastAsia="Calibri" w:hAnsi="Calibri" w:cs="Times New Roman"/>
              </w:rPr>
            </w:pPr>
          </w:p>
        </w:tc>
      </w:tr>
      <w:tr w:rsidR="00E61778" w:rsidRPr="005529E1" w14:paraId="03716BC4" w14:textId="77777777" w:rsidTr="00E76676">
        <w:trPr>
          <w:trHeight w:val="492"/>
        </w:trPr>
        <w:tc>
          <w:tcPr>
            <w:tcW w:w="3780" w:type="dxa"/>
            <w:tcBorders>
              <w:top w:val="single" w:sz="6" w:space="0" w:color="000000"/>
              <w:left w:val="single" w:sz="6" w:space="0" w:color="000000"/>
              <w:bottom w:val="single" w:sz="6" w:space="0" w:color="000000"/>
              <w:right w:val="single" w:sz="6" w:space="0" w:color="000000"/>
            </w:tcBorders>
          </w:tcPr>
          <w:p w14:paraId="14BA87DE"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Role relating to STASH:</w:t>
            </w:r>
          </w:p>
        </w:tc>
        <w:tc>
          <w:tcPr>
            <w:tcW w:w="5220" w:type="dxa"/>
            <w:tcBorders>
              <w:top w:val="single" w:sz="6" w:space="0" w:color="000000"/>
              <w:left w:val="single" w:sz="6" w:space="0" w:color="000000"/>
              <w:bottom w:val="single" w:sz="6" w:space="0" w:color="000000"/>
              <w:right w:val="single" w:sz="6" w:space="0" w:color="000000"/>
            </w:tcBorders>
          </w:tcPr>
          <w:p w14:paraId="52FB0812" w14:textId="77777777" w:rsidR="00E61778" w:rsidRPr="005529E1" w:rsidRDefault="00E61778" w:rsidP="00E76676">
            <w:pPr>
              <w:ind w:right="95"/>
              <w:jc w:val="both"/>
              <w:rPr>
                <w:rFonts w:ascii="Calibri" w:eastAsia="Calibri" w:hAnsi="Calibri" w:cs="Times New Roman"/>
              </w:rPr>
            </w:pPr>
          </w:p>
        </w:tc>
      </w:tr>
      <w:tr w:rsidR="00E61778" w:rsidRPr="005529E1" w14:paraId="06FB422E" w14:textId="77777777" w:rsidTr="00E76676">
        <w:trPr>
          <w:trHeight w:val="409"/>
        </w:trPr>
        <w:tc>
          <w:tcPr>
            <w:tcW w:w="3780" w:type="dxa"/>
            <w:tcBorders>
              <w:top w:val="single" w:sz="6" w:space="0" w:color="000000"/>
              <w:left w:val="single" w:sz="6" w:space="0" w:color="000000"/>
              <w:bottom w:val="single" w:sz="6" w:space="0" w:color="000000"/>
              <w:right w:val="single" w:sz="6" w:space="0" w:color="000000"/>
            </w:tcBorders>
            <w:hideMark/>
          </w:tcPr>
          <w:p w14:paraId="313FEDC9"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Telephone:</w:t>
            </w:r>
          </w:p>
        </w:tc>
        <w:tc>
          <w:tcPr>
            <w:tcW w:w="5220" w:type="dxa"/>
            <w:tcBorders>
              <w:top w:val="single" w:sz="6" w:space="0" w:color="000000"/>
              <w:left w:val="single" w:sz="6" w:space="0" w:color="000000"/>
              <w:bottom w:val="single" w:sz="6" w:space="0" w:color="000000"/>
              <w:right w:val="single" w:sz="6" w:space="0" w:color="000000"/>
            </w:tcBorders>
          </w:tcPr>
          <w:p w14:paraId="7C91F89B" w14:textId="77777777" w:rsidR="00E61778" w:rsidRPr="005529E1" w:rsidRDefault="00E61778" w:rsidP="00E76676">
            <w:pPr>
              <w:ind w:right="95"/>
              <w:jc w:val="both"/>
              <w:rPr>
                <w:rFonts w:ascii="Calibri" w:eastAsia="Calibri" w:hAnsi="Calibri" w:cs="Times New Roman"/>
              </w:rPr>
            </w:pPr>
          </w:p>
        </w:tc>
      </w:tr>
      <w:tr w:rsidR="00E61778" w:rsidRPr="005529E1" w14:paraId="16CF4DD9" w14:textId="77777777" w:rsidTr="00E76676">
        <w:trPr>
          <w:trHeight w:val="363"/>
        </w:trPr>
        <w:tc>
          <w:tcPr>
            <w:tcW w:w="3780" w:type="dxa"/>
            <w:tcBorders>
              <w:top w:val="single" w:sz="6" w:space="0" w:color="000000"/>
              <w:left w:val="single" w:sz="6" w:space="0" w:color="000000"/>
              <w:bottom w:val="single" w:sz="6" w:space="0" w:color="000000"/>
              <w:right w:val="single" w:sz="6" w:space="0" w:color="000000"/>
            </w:tcBorders>
            <w:hideMark/>
          </w:tcPr>
          <w:p w14:paraId="70269987"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Email:</w:t>
            </w:r>
          </w:p>
        </w:tc>
        <w:tc>
          <w:tcPr>
            <w:tcW w:w="5220" w:type="dxa"/>
            <w:tcBorders>
              <w:top w:val="single" w:sz="6" w:space="0" w:color="000000"/>
              <w:left w:val="single" w:sz="6" w:space="0" w:color="000000"/>
              <w:bottom w:val="single" w:sz="6" w:space="0" w:color="000000"/>
              <w:right w:val="single" w:sz="6" w:space="0" w:color="000000"/>
            </w:tcBorders>
          </w:tcPr>
          <w:p w14:paraId="13DCC070" w14:textId="77777777" w:rsidR="00E61778" w:rsidRPr="005529E1" w:rsidRDefault="00E61778" w:rsidP="00E76676">
            <w:pPr>
              <w:ind w:right="95"/>
              <w:jc w:val="both"/>
              <w:rPr>
                <w:rFonts w:ascii="Calibri" w:eastAsia="Calibri" w:hAnsi="Calibri" w:cs="Times New Roman"/>
              </w:rPr>
            </w:pPr>
          </w:p>
        </w:tc>
      </w:tr>
    </w:tbl>
    <w:p w14:paraId="29EA4A69" w14:textId="77777777" w:rsidR="00E61778" w:rsidRPr="005529E1" w:rsidRDefault="00E61778" w:rsidP="00E61778">
      <w:pPr>
        <w:ind w:right="95"/>
        <w:jc w:val="both"/>
        <w:rPr>
          <w:rFonts w:ascii="Calibri" w:eastAsia="Calibri" w:hAnsi="Calibri" w:cs="Times New Roman"/>
        </w:rPr>
      </w:pPr>
    </w:p>
    <w:p w14:paraId="1C356A0D" w14:textId="77777777" w:rsidR="00E61778" w:rsidRPr="005529E1" w:rsidRDefault="00E61778" w:rsidP="00E61778">
      <w:pPr>
        <w:ind w:right="95"/>
        <w:jc w:val="both"/>
        <w:rPr>
          <w:rFonts w:ascii="Calibri" w:eastAsia="Calibri" w:hAnsi="Calibri" w:cs="Times New Roman"/>
          <w:b/>
        </w:rPr>
      </w:pPr>
      <w:r w:rsidRPr="005529E1">
        <w:rPr>
          <w:rFonts w:ascii="Calibri" w:eastAsia="Calibri" w:hAnsi="Calibri" w:cs="Times New Roman"/>
          <w:b/>
        </w:rPr>
        <w:t>2. Circumstances of event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760"/>
      </w:tblGrid>
      <w:tr w:rsidR="00E61778" w:rsidRPr="005529E1" w14:paraId="78372DCE" w14:textId="77777777" w:rsidTr="00E76676">
        <w:trPr>
          <w:trHeight w:val="485"/>
        </w:trPr>
        <w:tc>
          <w:tcPr>
            <w:tcW w:w="3240" w:type="dxa"/>
            <w:tcBorders>
              <w:top w:val="single" w:sz="4" w:space="0" w:color="auto"/>
              <w:left w:val="single" w:sz="4" w:space="0" w:color="auto"/>
              <w:bottom w:val="single" w:sz="4" w:space="0" w:color="auto"/>
              <w:right w:val="single" w:sz="4" w:space="0" w:color="auto"/>
            </w:tcBorders>
            <w:vAlign w:val="center"/>
            <w:hideMark/>
          </w:tcPr>
          <w:p w14:paraId="48322846"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Date on which untoward incident/ harm occurred:</w:t>
            </w:r>
          </w:p>
        </w:tc>
        <w:tc>
          <w:tcPr>
            <w:tcW w:w="5760" w:type="dxa"/>
            <w:tcBorders>
              <w:top w:val="single" w:sz="4" w:space="0" w:color="auto"/>
              <w:left w:val="single" w:sz="4" w:space="0" w:color="auto"/>
              <w:bottom w:val="single" w:sz="4" w:space="0" w:color="auto"/>
              <w:right w:val="single" w:sz="4" w:space="0" w:color="auto"/>
            </w:tcBorders>
          </w:tcPr>
          <w:p w14:paraId="473FDE12" w14:textId="77777777" w:rsidR="00E61778" w:rsidRPr="005529E1" w:rsidRDefault="00E61778" w:rsidP="00E76676">
            <w:pPr>
              <w:ind w:right="95"/>
              <w:jc w:val="both"/>
              <w:rPr>
                <w:rFonts w:ascii="Calibri" w:eastAsia="Calibri" w:hAnsi="Calibri" w:cs="Times New Roman"/>
              </w:rPr>
            </w:pPr>
          </w:p>
        </w:tc>
      </w:tr>
      <w:tr w:rsidR="00E61778" w:rsidRPr="005529E1" w14:paraId="1763C313" w14:textId="77777777" w:rsidTr="00E76676">
        <w:trPr>
          <w:trHeight w:val="521"/>
        </w:trPr>
        <w:tc>
          <w:tcPr>
            <w:tcW w:w="3240" w:type="dxa"/>
            <w:tcBorders>
              <w:top w:val="single" w:sz="4" w:space="0" w:color="auto"/>
              <w:left w:val="single" w:sz="4" w:space="0" w:color="auto"/>
              <w:bottom w:val="single" w:sz="4" w:space="0" w:color="auto"/>
              <w:right w:val="single" w:sz="4" w:space="0" w:color="auto"/>
            </w:tcBorders>
            <w:vAlign w:val="center"/>
            <w:hideMark/>
          </w:tcPr>
          <w:p w14:paraId="77E52CCC"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Location:</w:t>
            </w:r>
          </w:p>
        </w:tc>
        <w:tc>
          <w:tcPr>
            <w:tcW w:w="5760" w:type="dxa"/>
            <w:tcBorders>
              <w:top w:val="single" w:sz="4" w:space="0" w:color="auto"/>
              <w:left w:val="single" w:sz="4" w:space="0" w:color="auto"/>
              <w:bottom w:val="single" w:sz="4" w:space="0" w:color="auto"/>
              <w:right w:val="single" w:sz="4" w:space="0" w:color="auto"/>
            </w:tcBorders>
          </w:tcPr>
          <w:p w14:paraId="2DF47CC8" w14:textId="77777777" w:rsidR="00E61778" w:rsidRPr="005529E1" w:rsidRDefault="00E61778" w:rsidP="00E76676">
            <w:pPr>
              <w:ind w:right="95"/>
              <w:jc w:val="both"/>
              <w:rPr>
                <w:rFonts w:ascii="Calibri" w:eastAsia="Calibri" w:hAnsi="Calibri" w:cs="Times New Roman"/>
              </w:rPr>
            </w:pPr>
          </w:p>
        </w:tc>
      </w:tr>
      <w:tr w:rsidR="00E61778" w:rsidRPr="005529E1" w14:paraId="708621DE" w14:textId="77777777" w:rsidTr="00E76676">
        <w:trPr>
          <w:trHeight w:val="521"/>
        </w:trPr>
        <w:tc>
          <w:tcPr>
            <w:tcW w:w="3240" w:type="dxa"/>
            <w:tcBorders>
              <w:top w:val="single" w:sz="4" w:space="0" w:color="auto"/>
              <w:left w:val="single" w:sz="4" w:space="0" w:color="auto"/>
              <w:bottom w:val="single" w:sz="4" w:space="0" w:color="auto"/>
              <w:right w:val="single" w:sz="4" w:space="0" w:color="auto"/>
            </w:tcBorders>
            <w:vAlign w:val="center"/>
          </w:tcPr>
          <w:p w14:paraId="693F6F24"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Type of incident (eg. cyberbullying, unlawful activity):</w:t>
            </w:r>
          </w:p>
        </w:tc>
        <w:tc>
          <w:tcPr>
            <w:tcW w:w="5760" w:type="dxa"/>
            <w:tcBorders>
              <w:top w:val="single" w:sz="4" w:space="0" w:color="auto"/>
              <w:left w:val="single" w:sz="4" w:space="0" w:color="auto"/>
              <w:bottom w:val="single" w:sz="4" w:space="0" w:color="auto"/>
              <w:right w:val="single" w:sz="4" w:space="0" w:color="auto"/>
            </w:tcBorders>
          </w:tcPr>
          <w:p w14:paraId="41979D9B" w14:textId="77777777" w:rsidR="00E61778" w:rsidRPr="005529E1" w:rsidRDefault="00E61778" w:rsidP="00E76676">
            <w:pPr>
              <w:ind w:right="95"/>
              <w:jc w:val="both"/>
              <w:rPr>
                <w:rFonts w:ascii="Calibri" w:eastAsia="Calibri" w:hAnsi="Calibri" w:cs="Times New Roman"/>
              </w:rPr>
            </w:pPr>
          </w:p>
        </w:tc>
      </w:tr>
      <w:tr w:rsidR="00E61778" w:rsidRPr="005529E1" w14:paraId="6DAE19FC" w14:textId="77777777" w:rsidTr="00E76676">
        <w:trPr>
          <w:trHeight w:val="1316"/>
        </w:trPr>
        <w:tc>
          <w:tcPr>
            <w:tcW w:w="3240" w:type="dxa"/>
            <w:tcBorders>
              <w:top w:val="single" w:sz="4" w:space="0" w:color="auto"/>
              <w:left w:val="single" w:sz="4" w:space="0" w:color="auto"/>
              <w:bottom w:val="single" w:sz="4" w:space="0" w:color="auto"/>
              <w:right w:val="single" w:sz="4" w:space="0" w:color="auto"/>
            </w:tcBorders>
            <w:vAlign w:val="center"/>
          </w:tcPr>
          <w:p w14:paraId="64CE2454"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Please describe the circumstances of the event</w:t>
            </w:r>
            <w:r>
              <w:rPr>
                <w:rFonts w:ascii="Calibri" w:eastAsia="Calibri" w:hAnsi="Calibri" w:cs="Times New Roman"/>
              </w:rPr>
              <w:t xml:space="preserve"> and actions taken</w:t>
            </w:r>
            <w:r w:rsidRPr="005529E1">
              <w:rPr>
                <w:rFonts w:ascii="Calibri" w:eastAsia="Calibri" w:hAnsi="Calibri" w:cs="Times New Roman"/>
              </w:rPr>
              <w:t>:</w:t>
            </w:r>
          </w:p>
        </w:tc>
        <w:tc>
          <w:tcPr>
            <w:tcW w:w="5760" w:type="dxa"/>
            <w:tcBorders>
              <w:top w:val="single" w:sz="4" w:space="0" w:color="auto"/>
              <w:left w:val="single" w:sz="4" w:space="0" w:color="auto"/>
              <w:bottom w:val="single" w:sz="4" w:space="0" w:color="auto"/>
              <w:right w:val="single" w:sz="4" w:space="0" w:color="auto"/>
            </w:tcBorders>
          </w:tcPr>
          <w:p w14:paraId="53548CE5" w14:textId="77777777" w:rsidR="00E61778" w:rsidRPr="005529E1" w:rsidRDefault="00E61778" w:rsidP="00E76676">
            <w:pPr>
              <w:ind w:right="95"/>
              <w:jc w:val="both"/>
              <w:rPr>
                <w:rFonts w:ascii="Calibri" w:eastAsia="Calibri" w:hAnsi="Calibri" w:cs="Times New Roman"/>
              </w:rPr>
            </w:pPr>
          </w:p>
        </w:tc>
      </w:tr>
    </w:tbl>
    <w:p w14:paraId="4B27CEDC" w14:textId="77777777" w:rsidR="00E61778" w:rsidRPr="005529E1" w:rsidRDefault="00E61778" w:rsidP="00E61778">
      <w:pPr>
        <w:ind w:right="95"/>
        <w:jc w:val="both"/>
        <w:rPr>
          <w:rFonts w:ascii="Calibri" w:eastAsia="Calibri" w:hAnsi="Calibri" w:cs="Times New Roman"/>
        </w:rPr>
      </w:pPr>
    </w:p>
    <w:p w14:paraId="5137A091" w14:textId="77777777" w:rsidR="00E61778" w:rsidRPr="005529E1" w:rsidRDefault="00E61778" w:rsidP="00E61778">
      <w:pPr>
        <w:ind w:right="95"/>
        <w:jc w:val="both"/>
        <w:rPr>
          <w:rFonts w:ascii="Calibri" w:eastAsia="Calibri" w:hAnsi="Calibri" w:cs="Times New Roman"/>
          <w:b/>
        </w:rPr>
      </w:pPr>
      <w:r w:rsidRPr="005529E1">
        <w:rPr>
          <w:rFonts w:ascii="Calibri" w:eastAsia="Calibri" w:hAnsi="Calibri" w:cs="Times New Roman"/>
          <w:b/>
        </w:rPr>
        <w:t>3. Declaration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760"/>
      </w:tblGrid>
      <w:tr w:rsidR="00E61778" w:rsidRPr="005529E1" w14:paraId="146EC6F2" w14:textId="77777777" w:rsidTr="00E76676">
        <w:trPr>
          <w:trHeight w:val="509"/>
        </w:trPr>
        <w:tc>
          <w:tcPr>
            <w:tcW w:w="3240" w:type="dxa"/>
            <w:tcBorders>
              <w:top w:val="single" w:sz="4" w:space="0" w:color="auto"/>
              <w:left w:val="single" w:sz="4" w:space="0" w:color="auto"/>
              <w:bottom w:val="single" w:sz="4" w:space="0" w:color="auto"/>
              <w:right w:val="single" w:sz="4" w:space="0" w:color="auto"/>
            </w:tcBorders>
            <w:vAlign w:val="center"/>
            <w:hideMark/>
          </w:tcPr>
          <w:p w14:paraId="5E17C1ED"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Signature of reporting person:</w:t>
            </w:r>
          </w:p>
        </w:tc>
        <w:tc>
          <w:tcPr>
            <w:tcW w:w="5760" w:type="dxa"/>
            <w:tcBorders>
              <w:top w:val="single" w:sz="4" w:space="0" w:color="auto"/>
              <w:left w:val="single" w:sz="4" w:space="0" w:color="auto"/>
              <w:bottom w:val="single" w:sz="4" w:space="0" w:color="auto"/>
              <w:right w:val="single" w:sz="4" w:space="0" w:color="auto"/>
            </w:tcBorders>
            <w:vAlign w:val="center"/>
          </w:tcPr>
          <w:p w14:paraId="5077867A" w14:textId="77777777" w:rsidR="00E61778" w:rsidRPr="005529E1" w:rsidRDefault="00E61778" w:rsidP="00E76676">
            <w:pPr>
              <w:ind w:right="95"/>
              <w:jc w:val="both"/>
              <w:rPr>
                <w:rFonts w:ascii="Calibri" w:eastAsia="Calibri" w:hAnsi="Calibri" w:cs="Times New Roman"/>
              </w:rPr>
            </w:pPr>
          </w:p>
        </w:tc>
      </w:tr>
      <w:tr w:rsidR="00E61778" w:rsidRPr="005529E1" w14:paraId="3717CB76" w14:textId="77777777" w:rsidTr="00E76676">
        <w:trPr>
          <w:trHeight w:val="525"/>
        </w:trPr>
        <w:tc>
          <w:tcPr>
            <w:tcW w:w="3240" w:type="dxa"/>
            <w:tcBorders>
              <w:top w:val="single" w:sz="4" w:space="0" w:color="auto"/>
              <w:left w:val="single" w:sz="4" w:space="0" w:color="auto"/>
              <w:bottom w:val="single" w:sz="4" w:space="0" w:color="auto"/>
              <w:right w:val="single" w:sz="4" w:space="0" w:color="auto"/>
            </w:tcBorders>
            <w:vAlign w:val="center"/>
            <w:hideMark/>
          </w:tcPr>
          <w:p w14:paraId="78D2F678"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Print name:</w:t>
            </w:r>
          </w:p>
        </w:tc>
        <w:tc>
          <w:tcPr>
            <w:tcW w:w="5760" w:type="dxa"/>
            <w:tcBorders>
              <w:top w:val="single" w:sz="4" w:space="0" w:color="auto"/>
              <w:left w:val="single" w:sz="4" w:space="0" w:color="auto"/>
              <w:bottom w:val="single" w:sz="4" w:space="0" w:color="auto"/>
              <w:right w:val="single" w:sz="4" w:space="0" w:color="auto"/>
            </w:tcBorders>
          </w:tcPr>
          <w:p w14:paraId="50466183" w14:textId="77777777" w:rsidR="00E61778" w:rsidRPr="005529E1" w:rsidRDefault="00E61778" w:rsidP="00E76676">
            <w:pPr>
              <w:ind w:right="95"/>
              <w:jc w:val="both"/>
              <w:rPr>
                <w:rFonts w:ascii="Calibri" w:eastAsia="Calibri" w:hAnsi="Calibri" w:cs="Times New Roman"/>
              </w:rPr>
            </w:pPr>
          </w:p>
        </w:tc>
      </w:tr>
      <w:tr w:rsidR="00E61778" w:rsidRPr="005529E1" w14:paraId="621B5940" w14:textId="77777777" w:rsidTr="00E76676">
        <w:trPr>
          <w:trHeight w:val="533"/>
        </w:trPr>
        <w:tc>
          <w:tcPr>
            <w:tcW w:w="3240" w:type="dxa"/>
            <w:tcBorders>
              <w:top w:val="single" w:sz="4" w:space="0" w:color="auto"/>
              <w:left w:val="single" w:sz="4" w:space="0" w:color="auto"/>
              <w:bottom w:val="single" w:sz="4" w:space="0" w:color="auto"/>
              <w:right w:val="single" w:sz="4" w:space="0" w:color="auto"/>
            </w:tcBorders>
            <w:vAlign w:val="center"/>
            <w:hideMark/>
          </w:tcPr>
          <w:p w14:paraId="26E544C9"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 xml:space="preserve">Date of submission to </w:t>
            </w:r>
            <w:r>
              <w:rPr>
                <w:rFonts w:ascii="Calibri" w:eastAsia="Calibri" w:hAnsi="Calibri" w:cs="Times New Roman"/>
              </w:rPr>
              <w:t>Research Team</w:t>
            </w:r>
            <w:r w:rsidRPr="005529E1">
              <w:rPr>
                <w:rFonts w:ascii="Calibri" w:eastAsia="Calibri" w:hAnsi="Calibri" w:cs="Times New Roman"/>
              </w:rPr>
              <w:t>:</w:t>
            </w:r>
          </w:p>
        </w:tc>
        <w:tc>
          <w:tcPr>
            <w:tcW w:w="5760" w:type="dxa"/>
            <w:tcBorders>
              <w:top w:val="single" w:sz="4" w:space="0" w:color="auto"/>
              <w:left w:val="single" w:sz="4" w:space="0" w:color="auto"/>
              <w:bottom w:val="single" w:sz="4" w:space="0" w:color="auto"/>
              <w:right w:val="single" w:sz="4" w:space="0" w:color="auto"/>
            </w:tcBorders>
          </w:tcPr>
          <w:p w14:paraId="448CA178" w14:textId="77777777" w:rsidR="00E61778" w:rsidRPr="005529E1" w:rsidRDefault="00E61778" w:rsidP="00E76676">
            <w:pPr>
              <w:ind w:right="95"/>
              <w:jc w:val="both"/>
              <w:rPr>
                <w:rFonts w:ascii="Calibri" w:eastAsia="Calibri" w:hAnsi="Calibri" w:cs="Times New Roman"/>
              </w:rPr>
            </w:pPr>
          </w:p>
        </w:tc>
      </w:tr>
    </w:tbl>
    <w:p w14:paraId="4E3BD23A" w14:textId="77777777" w:rsidR="00E61778" w:rsidRPr="005529E1" w:rsidRDefault="00E61778" w:rsidP="00E61778">
      <w:pPr>
        <w:pBdr>
          <w:bottom w:val="single" w:sz="6" w:space="1" w:color="auto"/>
        </w:pBdr>
        <w:ind w:right="95"/>
        <w:jc w:val="both"/>
        <w:rPr>
          <w:rFonts w:ascii="Calibri" w:eastAsia="Calibri" w:hAnsi="Calibri" w:cs="Times New Roman"/>
          <w:b/>
        </w:rPr>
      </w:pPr>
    </w:p>
    <w:p w14:paraId="67FCDD13" w14:textId="77777777" w:rsidR="00E61778" w:rsidRPr="00E25AD0" w:rsidRDefault="00E61778" w:rsidP="00E61778">
      <w:pPr>
        <w:ind w:right="95"/>
        <w:jc w:val="both"/>
        <w:rPr>
          <w:rFonts w:ascii="Calibri" w:eastAsia="Calibri" w:hAnsi="Calibri" w:cs="Times New Roman"/>
          <w:b/>
          <w:i/>
        </w:rPr>
      </w:pPr>
      <w:r w:rsidRPr="00E25AD0">
        <w:rPr>
          <w:rFonts w:ascii="Calibri" w:eastAsia="Calibri" w:hAnsi="Calibri" w:cs="Times New Roman"/>
          <w:b/>
          <w:i/>
        </w:rPr>
        <w:lastRenderedPageBreak/>
        <w:t>FOR STASH Research Team Use Only</w:t>
      </w:r>
    </w:p>
    <w:p w14:paraId="6ABA1238" w14:textId="77777777" w:rsidR="00E61778" w:rsidRDefault="00E61778" w:rsidP="00E61778">
      <w:pPr>
        <w:ind w:right="95"/>
        <w:jc w:val="both"/>
        <w:rPr>
          <w:rFonts w:ascii="Calibri" w:eastAsia="Calibri" w:hAnsi="Calibri" w:cs="Times New Roman"/>
          <w:b/>
        </w:rPr>
      </w:pPr>
    </w:p>
    <w:p w14:paraId="7F59D2E5" w14:textId="77777777" w:rsidR="00E61778" w:rsidRPr="005529E1" w:rsidRDefault="00E61778" w:rsidP="00E61778">
      <w:pPr>
        <w:ind w:right="95"/>
        <w:jc w:val="both"/>
        <w:rPr>
          <w:rFonts w:ascii="Calibri" w:eastAsia="Calibri" w:hAnsi="Calibri" w:cs="Times New Roman"/>
        </w:rPr>
      </w:pPr>
      <w:r w:rsidRPr="005529E1">
        <w:rPr>
          <w:rFonts w:ascii="Calibri" w:eastAsia="Calibri" w:hAnsi="Calibri" w:cs="Times New Roman"/>
          <w:b/>
        </w:rPr>
        <w:t xml:space="preserve">4. Acknowledgement of receipt by main </w:t>
      </w:r>
      <w:r>
        <w:rPr>
          <w:rFonts w:ascii="Calibri" w:eastAsia="Calibri" w:hAnsi="Calibri" w:cs="Times New Roman"/>
          <w:b/>
        </w:rPr>
        <w:t>Research Team</w:t>
      </w:r>
    </w:p>
    <w:p w14:paraId="33FC9241" w14:textId="77777777" w:rsidR="00E61778" w:rsidRPr="005529E1" w:rsidRDefault="00E61778" w:rsidP="00E61778">
      <w:pPr>
        <w:ind w:right="95"/>
        <w:jc w:val="both"/>
        <w:rPr>
          <w:rFonts w:ascii="Calibri" w:eastAsia="Calibri" w:hAnsi="Calibri" w:cs="Times New Roman"/>
        </w:rPr>
      </w:pPr>
      <w:r w:rsidRPr="005529E1">
        <w:rPr>
          <w:rFonts w:ascii="Calibri" w:eastAsia="Calibri" w:hAnsi="Calibri" w:cs="Times New Roman"/>
        </w:rPr>
        <w:t xml:space="preserve">The </w:t>
      </w:r>
      <w:r>
        <w:rPr>
          <w:rFonts w:ascii="Calibri" w:eastAsia="Calibri" w:hAnsi="Calibri" w:cs="Times New Roman"/>
        </w:rPr>
        <w:t>Research Team</w:t>
      </w:r>
      <w:r w:rsidRPr="005529E1">
        <w:rPr>
          <w:rFonts w:ascii="Calibri" w:eastAsia="Calibri" w:hAnsi="Calibri" w:cs="Times New Roman"/>
        </w:rPr>
        <w:t xml:space="preserve"> acknowledges receipt of the above report.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760"/>
      </w:tblGrid>
      <w:tr w:rsidR="00E61778" w:rsidRPr="005529E1" w14:paraId="5FAA5DB9" w14:textId="77777777" w:rsidTr="00E76676">
        <w:trPr>
          <w:trHeight w:val="504"/>
        </w:trPr>
        <w:tc>
          <w:tcPr>
            <w:tcW w:w="3240" w:type="dxa"/>
            <w:tcBorders>
              <w:top w:val="single" w:sz="4" w:space="0" w:color="auto"/>
              <w:left w:val="single" w:sz="4" w:space="0" w:color="auto"/>
              <w:bottom w:val="single" w:sz="4" w:space="0" w:color="auto"/>
              <w:right w:val="single" w:sz="4" w:space="0" w:color="auto"/>
            </w:tcBorders>
            <w:vAlign w:val="center"/>
            <w:hideMark/>
          </w:tcPr>
          <w:p w14:paraId="7B839336"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Signed:</w:t>
            </w:r>
          </w:p>
        </w:tc>
        <w:tc>
          <w:tcPr>
            <w:tcW w:w="5760" w:type="dxa"/>
            <w:tcBorders>
              <w:top w:val="single" w:sz="4" w:space="0" w:color="auto"/>
              <w:left w:val="single" w:sz="4" w:space="0" w:color="auto"/>
              <w:bottom w:val="single" w:sz="4" w:space="0" w:color="auto"/>
              <w:right w:val="single" w:sz="4" w:space="0" w:color="auto"/>
            </w:tcBorders>
          </w:tcPr>
          <w:p w14:paraId="01B38963" w14:textId="77777777" w:rsidR="00E61778" w:rsidRPr="005529E1" w:rsidRDefault="00E61778" w:rsidP="00E76676">
            <w:pPr>
              <w:ind w:right="95"/>
              <w:jc w:val="both"/>
              <w:rPr>
                <w:rFonts w:ascii="Calibri" w:eastAsia="Calibri" w:hAnsi="Calibri" w:cs="Times New Roman"/>
              </w:rPr>
            </w:pPr>
          </w:p>
        </w:tc>
      </w:tr>
      <w:tr w:rsidR="00E61778" w:rsidRPr="005529E1" w14:paraId="592E6D78" w14:textId="77777777" w:rsidTr="00E76676">
        <w:trPr>
          <w:trHeight w:val="512"/>
        </w:trPr>
        <w:tc>
          <w:tcPr>
            <w:tcW w:w="3240" w:type="dxa"/>
            <w:tcBorders>
              <w:top w:val="single" w:sz="4" w:space="0" w:color="auto"/>
              <w:left w:val="single" w:sz="4" w:space="0" w:color="auto"/>
              <w:bottom w:val="single" w:sz="4" w:space="0" w:color="auto"/>
              <w:right w:val="single" w:sz="4" w:space="0" w:color="auto"/>
            </w:tcBorders>
            <w:vAlign w:val="center"/>
            <w:hideMark/>
          </w:tcPr>
          <w:p w14:paraId="25DA7C58"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Print name:</w:t>
            </w:r>
          </w:p>
        </w:tc>
        <w:tc>
          <w:tcPr>
            <w:tcW w:w="5760" w:type="dxa"/>
            <w:tcBorders>
              <w:top w:val="single" w:sz="4" w:space="0" w:color="auto"/>
              <w:left w:val="single" w:sz="4" w:space="0" w:color="auto"/>
              <w:bottom w:val="single" w:sz="4" w:space="0" w:color="auto"/>
              <w:right w:val="single" w:sz="4" w:space="0" w:color="auto"/>
            </w:tcBorders>
          </w:tcPr>
          <w:p w14:paraId="49E1094B" w14:textId="77777777" w:rsidR="00E61778" w:rsidRPr="005529E1" w:rsidRDefault="00E61778" w:rsidP="00E76676">
            <w:pPr>
              <w:ind w:right="95"/>
              <w:jc w:val="both"/>
              <w:rPr>
                <w:rFonts w:ascii="Calibri" w:eastAsia="Calibri" w:hAnsi="Calibri" w:cs="Times New Roman"/>
              </w:rPr>
            </w:pPr>
          </w:p>
        </w:tc>
      </w:tr>
      <w:tr w:rsidR="00E61778" w:rsidRPr="005529E1" w14:paraId="3750E713" w14:textId="77777777" w:rsidTr="00E76676">
        <w:trPr>
          <w:trHeight w:val="534"/>
        </w:trPr>
        <w:tc>
          <w:tcPr>
            <w:tcW w:w="3240" w:type="dxa"/>
            <w:tcBorders>
              <w:top w:val="single" w:sz="4" w:space="0" w:color="auto"/>
              <w:left w:val="single" w:sz="4" w:space="0" w:color="auto"/>
              <w:bottom w:val="single" w:sz="4" w:space="0" w:color="auto"/>
              <w:right w:val="single" w:sz="4" w:space="0" w:color="auto"/>
            </w:tcBorders>
            <w:vAlign w:val="center"/>
            <w:hideMark/>
          </w:tcPr>
          <w:p w14:paraId="652A6BA9"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 xml:space="preserve">Position on </w:t>
            </w:r>
            <w:r>
              <w:rPr>
                <w:rFonts w:ascii="Calibri" w:eastAsia="Calibri" w:hAnsi="Calibri" w:cs="Times New Roman"/>
              </w:rPr>
              <w:t>Research Team</w:t>
            </w:r>
            <w:r w:rsidRPr="005529E1">
              <w:rPr>
                <w:rFonts w:ascii="Calibri" w:eastAsia="Calibri" w:hAnsi="Calibri" w:cs="Times New Roman"/>
              </w:rPr>
              <w:t>:</w:t>
            </w:r>
          </w:p>
        </w:tc>
        <w:tc>
          <w:tcPr>
            <w:tcW w:w="5760" w:type="dxa"/>
            <w:tcBorders>
              <w:top w:val="single" w:sz="4" w:space="0" w:color="auto"/>
              <w:left w:val="single" w:sz="4" w:space="0" w:color="auto"/>
              <w:bottom w:val="single" w:sz="4" w:space="0" w:color="auto"/>
              <w:right w:val="single" w:sz="4" w:space="0" w:color="auto"/>
            </w:tcBorders>
          </w:tcPr>
          <w:p w14:paraId="27710EC8" w14:textId="77777777" w:rsidR="00E61778" w:rsidRPr="005529E1" w:rsidRDefault="00E61778" w:rsidP="00E76676">
            <w:pPr>
              <w:ind w:right="95"/>
              <w:jc w:val="both"/>
              <w:rPr>
                <w:rFonts w:ascii="Calibri" w:eastAsia="Calibri" w:hAnsi="Calibri" w:cs="Times New Roman"/>
              </w:rPr>
            </w:pPr>
          </w:p>
        </w:tc>
      </w:tr>
      <w:tr w:rsidR="00E61778" w:rsidRPr="005529E1" w14:paraId="76680A3A" w14:textId="77777777" w:rsidTr="00E76676">
        <w:trPr>
          <w:trHeight w:val="528"/>
        </w:trPr>
        <w:tc>
          <w:tcPr>
            <w:tcW w:w="3240" w:type="dxa"/>
            <w:tcBorders>
              <w:top w:val="single" w:sz="4" w:space="0" w:color="auto"/>
              <w:left w:val="single" w:sz="4" w:space="0" w:color="auto"/>
              <w:bottom w:val="single" w:sz="4" w:space="0" w:color="auto"/>
              <w:right w:val="single" w:sz="4" w:space="0" w:color="auto"/>
            </w:tcBorders>
            <w:vAlign w:val="center"/>
            <w:hideMark/>
          </w:tcPr>
          <w:p w14:paraId="35BD8444"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Date:</w:t>
            </w:r>
          </w:p>
        </w:tc>
        <w:tc>
          <w:tcPr>
            <w:tcW w:w="5760" w:type="dxa"/>
            <w:tcBorders>
              <w:top w:val="single" w:sz="4" w:space="0" w:color="auto"/>
              <w:left w:val="single" w:sz="4" w:space="0" w:color="auto"/>
              <w:bottom w:val="single" w:sz="4" w:space="0" w:color="auto"/>
              <w:right w:val="single" w:sz="4" w:space="0" w:color="auto"/>
            </w:tcBorders>
          </w:tcPr>
          <w:p w14:paraId="4287FFAB" w14:textId="77777777" w:rsidR="00E61778" w:rsidRPr="005529E1" w:rsidRDefault="00E61778" w:rsidP="00E76676">
            <w:pPr>
              <w:ind w:right="95"/>
              <w:jc w:val="both"/>
              <w:rPr>
                <w:rFonts w:ascii="Calibri" w:eastAsia="Calibri" w:hAnsi="Calibri" w:cs="Times New Roman"/>
              </w:rPr>
            </w:pPr>
          </w:p>
        </w:tc>
      </w:tr>
      <w:tr w:rsidR="00E61778" w:rsidRPr="005529E1" w14:paraId="2B11A9B7" w14:textId="77777777" w:rsidTr="00E76676">
        <w:trPr>
          <w:trHeight w:val="528"/>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AE38D35" w14:textId="36AD2D28" w:rsidR="00E61778" w:rsidRDefault="007D62C0" w:rsidP="00047C68">
            <w:pPr>
              <w:spacing w:line="240" w:lineRule="auto"/>
              <w:ind w:right="95"/>
              <w:jc w:val="both"/>
              <w:rPr>
                <w:rFonts w:ascii="Calibri" w:eastAsia="Calibri" w:hAnsi="Calibri" w:cs="Times New Roman"/>
              </w:rPr>
            </w:pPr>
            <w:r>
              <w:rPr>
                <w:rFonts w:ascii="Calibri" w:eastAsia="Calibri" w:hAnsi="Calibri" w:cs="Times New Roman"/>
              </w:rPr>
              <w:t>Causality judgment</w:t>
            </w:r>
            <w:r w:rsidR="00047C68">
              <w:rPr>
                <w:rFonts w:ascii="Calibri" w:eastAsia="Calibri" w:hAnsi="Calibri" w:cs="Times New Roman"/>
              </w:rPr>
              <w:t>:</w:t>
            </w:r>
          </w:p>
          <w:p w14:paraId="105D3B60" w14:textId="12922DA8" w:rsidR="00047C68" w:rsidRPr="005529E1" w:rsidRDefault="00047C68" w:rsidP="00047C68">
            <w:pPr>
              <w:spacing w:line="240" w:lineRule="auto"/>
              <w:ind w:right="95"/>
              <w:rPr>
                <w:rFonts w:ascii="Calibri" w:eastAsia="Calibri" w:hAnsi="Calibri" w:cs="Times New Roman"/>
              </w:rPr>
            </w:pPr>
            <w:r>
              <w:rPr>
                <w:rFonts w:ascii="Calibri" w:eastAsia="Calibri" w:hAnsi="Calibri" w:cs="Times New Roman"/>
              </w:rPr>
              <w:t>Unrelated; unlikely; possible; probable; definite; not assessable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3BB7F5B" w14:textId="77777777" w:rsidR="00E61778" w:rsidRPr="005529E1" w:rsidRDefault="00E61778" w:rsidP="00E76676">
            <w:pPr>
              <w:ind w:right="95"/>
              <w:jc w:val="both"/>
              <w:rPr>
                <w:rFonts w:ascii="Calibri" w:eastAsia="Calibri" w:hAnsi="Calibri" w:cs="Times New Roman"/>
              </w:rPr>
            </w:pPr>
          </w:p>
        </w:tc>
      </w:tr>
      <w:tr w:rsidR="00E61778" w:rsidRPr="005529E1" w14:paraId="351015A8" w14:textId="77777777" w:rsidTr="00E76676">
        <w:trPr>
          <w:trHeight w:val="528"/>
        </w:trPr>
        <w:tc>
          <w:tcPr>
            <w:tcW w:w="3240" w:type="dxa"/>
            <w:tcBorders>
              <w:top w:val="single" w:sz="4" w:space="0" w:color="auto"/>
              <w:left w:val="single" w:sz="4" w:space="0" w:color="auto"/>
              <w:bottom w:val="single" w:sz="4" w:space="0" w:color="auto"/>
              <w:right w:val="single" w:sz="4" w:space="0" w:color="auto"/>
            </w:tcBorders>
            <w:vAlign w:val="center"/>
          </w:tcPr>
          <w:p w14:paraId="5FA89B49"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 xml:space="preserve">To be forwarded to TSC? (Yes/No) If YES, date forwarded. </w:t>
            </w:r>
          </w:p>
        </w:tc>
        <w:tc>
          <w:tcPr>
            <w:tcW w:w="5760" w:type="dxa"/>
            <w:tcBorders>
              <w:top w:val="single" w:sz="4" w:space="0" w:color="auto"/>
              <w:left w:val="single" w:sz="4" w:space="0" w:color="auto"/>
              <w:bottom w:val="single" w:sz="4" w:space="0" w:color="auto"/>
              <w:right w:val="single" w:sz="4" w:space="0" w:color="auto"/>
            </w:tcBorders>
          </w:tcPr>
          <w:p w14:paraId="625A1623" w14:textId="77777777" w:rsidR="00E61778" w:rsidRPr="005529E1" w:rsidRDefault="00E61778" w:rsidP="00E76676">
            <w:pPr>
              <w:ind w:right="95"/>
              <w:jc w:val="both"/>
              <w:rPr>
                <w:rFonts w:ascii="Calibri" w:eastAsia="Calibri" w:hAnsi="Calibri" w:cs="Times New Roman"/>
              </w:rPr>
            </w:pPr>
          </w:p>
        </w:tc>
      </w:tr>
    </w:tbl>
    <w:p w14:paraId="451B98CF" w14:textId="77777777" w:rsidR="00E61778" w:rsidRPr="005529E1" w:rsidRDefault="00E61778" w:rsidP="00E61778">
      <w:pPr>
        <w:ind w:right="95"/>
        <w:jc w:val="both"/>
        <w:rPr>
          <w:rFonts w:ascii="Calibri" w:eastAsia="Calibri" w:hAnsi="Calibri" w:cs="Times New Roman"/>
        </w:rPr>
      </w:pPr>
    </w:p>
    <w:p w14:paraId="4EC221AD" w14:textId="4470E5D3" w:rsidR="00E61778" w:rsidRPr="00E61778" w:rsidRDefault="00E61778" w:rsidP="00E61778">
      <w:pPr>
        <w:spacing w:after="200" w:line="276" w:lineRule="auto"/>
        <w:jc w:val="both"/>
        <w:rPr>
          <w:rFonts w:cs="Arial"/>
          <w:i/>
          <w:sz w:val="20"/>
          <w:szCs w:val="20"/>
        </w:rPr>
      </w:pPr>
      <w:r w:rsidRPr="00E61778">
        <w:rPr>
          <w:rFonts w:cs="Arial"/>
          <w:i/>
          <w:sz w:val="20"/>
          <w:szCs w:val="20"/>
        </w:rPr>
        <w:t xml:space="preserve">If causality is deemed possible between serious negative event and STASH trial, the TSC chair should be informed within 15 days. The threshold for informing the TSC is set at low. The chair will circulate with rest of group if necessary. If the chair is away, the PI should inform the designated representative (DG). </w:t>
      </w:r>
    </w:p>
    <w:p w14:paraId="0892D9F2" w14:textId="77777777" w:rsidR="00E61778" w:rsidRDefault="00E61778" w:rsidP="00E61778">
      <w:pPr>
        <w:ind w:right="95"/>
        <w:jc w:val="both"/>
        <w:rPr>
          <w:rFonts w:ascii="Calibri" w:eastAsia="Calibri" w:hAnsi="Calibri" w:cs="Times New Roman"/>
          <w:b/>
        </w:rPr>
      </w:pPr>
      <w:r w:rsidRPr="005529E1">
        <w:rPr>
          <w:rFonts w:ascii="Calibri" w:eastAsia="Calibri" w:hAnsi="Calibri" w:cs="Times New Roman"/>
          <w:i/>
        </w:rPr>
        <w:t xml:space="preserve">Signed original to be retained by STASH </w:t>
      </w:r>
      <w:r>
        <w:rPr>
          <w:rFonts w:ascii="Calibri" w:eastAsia="Calibri" w:hAnsi="Calibri" w:cs="Times New Roman"/>
          <w:i/>
        </w:rPr>
        <w:t>Research Team</w:t>
      </w:r>
      <w:r w:rsidRPr="005529E1">
        <w:rPr>
          <w:rFonts w:ascii="Calibri" w:eastAsia="Calibri" w:hAnsi="Calibri" w:cs="Times New Roman"/>
          <w:i/>
        </w:rPr>
        <w:t xml:space="preserve">. </w:t>
      </w:r>
    </w:p>
    <w:p w14:paraId="04BFC234" w14:textId="77777777" w:rsidR="00E61778" w:rsidRDefault="00E61778" w:rsidP="00E61778">
      <w:pPr>
        <w:ind w:right="95"/>
        <w:jc w:val="both"/>
        <w:rPr>
          <w:rFonts w:ascii="Calibri" w:eastAsia="Calibri" w:hAnsi="Calibri" w:cs="Times New Roman"/>
          <w:b/>
        </w:rPr>
      </w:pPr>
    </w:p>
    <w:p w14:paraId="4B89FB97" w14:textId="77777777" w:rsidR="00E61778" w:rsidRPr="005529E1" w:rsidRDefault="00E61778" w:rsidP="00E61778">
      <w:pPr>
        <w:ind w:right="95"/>
        <w:jc w:val="both"/>
        <w:rPr>
          <w:rFonts w:ascii="Calibri" w:eastAsia="Calibri" w:hAnsi="Calibri" w:cs="Times New Roman"/>
        </w:rPr>
      </w:pPr>
      <w:r w:rsidRPr="005529E1">
        <w:rPr>
          <w:rFonts w:ascii="Calibri" w:eastAsia="Calibri" w:hAnsi="Calibri" w:cs="Times New Roman"/>
          <w:b/>
        </w:rPr>
        <w:t xml:space="preserve">5. Acknowledgement of receipt by STASH </w:t>
      </w:r>
      <w:r>
        <w:rPr>
          <w:rFonts w:ascii="Calibri" w:eastAsia="Calibri" w:hAnsi="Calibri" w:cs="Times New Roman"/>
          <w:b/>
        </w:rPr>
        <w:t xml:space="preserve">Trial Steering Committee </w:t>
      </w:r>
    </w:p>
    <w:p w14:paraId="07859A43" w14:textId="77777777" w:rsidR="00E61778" w:rsidRPr="005529E1" w:rsidRDefault="00E61778" w:rsidP="00E61778">
      <w:pPr>
        <w:ind w:right="95"/>
        <w:jc w:val="both"/>
        <w:rPr>
          <w:rFonts w:ascii="Calibri" w:eastAsia="Calibri" w:hAnsi="Calibri" w:cs="Times New Roman"/>
        </w:rPr>
      </w:pPr>
      <w:r w:rsidRPr="005529E1">
        <w:rPr>
          <w:rFonts w:ascii="Calibri" w:eastAsia="Calibri" w:hAnsi="Calibri" w:cs="Times New Roman"/>
        </w:rPr>
        <w:t>The TSC acknowledges receipt of the above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760"/>
      </w:tblGrid>
      <w:tr w:rsidR="00E61778" w:rsidRPr="005529E1" w14:paraId="76AA124E" w14:textId="77777777" w:rsidTr="00E76676">
        <w:trPr>
          <w:trHeight w:val="504"/>
        </w:trPr>
        <w:tc>
          <w:tcPr>
            <w:tcW w:w="3240" w:type="dxa"/>
            <w:tcBorders>
              <w:top w:val="single" w:sz="4" w:space="0" w:color="auto"/>
              <w:left w:val="single" w:sz="4" w:space="0" w:color="auto"/>
              <w:bottom w:val="single" w:sz="4" w:space="0" w:color="auto"/>
              <w:right w:val="single" w:sz="4" w:space="0" w:color="auto"/>
            </w:tcBorders>
            <w:vAlign w:val="center"/>
            <w:hideMark/>
          </w:tcPr>
          <w:p w14:paraId="2B7BBDFB"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Signed:</w:t>
            </w:r>
          </w:p>
        </w:tc>
        <w:tc>
          <w:tcPr>
            <w:tcW w:w="5760" w:type="dxa"/>
            <w:tcBorders>
              <w:top w:val="single" w:sz="4" w:space="0" w:color="auto"/>
              <w:left w:val="single" w:sz="4" w:space="0" w:color="auto"/>
              <w:bottom w:val="single" w:sz="4" w:space="0" w:color="auto"/>
              <w:right w:val="single" w:sz="4" w:space="0" w:color="auto"/>
            </w:tcBorders>
          </w:tcPr>
          <w:p w14:paraId="4533FE28" w14:textId="77777777" w:rsidR="00E61778" w:rsidRPr="005529E1" w:rsidRDefault="00E61778" w:rsidP="00E76676">
            <w:pPr>
              <w:ind w:right="95"/>
              <w:jc w:val="both"/>
              <w:rPr>
                <w:rFonts w:ascii="Calibri" w:eastAsia="Calibri" w:hAnsi="Calibri" w:cs="Times New Roman"/>
              </w:rPr>
            </w:pPr>
          </w:p>
        </w:tc>
      </w:tr>
      <w:tr w:rsidR="00E61778" w:rsidRPr="005529E1" w14:paraId="788B7AC1" w14:textId="77777777" w:rsidTr="00E76676">
        <w:trPr>
          <w:trHeight w:val="512"/>
        </w:trPr>
        <w:tc>
          <w:tcPr>
            <w:tcW w:w="3240" w:type="dxa"/>
            <w:tcBorders>
              <w:top w:val="single" w:sz="4" w:space="0" w:color="auto"/>
              <w:left w:val="single" w:sz="4" w:space="0" w:color="auto"/>
              <w:bottom w:val="single" w:sz="4" w:space="0" w:color="auto"/>
              <w:right w:val="single" w:sz="4" w:space="0" w:color="auto"/>
            </w:tcBorders>
            <w:vAlign w:val="center"/>
            <w:hideMark/>
          </w:tcPr>
          <w:p w14:paraId="758D2901"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Print name:</w:t>
            </w:r>
          </w:p>
        </w:tc>
        <w:tc>
          <w:tcPr>
            <w:tcW w:w="5760" w:type="dxa"/>
            <w:tcBorders>
              <w:top w:val="single" w:sz="4" w:space="0" w:color="auto"/>
              <w:left w:val="single" w:sz="4" w:space="0" w:color="auto"/>
              <w:bottom w:val="single" w:sz="4" w:space="0" w:color="auto"/>
              <w:right w:val="single" w:sz="4" w:space="0" w:color="auto"/>
            </w:tcBorders>
          </w:tcPr>
          <w:p w14:paraId="436AF024" w14:textId="77777777" w:rsidR="00E61778" w:rsidRPr="005529E1" w:rsidRDefault="00E61778" w:rsidP="00E76676">
            <w:pPr>
              <w:ind w:right="95"/>
              <w:jc w:val="both"/>
              <w:rPr>
                <w:rFonts w:ascii="Calibri" w:eastAsia="Calibri" w:hAnsi="Calibri" w:cs="Times New Roman"/>
              </w:rPr>
            </w:pPr>
          </w:p>
        </w:tc>
      </w:tr>
      <w:tr w:rsidR="00E61778" w:rsidRPr="005529E1" w14:paraId="18587E3B" w14:textId="77777777" w:rsidTr="00E76676">
        <w:trPr>
          <w:trHeight w:val="534"/>
        </w:trPr>
        <w:tc>
          <w:tcPr>
            <w:tcW w:w="3240" w:type="dxa"/>
            <w:tcBorders>
              <w:top w:val="single" w:sz="4" w:space="0" w:color="auto"/>
              <w:left w:val="single" w:sz="4" w:space="0" w:color="auto"/>
              <w:bottom w:val="single" w:sz="4" w:space="0" w:color="auto"/>
              <w:right w:val="single" w:sz="4" w:space="0" w:color="auto"/>
            </w:tcBorders>
            <w:vAlign w:val="center"/>
            <w:hideMark/>
          </w:tcPr>
          <w:p w14:paraId="19F12A9D"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 xml:space="preserve">Position on </w:t>
            </w:r>
            <w:r>
              <w:rPr>
                <w:rFonts w:ascii="Calibri" w:eastAsia="Calibri" w:hAnsi="Calibri" w:cs="Times New Roman"/>
              </w:rPr>
              <w:t>Research Team</w:t>
            </w:r>
            <w:r w:rsidRPr="005529E1">
              <w:rPr>
                <w:rFonts w:ascii="Calibri" w:eastAsia="Calibri" w:hAnsi="Calibri" w:cs="Times New Roman"/>
              </w:rPr>
              <w:t>:</w:t>
            </w:r>
          </w:p>
        </w:tc>
        <w:tc>
          <w:tcPr>
            <w:tcW w:w="5760" w:type="dxa"/>
            <w:tcBorders>
              <w:top w:val="single" w:sz="4" w:space="0" w:color="auto"/>
              <w:left w:val="single" w:sz="4" w:space="0" w:color="auto"/>
              <w:bottom w:val="single" w:sz="4" w:space="0" w:color="auto"/>
              <w:right w:val="single" w:sz="4" w:space="0" w:color="auto"/>
            </w:tcBorders>
          </w:tcPr>
          <w:p w14:paraId="53FC7D1C" w14:textId="77777777" w:rsidR="00E61778" w:rsidRPr="005529E1" w:rsidRDefault="00E61778" w:rsidP="00E76676">
            <w:pPr>
              <w:ind w:right="95"/>
              <w:jc w:val="both"/>
              <w:rPr>
                <w:rFonts w:ascii="Calibri" w:eastAsia="Calibri" w:hAnsi="Calibri" w:cs="Times New Roman"/>
              </w:rPr>
            </w:pPr>
          </w:p>
        </w:tc>
      </w:tr>
      <w:tr w:rsidR="00E61778" w:rsidRPr="005529E1" w14:paraId="1675659A" w14:textId="77777777" w:rsidTr="00E76676">
        <w:trPr>
          <w:trHeight w:val="528"/>
        </w:trPr>
        <w:tc>
          <w:tcPr>
            <w:tcW w:w="3240" w:type="dxa"/>
            <w:tcBorders>
              <w:top w:val="single" w:sz="4" w:space="0" w:color="auto"/>
              <w:left w:val="single" w:sz="4" w:space="0" w:color="auto"/>
              <w:bottom w:val="single" w:sz="4" w:space="0" w:color="auto"/>
              <w:right w:val="single" w:sz="4" w:space="0" w:color="auto"/>
            </w:tcBorders>
            <w:vAlign w:val="center"/>
            <w:hideMark/>
          </w:tcPr>
          <w:p w14:paraId="15EF55DC" w14:textId="77777777" w:rsidR="00E61778" w:rsidRPr="005529E1" w:rsidRDefault="00E61778" w:rsidP="00E76676">
            <w:pPr>
              <w:ind w:right="95"/>
              <w:jc w:val="both"/>
              <w:rPr>
                <w:rFonts w:ascii="Calibri" w:eastAsia="Calibri" w:hAnsi="Calibri" w:cs="Times New Roman"/>
              </w:rPr>
            </w:pPr>
            <w:r w:rsidRPr="005529E1">
              <w:rPr>
                <w:rFonts w:ascii="Calibri" w:eastAsia="Calibri" w:hAnsi="Calibri" w:cs="Times New Roman"/>
              </w:rPr>
              <w:t>Date:</w:t>
            </w:r>
          </w:p>
        </w:tc>
        <w:tc>
          <w:tcPr>
            <w:tcW w:w="5760" w:type="dxa"/>
            <w:tcBorders>
              <w:top w:val="single" w:sz="4" w:space="0" w:color="auto"/>
              <w:left w:val="single" w:sz="4" w:space="0" w:color="auto"/>
              <w:bottom w:val="single" w:sz="4" w:space="0" w:color="auto"/>
              <w:right w:val="single" w:sz="4" w:space="0" w:color="auto"/>
            </w:tcBorders>
          </w:tcPr>
          <w:p w14:paraId="19BD83C9" w14:textId="77777777" w:rsidR="00E61778" w:rsidRPr="005529E1" w:rsidRDefault="00E61778" w:rsidP="00E76676">
            <w:pPr>
              <w:ind w:right="95"/>
              <w:jc w:val="both"/>
              <w:rPr>
                <w:rFonts w:ascii="Calibri" w:eastAsia="Calibri" w:hAnsi="Calibri" w:cs="Times New Roman"/>
              </w:rPr>
            </w:pPr>
          </w:p>
        </w:tc>
      </w:tr>
    </w:tbl>
    <w:p w14:paraId="30C78589" w14:textId="77777777" w:rsidR="00E61778" w:rsidRPr="005529E1" w:rsidRDefault="00E61778" w:rsidP="00E61778">
      <w:pPr>
        <w:ind w:right="95"/>
        <w:jc w:val="both"/>
        <w:rPr>
          <w:rFonts w:ascii="Calibri" w:eastAsia="Calibri" w:hAnsi="Calibri" w:cs="Times New Roman"/>
          <w:i/>
        </w:rPr>
      </w:pPr>
    </w:p>
    <w:p w14:paraId="715AA246" w14:textId="77777777" w:rsidR="00E61778" w:rsidRPr="005529E1" w:rsidRDefault="00E61778" w:rsidP="00E61778">
      <w:pPr>
        <w:ind w:right="95"/>
        <w:jc w:val="both"/>
        <w:rPr>
          <w:rFonts w:ascii="Calibri" w:eastAsia="Calibri" w:hAnsi="Calibri" w:cs="Times New Roman"/>
        </w:rPr>
      </w:pPr>
    </w:p>
    <w:p w14:paraId="454BA7C8" w14:textId="45C57D9E" w:rsidR="00E00A2A" w:rsidRPr="00851DFB" w:rsidRDefault="00E61778" w:rsidP="00E61778">
      <w:pPr>
        <w:keepNext/>
        <w:spacing w:before="240" w:after="60" w:line="240" w:lineRule="auto"/>
        <w:jc w:val="both"/>
        <w:outlineLvl w:val="0"/>
      </w:pPr>
      <w:r w:rsidRPr="005529E1">
        <w:rPr>
          <w:rFonts w:ascii="Calibri Light" w:eastAsia="Times New Roman" w:hAnsi="Calibri Light" w:cs="Times New Roman"/>
          <w:b/>
          <w:bCs/>
          <w:kern w:val="32"/>
          <w:sz w:val="28"/>
          <w:szCs w:val="32"/>
          <w:lang w:eastAsia="en-GB"/>
        </w:rPr>
        <w:t xml:space="preserve"> </w:t>
      </w:r>
    </w:p>
    <w:sectPr w:rsidR="00E00A2A" w:rsidRPr="00851DFB" w:rsidSect="00CE0F1D">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B7A05" w14:textId="77777777" w:rsidR="00CE3CD7" w:rsidRDefault="00CE3CD7" w:rsidP="00D644F6">
      <w:pPr>
        <w:spacing w:after="0" w:line="240" w:lineRule="auto"/>
      </w:pPr>
      <w:r>
        <w:separator/>
      </w:r>
    </w:p>
  </w:endnote>
  <w:endnote w:type="continuationSeparator" w:id="0">
    <w:p w14:paraId="06BB76B5" w14:textId="77777777" w:rsidR="00CE3CD7" w:rsidRDefault="00CE3CD7" w:rsidP="00D6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85727"/>
      <w:docPartObj>
        <w:docPartGallery w:val="Page Numbers (Bottom of Page)"/>
        <w:docPartUnique/>
      </w:docPartObj>
    </w:sdtPr>
    <w:sdtEndPr>
      <w:rPr>
        <w:noProof/>
      </w:rPr>
    </w:sdtEndPr>
    <w:sdtContent>
      <w:p w14:paraId="79737462" w14:textId="39FAB17F" w:rsidR="00494E3F" w:rsidRDefault="00494E3F">
        <w:pPr>
          <w:pStyle w:val="Footer"/>
          <w:jc w:val="right"/>
        </w:pPr>
        <w:r>
          <w:fldChar w:fldCharType="begin"/>
        </w:r>
        <w:r>
          <w:instrText xml:space="preserve"> PAGE   \* MERGEFORMAT </w:instrText>
        </w:r>
        <w:r>
          <w:fldChar w:fldCharType="separate"/>
        </w:r>
        <w:r w:rsidR="001C39EB">
          <w:rPr>
            <w:noProof/>
          </w:rPr>
          <w:t>7</w:t>
        </w:r>
        <w:r>
          <w:rPr>
            <w:noProof/>
          </w:rPr>
          <w:fldChar w:fldCharType="end"/>
        </w:r>
      </w:p>
    </w:sdtContent>
  </w:sdt>
  <w:p w14:paraId="6094F7A8" w14:textId="77777777" w:rsidR="00494E3F" w:rsidRDefault="00494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DFE17" w14:textId="77777777" w:rsidR="00CE3CD7" w:rsidRDefault="00CE3CD7" w:rsidP="00D644F6">
      <w:pPr>
        <w:spacing w:after="0" w:line="240" w:lineRule="auto"/>
      </w:pPr>
      <w:r>
        <w:separator/>
      </w:r>
    </w:p>
  </w:footnote>
  <w:footnote w:type="continuationSeparator" w:id="0">
    <w:p w14:paraId="16CB37A4" w14:textId="77777777" w:rsidR="00CE3CD7" w:rsidRDefault="00CE3CD7" w:rsidP="00D64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DB6D" w14:textId="0C189E3C" w:rsidR="00494E3F" w:rsidRDefault="00494E3F">
    <w:pPr>
      <w:pStyle w:val="Header"/>
    </w:pPr>
    <w:r w:rsidRPr="00877DC7">
      <w:t xml:space="preserve">STASH </w:t>
    </w:r>
    <w:r w:rsidR="00B22190">
      <w:t xml:space="preserve">Procedures: </w:t>
    </w:r>
    <w:r w:rsidR="00391AAC">
      <w:t>R</w:t>
    </w:r>
    <w:r w:rsidR="00B22190">
      <w:t>eporting of harms to NIHR Trial Steering Commitee  v.3</w:t>
    </w:r>
    <w:r w:rsidRPr="00877DC7">
      <w:t xml:space="preserve"> </w:t>
    </w:r>
    <w:r w:rsidR="00B22190">
      <w:t>30.01.17</w:t>
    </w:r>
    <w:r w:rsidRPr="00877DC7">
      <w:t xml:space="preserve"> Carrie Purcell</w:t>
    </w:r>
  </w:p>
  <w:p w14:paraId="17CEDBC0" w14:textId="77777777" w:rsidR="00494E3F" w:rsidRDefault="00494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5202"/>
    <w:multiLevelType w:val="hybridMultilevel"/>
    <w:tmpl w:val="A9C0A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4450F"/>
    <w:multiLevelType w:val="hybridMultilevel"/>
    <w:tmpl w:val="05C0D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FB"/>
    <w:rsid w:val="000345C2"/>
    <w:rsid w:val="00036145"/>
    <w:rsid w:val="00047C68"/>
    <w:rsid w:val="00050F2E"/>
    <w:rsid w:val="000572FA"/>
    <w:rsid w:val="0005793D"/>
    <w:rsid w:val="000653DB"/>
    <w:rsid w:val="000A7D97"/>
    <w:rsid w:val="000F531A"/>
    <w:rsid w:val="00120AEB"/>
    <w:rsid w:val="001257F8"/>
    <w:rsid w:val="00133BCF"/>
    <w:rsid w:val="00157CE8"/>
    <w:rsid w:val="00174E65"/>
    <w:rsid w:val="0018118A"/>
    <w:rsid w:val="001B2DF3"/>
    <w:rsid w:val="001C39EB"/>
    <w:rsid w:val="001C68C5"/>
    <w:rsid w:val="002152B5"/>
    <w:rsid w:val="0021704A"/>
    <w:rsid w:val="0022710C"/>
    <w:rsid w:val="00274127"/>
    <w:rsid w:val="00283952"/>
    <w:rsid w:val="00295142"/>
    <w:rsid w:val="002A349F"/>
    <w:rsid w:val="002A7F31"/>
    <w:rsid w:val="002C438D"/>
    <w:rsid w:val="002E734A"/>
    <w:rsid w:val="003247A0"/>
    <w:rsid w:val="00363A21"/>
    <w:rsid w:val="00391AAC"/>
    <w:rsid w:val="003A63F1"/>
    <w:rsid w:val="003B47C7"/>
    <w:rsid w:val="003C38B6"/>
    <w:rsid w:val="003D2E40"/>
    <w:rsid w:val="00415305"/>
    <w:rsid w:val="00417446"/>
    <w:rsid w:val="00444BA7"/>
    <w:rsid w:val="00456610"/>
    <w:rsid w:val="0046138B"/>
    <w:rsid w:val="0047496B"/>
    <w:rsid w:val="00490E75"/>
    <w:rsid w:val="00493DEE"/>
    <w:rsid w:val="00494E3F"/>
    <w:rsid w:val="00495069"/>
    <w:rsid w:val="004B13EE"/>
    <w:rsid w:val="00502866"/>
    <w:rsid w:val="005153A8"/>
    <w:rsid w:val="005202F6"/>
    <w:rsid w:val="005D5AAD"/>
    <w:rsid w:val="005E0BE5"/>
    <w:rsid w:val="0063674A"/>
    <w:rsid w:val="00663EC2"/>
    <w:rsid w:val="006836B0"/>
    <w:rsid w:val="006C0CD8"/>
    <w:rsid w:val="00725396"/>
    <w:rsid w:val="0078301C"/>
    <w:rsid w:val="007A496B"/>
    <w:rsid w:val="007A7539"/>
    <w:rsid w:val="007C0560"/>
    <w:rsid w:val="007D62C0"/>
    <w:rsid w:val="007F3198"/>
    <w:rsid w:val="007F63E6"/>
    <w:rsid w:val="0080516A"/>
    <w:rsid w:val="008310E0"/>
    <w:rsid w:val="00851DFB"/>
    <w:rsid w:val="0086205F"/>
    <w:rsid w:val="00877DC7"/>
    <w:rsid w:val="008C40D5"/>
    <w:rsid w:val="008D70AC"/>
    <w:rsid w:val="008F0922"/>
    <w:rsid w:val="009227A7"/>
    <w:rsid w:val="00926FA8"/>
    <w:rsid w:val="009526A4"/>
    <w:rsid w:val="00970444"/>
    <w:rsid w:val="009A29AF"/>
    <w:rsid w:val="009B0EEB"/>
    <w:rsid w:val="009D482F"/>
    <w:rsid w:val="009F1CAC"/>
    <w:rsid w:val="00A0201C"/>
    <w:rsid w:val="00A25253"/>
    <w:rsid w:val="00A44A1F"/>
    <w:rsid w:val="00A67469"/>
    <w:rsid w:val="00A85056"/>
    <w:rsid w:val="00AA353B"/>
    <w:rsid w:val="00AA761E"/>
    <w:rsid w:val="00AB707D"/>
    <w:rsid w:val="00B139AB"/>
    <w:rsid w:val="00B22190"/>
    <w:rsid w:val="00B65025"/>
    <w:rsid w:val="00B9449E"/>
    <w:rsid w:val="00BE41B2"/>
    <w:rsid w:val="00BE6E9A"/>
    <w:rsid w:val="00C24386"/>
    <w:rsid w:val="00C27796"/>
    <w:rsid w:val="00C33704"/>
    <w:rsid w:val="00C51F45"/>
    <w:rsid w:val="00C63B00"/>
    <w:rsid w:val="00C82147"/>
    <w:rsid w:val="00CB2072"/>
    <w:rsid w:val="00CE0F1D"/>
    <w:rsid w:val="00CE3CD7"/>
    <w:rsid w:val="00D01D17"/>
    <w:rsid w:val="00D23443"/>
    <w:rsid w:val="00D27629"/>
    <w:rsid w:val="00D50EE2"/>
    <w:rsid w:val="00D644F6"/>
    <w:rsid w:val="00D64D2D"/>
    <w:rsid w:val="00DD7836"/>
    <w:rsid w:val="00E00A2A"/>
    <w:rsid w:val="00E51C66"/>
    <w:rsid w:val="00E61778"/>
    <w:rsid w:val="00E61E0B"/>
    <w:rsid w:val="00E62A4B"/>
    <w:rsid w:val="00E7147D"/>
    <w:rsid w:val="00EA5F5D"/>
    <w:rsid w:val="00EA7B88"/>
    <w:rsid w:val="00EB5180"/>
    <w:rsid w:val="00EC5408"/>
    <w:rsid w:val="00EF4CDC"/>
    <w:rsid w:val="00F021B5"/>
    <w:rsid w:val="00F0716F"/>
    <w:rsid w:val="00F10784"/>
    <w:rsid w:val="00F168D6"/>
    <w:rsid w:val="00F20B29"/>
    <w:rsid w:val="00F72246"/>
    <w:rsid w:val="00F93E4D"/>
    <w:rsid w:val="00FC1388"/>
    <w:rsid w:val="00FC6582"/>
    <w:rsid w:val="00FE3A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879BB"/>
  <w15:docId w15:val="{699A6AB4-2951-4ACD-A651-9B1B5ECD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6A4"/>
    <w:pPr>
      <w:keepNext/>
      <w:spacing w:before="240" w:after="60" w:line="240" w:lineRule="auto"/>
      <w:outlineLvl w:val="0"/>
    </w:pPr>
    <w:rPr>
      <w:rFonts w:asciiTheme="majorHAnsi" w:eastAsia="Times New Roman" w:hAnsiTheme="majorHAnsi" w:cs="Times New Roman"/>
      <w:b/>
      <w:bCs/>
      <w:kern w:val="32"/>
      <w:sz w:val="28"/>
      <w:szCs w:val="32"/>
      <w:lang w:eastAsia="en-GB"/>
    </w:rPr>
  </w:style>
  <w:style w:type="paragraph" w:styleId="Heading2">
    <w:name w:val="heading 2"/>
    <w:basedOn w:val="Normal"/>
    <w:next w:val="Normal"/>
    <w:link w:val="Heading2Char"/>
    <w:uiPriority w:val="9"/>
    <w:unhideWhenUsed/>
    <w:qFormat/>
    <w:rsid w:val="00FE3A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7">
    <w:name w:val="heading 7"/>
    <w:basedOn w:val="Normal"/>
    <w:next w:val="Normal"/>
    <w:link w:val="Heading7Char"/>
    <w:uiPriority w:val="9"/>
    <w:semiHidden/>
    <w:unhideWhenUsed/>
    <w:qFormat/>
    <w:rsid w:val="00F93E4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2866"/>
    <w:rPr>
      <w:sz w:val="16"/>
      <w:szCs w:val="16"/>
    </w:rPr>
  </w:style>
  <w:style w:type="paragraph" w:styleId="CommentText">
    <w:name w:val="annotation text"/>
    <w:basedOn w:val="Normal"/>
    <w:link w:val="CommentTextChar"/>
    <w:uiPriority w:val="99"/>
    <w:semiHidden/>
    <w:unhideWhenUsed/>
    <w:rsid w:val="00502866"/>
    <w:pPr>
      <w:spacing w:line="240" w:lineRule="auto"/>
    </w:pPr>
    <w:rPr>
      <w:sz w:val="20"/>
      <w:szCs w:val="20"/>
    </w:rPr>
  </w:style>
  <w:style w:type="character" w:customStyle="1" w:styleId="CommentTextChar">
    <w:name w:val="Comment Text Char"/>
    <w:basedOn w:val="DefaultParagraphFont"/>
    <w:link w:val="CommentText"/>
    <w:uiPriority w:val="99"/>
    <w:semiHidden/>
    <w:rsid w:val="00502866"/>
    <w:rPr>
      <w:sz w:val="20"/>
      <w:szCs w:val="20"/>
    </w:rPr>
  </w:style>
  <w:style w:type="paragraph" w:styleId="CommentSubject">
    <w:name w:val="annotation subject"/>
    <w:basedOn w:val="CommentText"/>
    <w:next w:val="CommentText"/>
    <w:link w:val="CommentSubjectChar"/>
    <w:uiPriority w:val="99"/>
    <w:semiHidden/>
    <w:unhideWhenUsed/>
    <w:rsid w:val="00502866"/>
    <w:rPr>
      <w:b/>
      <w:bCs/>
    </w:rPr>
  </w:style>
  <w:style w:type="character" w:customStyle="1" w:styleId="CommentSubjectChar">
    <w:name w:val="Comment Subject Char"/>
    <w:basedOn w:val="CommentTextChar"/>
    <w:link w:val="CommentSubject"/>
    <w:uiPriority w:val="99"/>
    <w:semiHidden/>
    <w:rsid w:val="00502866"/>
    <w:rPr>
      <w:b/>
      <w:bCs/>
      <w:sz w:val="20"/>
      <w:szCs w:val="20"/>
    </w:rPr>
  </w:style>
  <w:style w:type="paragraph" w:styleId="BalloonText">
    <w:name w:val="Balloon Text"/>
    <w:basedOn w:val="Normal"/>
    <w:link w:val="BalloonTextChar"/>
    <w:uiPriority w:val="99"/>
    <w:semiHidden/>
    <w:unhideWhenUsed/>
    <w:rsid w:val="00502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866"/>
    <w:rPr>
      <w:rFonts w:ascii="Segoe UI" w:hAnsi="Segoe UI" w:cs="Segoe UI"/>
      <w:sz w:val="18"/>
      <w:szCs w:val="18"/>
    </w:rPr>
  </w:style>
  <w:style w:type="character" w:styleId="Hyperlink">
    <w:name w:val="Hyperlink"/>
    <w:basedOn w:val="DefaultParagraphFont"/>
    <w:uiPriority w:val="99"/>
    <w:unhideWhenUsed/>
    <w:rsid w:val="00926FA8"/>
    <w:rPr>
      <w:color w:val="0563C1" w:themeColor="hyperlink"/>
      <w:u w:val="single"/>
    </w:rPr>
  </w:style>
  <w:style w:type="paragraph" w:styleId="Header">
    <w:name w:val="header"/>
    <w:basedOn w:val="Normal"/>
    <w:link w:val="HeaderChar"/>
    <w:uiPriority w:val="99"/>
    <w:unhideWhenUsed/>
    <w:rsid w:val="00D64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4F6"/>
  </w:style>
  <w:style w:type="paragraph" w:styleId="Footer">
    <w:name w:val="footer"/>
    <w:basedOn w:val="Normal"/>
    <w:link w:val="FooterChar"/>
    <w:uiPriority w:val="99"/>
    <w:unhideWhenUsed/>
    <w:rsid w:val="00D64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4F6"/>
  </w:style>
  <w:style w:type="character" w:customStyle="1" w:styleId="Heading1Char">
    <w:name w:val="Heading 1 Char"/>
    <w:basedOn w:val="DefaultParagraphFont"/>
    <w:link w:val="Heading1"/>
    <w:rsid w:val="009526A4"/>
    <w:rPr>
      <w:rFonts w:asciiTheme="majorHAnsi" w:eastAsia="Times New Roman" w:hAnsiTheme="majorHAnsi" w:cs="Times New Roman"/>
      <w:b/>
      <w:bCs/>
      <w:kern w:val="32"/>
      <w:sz w:val="28"/>
      <w:szCs w:val="32"/>
      <w:lang w:eastAsia="en-GB"/>
    </w:rPr>
  </w:style>
  <w:style w:type="paragraph" w:styleId="NoSpacing">
    <w:name w:val="No Spacing"/>
    <w:uiPriority w:val="1"/>
    <w:qFormat/>
    <w:rsid w:val="00456610"/>
    <w:pPr>
      <w:spacing w:after="0" w:line="240" w:lineRule="auto"/>
    </w:pPr>
  </w:style>
  <w:style w:type="paragraph" w:styleId="Title">
    <w:name w:val="Title"/>
    <w:basedOn w:val="Normal"/>
    <w:next w:val="Normal"/>
    <w:link w:val="TitleChar"/>
    <w:uiPriority w:val="10"/>
    <w:qFormat/>
    <w:rsid w:val="00FE3A5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E3A5F"/>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FE3A5F"/>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uiPriority w:val="9"/>
    <w:semiHidden/>
    <w:rsid w:val="00F93E4D"/>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493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948385">
      <w:bodyDiv w:val="1"/>
      <w:marLeft w:val="0"/>
      <w:marRight w:val="0"/>
      <w:marTop w:val="0"/>
      <w:marBottom w:val="0"/>
      <w:divBdr>
        <w:top w:val="none" w:sz="0" w:space="0" w:color="auto"/>
        <w:left w:val="none" w:sz="0" w:space="0" w:color="auto"/>
        <w:bottom w:val="none" w:sz="0" w:space="0" w:color="auto"/>
        <w:right w:val="none" w:sz="0" w:space="0" w:color="auto"/>
      </w:divBdr>
    </w:div>
    <w:div w:id="1005522760">
      <w:bodyDiv w:val="1"/>
      <w:marLeft w:val="0"/>
      <w:marRight w:val="0"/>
      <w:marTop w:val="0"/>
      <w:marBottom w:val="0"/>
      <w:divBdr>
        <w:top w:val="none" w:sz="0" w:space="0" w:color="auto"/>
        <w:left w:val="none" w:sz="0" w:space="0" w:color="auto"/>
        <w:bottom w:val="none" w:sz="0" w:space="0" w:color="auto"/>
        <w:right w:val="none" w:sz="0" w:space="0" w:color="auto"/>
      </w:divBdr>
    </w:div>
    <w:div w:id="1283458351">
      <w:bodyDiv w:val="1"/>
      <w:marLeft w:val="0"/>
      <w:marRight w:val="0"/>
      <w:marTop w:val="0"/>
      <w:marBottom w:val="0"/>
      <w:divBdr>
        <w:top w:val="none" w:sz="0" w:space="0" w:color="auto"/>
        <w:left w:val="none" w:sz="0" w:space="0" w:color="auto"/>
        <w:bottom w:val="none" w:sz="0" w:space="0" w:color="auto"/>
        <w:right w:val="none" w:sz="0" w:space="0" w:color="auto"/>
      </w:divBdr>
    </w:div>
    <w:div w:id="1306157366">
      <w:bodyDiv w:val="1"/>
      <w:marLeft w:val="0"/>
      <w:marRight w:val="0"/>
      <w:marTop w:val="0"/>
      <w:marBottom w:val="0"/>
      <w:divBdr>
        <w:top w:val="none" w:sz="0" w:space="0" w:color="auto"/>
        <w:left w:val="none" w:sz="0" w:space="0" w:color="auto"/>
        <w:bottom w:val="none" w:sz="0" w:space="0" w:color="auto"/>
        <w:right w:val="none" w:sz="0" w:space="0" w:color="auto"/>
      </w:divBdr>
    </w:div>
    <w:div w:id="1546716458">
      <w:bodyDiv w:val="1"/>
      <w:marLeft w:val="0"/>
      <w:marRight w:val="0"/>
      <w:marTop w:val="0"/>
      <w:marBottom w:val="0"/>
      <w:divBdr>
        <w:top w:val="none" w:sz="0" w:space="0" w:color="auto"/>
        <w:left w:val="none" w:sz="0" w:space="0" w:color="auto"/>
        <w:bottom w:val="none" w:sz="0" w:space="0" w:color="auto"/>
        <w:right w:val="none" w:sz="0" w:space="0" w:color="auto"/>
      </w:divBdr>
    </w:div>
    <w:div w:id="19858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People/Young-People/gettingitright/wellbe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cot/resource/doc/333495/01088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275C-37AE-46F4-873B-AF79A3CE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 Kidger</dc:creator>
  <cp:lastModifiedBy>Ross Forsyth</cp:lastModifiedBy>
  <cp:revision>2</cp:revision>
  <dcterms:created xsi:type="dcterms:W3CDTF">2019-10-04T13:54:00Z</dcterms:created>
  <dcterms:modified xsi:type="dcterms:W3CDTF">2019-10-04T13:54:00Z</dcterms:modified>
</cp:coreProperties>
</file>