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531" w:rsidRPr="00874CBD" w:rsidRDefault="00B12531" w:rsidP="00B12531">
      <w:pPr>
        <w:pStyle w:val="Heading2"/>
      </w:pPr>
      <w:bookmarkStart w:id="0" w:name="_Toc40959166"/>
      <w:r>
        <w:t xml:space="preserve">Supplementary Material 7: </w:t>
      </w:r>
      <w:bookmarkStart w:id="1" w:name="_Hlk43117200"/>
      <w:r>
        <w:t>Sign off of optimised Positive Choices materials</w:t>
      </w:r>
      <w:bookmarkEnd w:id="0"/>
      <w:bookmarkEnd w:id="1"/>
    </w:p>
    <w:p w:rsidR="00B12531" w:rsidRDefault="00B12531" w:rsidP="00B12531">
      <w:pPr>
        <w:pStyle w:val="Heading1"/>
        <w:spacing w:before="0"/>
        <w:jc w:val="center"/>
        <w:rPr>
          <w:rFonts w:ascii="Calibri" w:hAnsi="Calibri" w:cs="Latha"/>
          <w:sz w:val="20"/>
          <w:szCs w:val="20"/>
        </w:rPr>
      </w:pPr>
    </w:p>
    <w:p w:rsidR="00B12531" w:rsidRPr="00C01E6A" w:rsidRDefault="00B12531" w:rsidP="00B12531">
      <w:pPr>
        <w:jc w:val="center"/>
        <w:rPr>
          <w:b/>
          <w:sz w:val="28"/>
          <w:szCs w:val="28"/>
        </w:rPr>
      </w:pPr>
      <w:r w:rsidRPr="00C01E6A">
        <w:rPr>
          <w:b/>
          <w:sz w:val="28"/>
          <w:szCs w:val="28"/>
        </w:rPr>
        <w:t>Actions from the Positive Choices Study Steering Committee Meeting</w:t>
      </w:r>
    </w:p>
    <w:p w:rsidR="00B12531" w:rsidRPr="00C01E6A" w:rsidRDefault="00B12531" w:rsidP="00B12531">
      <w:pPr>
        <w:jc w:val="center"/>
        <w:rPr>
          <w:b/>
          <w:sz w:val="28"/>
          <w:szCs w:val="28"/>
        </w:rPr>
      </w:pPr>
      <w:r w:rsidRPr="00C01E6A">
        <w:rPr>
          <w:b/>
          <w:sz w:val="28"/>
          <w:szCs w:val="28"/>
        </w:rPr>
        <w:t>Time: 14:00-16:00 Date: 26/06/2018</w:t>
      </w:r>
    </w:p>
    <w:p w:rsidR="00B12531" w:rsidRPr="00C01E6A" w:rsidRDefault="00B12531" w:rsidP="00B12531">
      <w:pPr>
        <w:jc w:val="center"/>
        <w:rPr>
          <w:b/>
          <w:sz w:val="28"/>
          <w:szCs w:val="28"/>
        </w:rPr>
      </w:pPr>
      <w:r w:rsidRPr="00C01E6A">
        <w:rPr>
          <w:b/>
          <w:sz w:val="28"/>
          <w:szCs w:val="28"/>
        </w:rPr>
        <w:t>Location: Teleconference</w:t>
      </w:r>
    </w:p>
    <w:p w:rsidR="00B12531" w:rsidRPr="00C01E6A" w:rsidRDefault="00B12531" w:rsidP="00B12531">
      <w:pPr>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6381"/>
        <w:gridCol w:w="1640"/>
        <w:gridCol w:w="466"/>
        <w:gridCol w:w="1013"/>
      </w:tblGrid>
      <w:tr w:rsidR="00B12531" w:rsidRPr="00F21859" w:rsidTr="002E0EE8">
        <w:trPr>
          <w:gridAfter w:val="1"/>
          <w:wAfter w:w="1013" w:type="dxa"/>
        </w:trPr>
        <w:tc>
          <w:tcPr>
            <w:tcW w:w="9160" w:type="dxa"/>
            <w:gridSpan w:val="4"/>
            <w:tcBorders>
              <w:top w:val="nil"/>
              <w:left w:val="nil"/>
              <w:bottom w:val="nil"/>
              <w:right w:val="nil"/>
            </w:tcBorders>
          </w:tcPr>
          <w:p w:rsidR="00B12531" w:rsidRDefault="00B12531" w:rsidP="002E0EE8">
            <w:pPr>
              <w:tabs>
                <w:tab w:val="left" w:pos="851"/>
              </w:tabs>
              <w:jc w:val="both"/>
              <w:rPr>
                <w:rFonts w:ascii="Arial" w:hAnsi="Arial" w:cs="Arial"/>
                <w:b/>
                <w:sz w:val="20"/>
                <w:szCs w:val="20"/>
              </w:rPr>
            </w:pPr>
            <w:r>
              <w:rPr>
                <w:rFonts w:ascii="Arial" w:hAnsi="Arial" w:cs="Arial"/>
                <w:b/>
                <w:sz w:val="20"/>
                <w:szCs w:val="20"/>
              </w:rPr>
              <w:t xml:space="preserve">Committee members present: Angela Harden (AH, chair), Chris </w:t>
            </w:r>
            <w:proofErr w:type="spellStart"/>
            <w:r>
              <w:rPr>
                <w:rFonts w:ascii="Arial" w:hAnsi="Arial" w:cs="Arial"/>
                <w:b/>
                <w:sz w:val="20"/>
                <w:szCs w:val="20"/>
              </w:rPr>
              <w:t>Bonell</w:t>
            </w:r>
            <w:proofErr w:type="spellEnd"/>
            <w:r>
              <w:rPr>
                <w:rFonts w:ascii="Arial" w:hAnsi="Arial" w:cs="Arial"/>
                <w:b/>
                <w:sz w:val="20"/>
                <w:szCs w:val="20"/>
              </w:rPr>
              <w:t xml:space="preserve"> (CB), Ros Kane (RK)</w:t>
            </w:r>
          </w:p>
          <w:p w:rsidR="00B12531" w:rsidRDefault="00B12531" w:rsidP="002E0EE8">
            <w:pPr>
              <w:tabs>
                <w:tab w:val="left" w:pos="851"/>
              </w:tabs>
              <w:jc w:val="both"/>
              <w:rPr>
                <w:rFonts w:ascii="Arial" w:hAnsi="Arial" w:cs="Arial"/>
                <w:b/>
                <w:sz w:val="20"/>
                <w:szCs w:val="20"/>
              </w:rPr>
            </w:pPr>
          </w:p>
          <w:p w:rsidR="00B12531" w:rsidRDefault="00B12531" w:rsidP="002E0EE8">
            <w:pPr>
              <w:tabs>
                <w:tab w:val="left" w:pos="851"/>
              </w:tabs>
              <w:jc w:val="both"/>
              <w:rPr>
                <w:rFonts w:ascii="Arial" w:hAnsi="Arial" w:cs="Arial"/>
                <w:b/>
                <w:sz w:val="20"/>
                <w:szCs w:val="20"/>
              </w:rPr>
            </w:pPr>
            <w:r>
              <w:rPr>
                <w:rFonts w:ascii="Arial" w:hAnsi="Arial" w:cs="Arial"/>
                <w:b/>
                <w:sz w:val="20"/>
                <w:szCs w:val="20"/>
              </w:rPr>
              <w:t>Apologies: John Belcher (JB)</w:t>
            </w:r>
          </w:p>
          <w:p w:rsidR="00B12531" w:rsidRDefault="00B12531" w:rsidP="002E0EE8">
            <w:pPr>
              <w:tabs>
                <w:tab w:val="left" w:pos="851"/>
              </w:tabs>
              <w:jc w:val="both"/>
              <w:rPr>
                <w:rFonts w:ascii="Arial" w:hAnsi="Arial" w:cs="Arial"/>
                <w:b/>
                <w:sz w:val="20"/>
                <w:szCs w:val="20"/>
              </w:rPr>
            </w:pPr>
          </w:p>
          <w:p w:rsidR="00B12531" w:rsidRDefault="00B12531" w:rsidP="002E0EE8">
            <w:pPr>
              <w:tabs>
                <w:tab w:val="left" w:pos="851"/>
              </w:tabs>
              <w:jc w:val="both"/>
              <w:rPr>
                <w:rFonts w:ascii="Arial" w:hAnsi="Arial" w:cs="Arial"/>
                <w:b/>
                <w:sz w:val="20"/>
                <w:szCs w:val="20"/>
              </w:rPr>
            </w:pPr>
            <w:r>
              <w:rPr>
                <w:rFonts w:ascii="Arial" w:hAnsi="Arial" w:cs="Arial"/>
                <w:b/>
                <w:sz w:val="20"/>
                <w:szCs w:val="20"/>
              </w:rPr>
              <w:t>Present as observers only: Sara Bragg (SB), Ruth Ponsford (RP)</w:t>
            </w:r>
          </w:p>
          <w:p w:rsidR="00B12531" w:rsidRPr="00733EDB" w:rsidRDefault="00B12531" w:rsidP="002E0EE8">
            <w:pPr>
              <w:tabs>
                <w:tab w:val="left" w:pos="851"/>
              </w:tabs>
              <w:jc w:val="both"/>
              <w:rPr>
                <w:rFonts w:ascii="Arial" w:hAnsi="Arial" w:cs="Arial"/>
                <w:b/>
                <w:sz w:val="20"/>
                <w:szCs w:val="20"/>
              </w:rPr>
            </w:pPr>
          </w:p>
        </w:tc>
      </w:tr>
      <w:tr w:rsidR="00B12531" w:rsidRPr="00F21859" w:rsidTr="002E0EE8">
        <w:trPr>
          <w:gridAfter w:val="1"/>
          <w:wAfter w:w="1013" w:type="dxa"/>
        </w:trPr>
        <w:tc>
          <w:tcPr>
            <w:tcW w:w="9160" w:type="dxa"/>
            <w:gridSpan w:val="4"/>
            <w:tcBorders>
              <w:top w:val="nil"/>
              <w:left w:val="nil"/>
              <w:bottom w:val="nil"/>
              <w:right w:val="nil"/>
            </w:tcBorders>
          </w:tcPr>
          <w:p w:rsidR="00B12531" w:rsidRPr="00733EDB" w:rsidRDefault="00B12531" w:rsidP="002E0EE8">
            <w:pPr>
              <w:tabs>
                <w:tab w:val="left" w:pos="851"/>
              </w:tabs>
              <w:jc w:val="both"/>
              <w:rPr>
                <w:rFonts w:ascii="Arial" w:hAnsi="Arial" w:cs="Arial"/>
                <w:b/>
                <w:sz w:val="20"/>
                <w:szCs w:val="20"/>
              </w:rPr>
            </w:pPr>
          </w:p>
        </w:tc>
      </w:tr>
      <w:tr w:rsidR="00B12531" w:rsidRPr="00ED2D3E" w:rsidTr="002E0EE8">
        <w:tc>
          <w:tcPr>
            <w:tcW w:w="673" w:type="dxa"/>
          </w:tcPr>
          <w:p w:rsidR="00B12531" w:rsidRPr="00ED2D3E" w:rsidRDefault="00B12531" w:rsidP="002E0EE8">
            <w:pPr>
              <w:rPr>
                <w:rFonts w:ascii="Arial" w:hAnsi="Arial" w:cs="Arial"/>
                <w:b/>
                <w:sz w:val="20"/>
                <w:szCs w:val="20"/>
              </w:rPr>
            </w:pPr>
          </w:p>
        </w:tc>
        <w:tc>
          <w:tcPr>
            <w:tcW w:w="6381" w:type="dxa"/>
          </w:tcPr>
          <w:p w:rsidR="00B12531" w:rsidRPr="00ED2D3E" w:rsidRDefault="00B12531" w:rsidP="002E0EE8">
            <w:pPr>
              <w:rPr>
                <w:rFonts w:ascii="Arial" w:hAnsi="Arial" w:cs="Arial"/>
                <w:b/>
                <w:sz w:val="20"/>
                <w:szCs w:val="20"/>
              </w:rPr>
            </w:pPr>
            <w:r w:rsidRPr="00ED2D3E">
              <w:rPr>
                <w:rFonts w:ascii="Arial" w:hAnsi="Arial" w:cs="Arial"/>
                <w:b/>
                <w:sz w:val="20"/>
                <w:szCs w:val="20"/>
              </w:rPr>
              <w:t>Action points from this meeting</w:t>
            </w:r>
          </w:p>
        </w:tc>
        <w:tc>
          <w:tcPr>
            <w:tcW w:w="1640" w:type="dxa"/>
          </w:tcPr>
          <w:p w:rsidR="00B12531" w:rsidRPr="00ED2D3E" w:rsidRDefault="00B12531" w:rsidP="002E0EE8">
            <w:pPr>
              <w:rPr>
                <w:rFonts w:ascii="Arial" w:hAnsi="Arial" w:cs="Arial"/>
                <w:b/>
                <w:sz w:val="20"/>
                <w:szCs w:val="20"/>
              </w:rPr>
            </w:pPr>
            <w:r w:rsidRPr="00ED2D3E">
              <w:rPr>
                <w:rFonts w:ascii="Arial" w:hAnsi="Arial" w:cs="Arial"/>
                <w:b/>
                <w:sz w:val="20"/>
                <w:szCs w:val="20"/>
              </w:rPr>
              <w:t>Owner</w:t>
            </w:r>
          </w:p>
        </w:tc>
        <w:tc>
          <w:tcPr>
            <w:tcW w:w="1479" w:type="dxa"/>
            <w:gridSpan w:val="2"/>
          </w:tcPr>
          <w:p w:rsidR="00B12531" w:rsidRPr="00ED2D3E" w:rsidRDefault="00B12531" w:rsidP="002E0EE8">
            <w:pPr>
              <w:rPr>
                <w:rFonts w:ascii="Arial" w:hAnsi="Arial" w:cs="Arial"/>
                <w:b/>
                <w:sz w:val="20"/>
                <w:szCs w:val="20"/>
              </w:rPr>
            </w:pPr>
            <w:r w:rsidRPr="00ED2D3E">
              <w:rPr>
                <w:rFonts w:ascii="Arial" w:hAnsi="Arial" w:cs="Arial"/>
                <w:b/>
                <w:sz w:val="20"/>
                <w:szCs w:val="20"/>
              </w:rPr>
              <w:t>Due Date</w:t>
            </w:r>
          </w:p>
        </w:tc>
      </w:tr>
      <w:tr w:rsidR="00B12531" w:rsidRPr="00ED2D3E" w:rsidTr="002E0EE8">
        <w:tc>
          <w:tcPr>
            <w:tcW w:w="673" w:type="dxa"/>
          </w:tcPr>
          <w:p w:rsidR="00B12531" w:rsidRPr="00ED2D3E" w:rsidRDefault="00B12531" w:rsidP="002E0EE8">
            <w:pPr>
              <w:rPr>
                <w:rFonts w:ascii="Arial" w:hAnsi="Arial" w:cs="Arial"/>
                <w:b/>
                <w:sz w:val="20"/>
                <w:szCs w:val="20"/>
              </w:rPr>
            </w:pPr>
            <w:r>
              <w:rPr>
                <w:rFonts w:ascii="Arial" w:hAnsi="Arial" w:cs="Arial"/>
                <w:b/>
                <w:sz w:val="20"/>
                <w:szCs w:val="20"/>
              </w:rPr>
              <w:t>1.</w:t>
            </w:r>
          </w:p>
        </w:tc>
        <w:tc>
          <w:tcPr>
            <w:tcW w:w="6381" w:type="dxa"/>
          </w:tcPr>
          <w:p w:rsidR="00B12531" w:rsidRPr="00ED2D3E" w:rsidRDefault="00B12531" w:rsidP="002E0EE8">
            <w:pPr>
              <w:pStyle w:val="NormalWeb"/>
              <w:spacing w:after="0"/>
              <w:rPr>
                <w:rFonts w:ascii="Arial" w:hAnsi="Arial" w:cs="Arial"/>
                <w:sz w:val="20"/>
                <w:szCs w:val="20"/>
              </w:rPr>
            </w:pPr>
            <w:r w:rsidRPr="00A0456D">
              <w:rPr>
                <w:rFonts w:ascii="Arial" w:hAnsi="Arial" w:cs="Arial"/>
                <w:sz w:val="20"/>
                <w:szCs w:val="20"/>
              </w:rPr>
              <w:t xml:space="preserve">Anonymised summary details of any safeguarding concerns </w:t>
            </w:r>
            <w:r>
              <w:rPr>
                <w:rFonts w:ascii="Arial" w:hAnsi="Arial" w:cs="Arial"/>
                <w:sz w:val="20"/>
                <w:szCs w:val="20"/>
              </w:rPr>
              <w:t xml:space="preserve">reported by the research team </w:t>
            </w:r>
            <w:r w:rsidRPr="00A0456D">
              <w:rPr>
                <w:rFonts w:ascii="Arial" w:hAnsi="Arial" w:cs="Arial"/>
                <w:sz w:val="20"/>
                <w:szCs w:val="20"/>
              </w:rPr>
              <w:t xml:space="preserve">will </w:t>
            </w:r>
            <w:r>
              <w:rPr>
                <w:rFonts w:ascii="Arial" w:hAnsi="Arial" w:cs="Arial"/>
                <w:sz w:val="20"/>
                <w:szCs w:val="20"/>
              </w:rPr>
              <w:t>be provided</w:t>
            </w:r>
            <w:r w:rsidRPr="00A0456D">
              <w:rPr>
                <w:rFonts w:ascii="Arial" w:hAnsi="Arial" w:cs="Arial"/>
                <w:sz w:val="20"/>
                <w:szCs w:val="20"/>
              </w:rPr>
              <w:t xml:space="preserve"> to the Study Steering Committee and LSHTM ethics committee annually. Serious adverse events (SAEs) or suspected unexpected serious adverse reaction</w:t>
            </w:r>
            <w:r>
              <w:rPr>
                <w:rFonts w:ascii="Arial" w:hAnsi="Arial" w:cs="Arial"/>
                <w:sz w:val="20"/>
                <w:szCs w:val="20"/>
              </w:rPr>
              <w:t>s</w:t>
            </w:r>
            <w:r w:rsidRPr="00A0456D">
              <w:rPr>
                <w:rFonts w:ascii="Arial" w:hAnsi="Arial" w:cs="Arial"/>
                <w:sz w:val="20"/>
                <w:szCs w:val="20"/>
              </w:rPr>
              <w:t xml:space="preserve"> (SUSARs) will</w:t>
            </w:r>
            <w:r>
              <w:rPr>
                <w:rFonts w:ascii="Arial" w:hAnsi="Arial" w:cs="Arial"/>
                <w:sz w:val="20"/>
                <w:szCs w:val="20"/>
              </w:rPr>
              <w:t xml:space="preserve"> also</w:t>
            </w:r>
            <w:r w:rsidRPr="00A0456D">
              <w:rPr>
                <w:rFonts w:ascii="Arial" w:hAnsi="Arial" w:cs="Arial"/>
                <w:sz w:val="20"/>
                <w:szCs w:val="20"/>
              </w:rPr>
              <w:t xml:space="preserve"> be reported </w:t>
            </w:r>
            <w:r>
              <w:rPr>
                <w:rFonts w:ascii="Arial" w:hAnsi="Arial" w:cs="Arial"/>
                <w:sz w:val="20"/>
                <w:szCs w:val="20"/>
              </w:rPr>
              <w:t xml:space="preserve">to the SSC </w:t>
            </w:r>
            <w:r w:rsidRPr="00A0456D">
              <w:rPr>
                <w:rFonts w:ascii="Arial" w:hAnsi="Arial" w:cs="Arial"/>
                <w:sz w:val="20"/>
                <w:szCs w:val="20"/>
              </w:rPr>
              <w:t>annually, unless in the case of SAE/SUSARs that might plausibly be linked to the intervention or research</w:t>
            </w:r>
            <w:r>
              <w:rPr>
                <w:rFonts w:ascii="Arial" w:hAnsi="Arial" w:cs="Arial"/>
                <w:sz w:val="20"/>
                <w:szCs w:val="20"/>
              </w:rPr>
              <w:t>,</w:t>
            </w:r>
            <w:r w:rsidRPr="00A0456D">
              <w:rPr>
                <w:rFonts w:ascii="Arial" w:hAnsi="Arial" w:cs="Arial"/>
                <w:sz w:val="20"/>
                <w:szCs w:val="20"/>
              </w:rPr>
              <w:t xml:space="preserve"> </w:t>
            </w:r>
            <w:r>
              <w:rPr>
                <w:rFonts w:ascii="Arial" w:hAnsi="Arial" w:cs="Arial"/>
                <w:sz w:val="20"/>
                <w:szCs w:val="20"/>
              </w:rPr>
              <w:t xml:space="preserve">which </w:t>
            </w:r>
            <w:r w:rsidRPr="00A0456D">
              <w:rPr>
                <w:rFonts w:ascii="Arial" w:hAnsi="Arial" w:cs="Arial"/>
                <w:sz w:val="20"/>
                <w:szCs w:val="20"/>
              </w:rPr>
              <w:t xml:space="preserve">will be reported to the SSC </w:t>
            </w:r>
            <w:r>
              <w:rPr>
                <w:rFonts w:ascii="Arial" w:hAnsi="Arial" w:cs="Arial"/>
                <w:sz w:val="20"/>
                <w:szCs w:val="20"/>
              </w:rPr>
              <w:t>in real time.</w:t>
            </w:r>
          </w:p>
        </w:tc>
        <w:tc>
          <w:tcPr>
            <w:tcW w:w="1640" w:type="dxa"/>
          </w:tcPr>
          <w:p w:rsidR="00B12531" w:rsidRPr="00ED2D3E" w:rsidRDefault="00B12531" w:rsidP="002E0EE8">
            <w:pPr>
              <w:rPr>
                <w:rFonts w:ascii="Arial" w:hAnsi="Arial" w:cs="Arial"/>
                <w:sz w:val="20"/>
                <w:szCs w:val="20"/>
              </w:rPr>
            </w:pPr>
            <w:r>
              <w:rPr>
                <w:rFonts w:ascii="Arial" w:hAnsi="Arial" w:cs="Arial"/>
                <w:sz w:val="20"/>
                <w:szCs w:val="20"/>
              </w:rPr>
              <w:t>RP/SB/CB</w:t>
            </w:r>
          </w:p>
        </w:tc>
        <w:tc>
          <w:tcPr>
            <w:tcW w:w="1479" w:type="dxa"/>
            <w:gridSpan w:val="2"/>
          </w:tcPr>
          <w:p w:rsidR="00B12531" w:rsidRPr="00ED2D3E" w:rsidRDefault="00B12531" w:rsidP="002E0EE8">
            <w:pPr>
              <w:rPr>
                <w:rFonts w:ascii="Arial" w:hAnsi="Arial" w:cs="Arial"/>
                <w:sz w:val="20"/>
                <w:szCs w:val="20"/>
              </w:rPr>
            </w:pPr>
            <w:r>
              <w:rPr>
                <w:rFonts w:ascii="Arial" w:hAnsi="Arial" w:cs="Arial"/>
                <w:sz w:val="20"/>
                <w:szCs w:val="20"/>
              </w:rPr>
              <w:t>Ongoing Action</w:t>
            </w:r>
          </w:p>
        </w:tc>
      </w:tr>
      <w:tr w:rsidR="00B12531" w:rsidRPr="00ED2D3E" w:rsidTr="002E0EE8">
        <w:tc>
          <w:tcPr>
            <w:tcW w:w="673" w:type="dxa"/>
          </w:tcPr>
          <w:p w:rsidR="00B12531" w:rsidRDefault="00B12531" w:rsidP="002E0EE8">
            <w:pPr>
              <w:rPr>
                <w:rFonts w:ascii="Arial" w:hAnsi="Arial" w:cs="Arial"/>
                <w:b/>
                <w:sz w:val="20"/>
                <w:szCs w:val="20"/>
              </w:rPr>
            </w:pPr>
            <w:r>
              <w:rPr>
                <w:rFonts w:ascii="Arial" w:hAnsi="Arial" w:cs="Arial"/>
                <w:b/>
                <w:sz w:val="20"/>
                <w:szCs w:val="20"/>
              </w:rPr>
              <w:t>2.</w:t>
            </w:r>
          </w:p>
        </w:tc>
        <w:tc>
          <w:tcPr>
            <w:tcW w:w="6381" w:type="dxa"/>
          </w:tcPr>
          <w:p w:rsidR="00B12531" w:rsidRDefault="00B12531" w:rsidP="002E0EE8">
            <w:pPr>
              <w:pStyle w:val="NormalWeb"/>
              <w:spacing w:after="0"/>
              <w:rPr>
                <w:rFonts w:ascii="Arial" w:hAnsi="Arial" w:cs="Arial"/>
                <w:sz w:val="20"/>
                <w:szCs w:val="20"/>
              </w:rPr>
            </w:pPr>
            <w:r>
              <w:rPr>
                <w:rFonts w:ascii="Arial" w:hAnsi="Arial" w:cs="Arial"/>
                <w:sz w:val="20"/>
                <w:szCs w:val="20"/>
              </w:rPr>
              <w:t>Research team to communicate directly with the safeguarding lead at each school to share all data collection tools to be used with students so schools are fully aware of the kinds of topics being covered and the potential for safeguarding reports to be prompted as part of the research.</w:t>
            </w:r>
          </w:p>
        </w:tc>
        <w:tc>
          <w:tcPr>
            <w:tcW w:w="1640" w:type="dxa"/>
          </w:tcPr>
          <w:p w:rsidR="00B12531" w:rsidRPr="00ED2D3E" w:rsidRDefault="00B12531" w:rsidP="002E0EE8">
            <w:pPr>
              <w:rPr>
                <w:rFonts w:ascii="Arial" w:hAnsi="Arial" w:cs="Arial"/>
                <w:sz w:val="20"/>
                <w:szCs w:val="20"/>
              </w:rPr>
            </w:pPr>
            <w:r>
              <w:rPr>
                <w:rFonts w:ascii="Arial" w:hAnsi="Arial" w:cs="Arial"/>
                <w:sz w:val="20"/>
                <w:szCs w:val="20"/>
              </w:rPr>
              <w:t>RP/SB/CB</w:t>
            </w:r>
          </w:p>
        </w:tc>
        <w:tc>
          <w:tcPr>
            <w:tcW w:w="1479" w:type="dxa"/>
            <w:gridSpan w:val="2"/>
          </w:tcPr>
          <w:p w:rsidR="00B12531" w:rsidRPr="00ED2D3E" w:rsidRDefault="00B12531" w:rsidP="002E0EE8">
            <w:pPr>
              <w:rPr>
                <w:rFonts w:ascii="Arial" w:hAnsi="Arial" w:cs="Arial"/>
                <w:sz w:val="20"/>
                <w:szCs w:val="20"/>
              </w:rPr>
            </w:pPr>
            <w:r>
              <w:rPr>
                <w:rFonts w:ascii="Arial" w:hAnsi="Arial" w:cs="Arial"/>
                <w:sz w:val="20"/>
                <w:szCs w:val="20"/>
              </w:rPr>
              <w:t>Ongoing Action</w:t>
            </w:r>
          </w:p>
        </w:tc>
      </w:tr>
      <w:tr w:rsidR="00B12531" w:rsidRPr="00ED2D3E" w:rsidTr="002E0EE8">
        <w:tc>
          <w:tcPr>
            <w:tcW w:w="673" w:type="dxa"/>
            <w:shd w:val="clear" w:color="auto" w:fill="FFFFFF" w:themeFill="background1"/>
          </w:tcPr>
          <w:p w:rsidR="00B12531" w:rsidRPr="0022730E" w:rsidRDefault="00B12531" w:rsidP="002E0EE8">
            <w:pPr>
              <w:rPr>
                <w:rFonts w:ascii="Arial" w:hAnsi="Arial" w:cs="Arial"/>
                <w:b/>
                <w:sz w:val="20"/>
                <w:szCs w:val="20"/>
              </w:rPr>
            </w:pPr>
            <w:r w:rsidRPr="0022730E">
              <w:rPr>
                <w:rFonts w:ascii="Arial" w:hAnsi="Arial" w:cs="Arial"/>
                <w:b/>
                <w:sz w:val="20"/>
                <w:szCs w:val="20"/>
              </w:rPr>
              <w:t>3.</w:t>
            </w:r>
          </w:p>
        </w:tc>
        <w:tc>
          <w:tcPr>
            <w:tcW w:w="6381" w:type="dxa"/>
            <w:shd w:val="clear" w:color="auto" w:fill="FFFFFF" w:themeFill="background1"/>
          </w:tcPr>
          <w:p w:rsidR="00B12531" w:rsidRPr="0022730E" w:rsidRDefault="00B12531" w:rsidP="002E0EE8">
            <w:pPr>
              <w:pStyle w:val="NormalWeb"/>
              <w:spacing w:after="0"/>
              <w:rPr>
                <w:rFonts w:ascii="Arial" w:hAnsi="Arial" w:cs="Arial"/>
                <w:sz w:val="20"/>
                <w:szCs w:val="20"/>
              </w:rPr>
            </w:pPr>
            <w:r w:rsidRPr="0022730E">
              <w:rPr>
                <w:rFonts w:ascii="Arial" w:hAnsi="Arial" w:cs="Arial"/>
                <w:sz w:val="20"/>
                <w:szCs w:val="20"/>
              </w:rPr>
              <w:t>AH and RK agreed that they were satisfied that the optimised intervention materials were appropriate for piloting in English secondary schools and were consistent with the theory of change and specification laid out in the protocol. RP to confirm agreement with JB via email.</w:t>
            </w:r>
          </w:p>
        </w:tc>
        <w:tc>
          <w:tcPr>
            <w:tcW w:w="1640" w:type="dxa"/>
            <w:shd w:val="clear" w:color="auto" w:fill="FFFFFF" w:themeFill="background1"/>
          </w:tcPr>
          <w:p w:rsidR="00B12531" w:rsidRPr="0022730E" w:rsidRDefault="00B12531" w:rsidP="002E0EE8">
            <w:pPr>
              <w:rPr>
                <w:rFonts w:ascii="Arial" w:hAnsi="Arial" w:cs="Arial"/>
                <w:sz w:val="20"/>
                <w:szCs w:val="20"/>
              </w:rPr>
            </w:pPr>
            <w:r w:rsidRPr="0022730E">
              <w:rPr>
                <w:rFonts w:ascii="Arial" w:hAnsi="Arial" w:cs="Arial"/>
                <w:sz w:val="20"/>
                <w:szCs w:val="20"/>
              </w:rPr>
              <w:t>RP</w:t>
            </w:r>
          </w:p>
        </w:tc>
        <w:tc>
          <w:tcPr>
            <w:tcW w:w="1479" w:type="dxa"/>
            <w:gridSpan w:val="2"/>
            <w:shd w:val="clear" w:color="auto" w:fill="FFFFFF" w:themeFill="background1"/>
          </w:tcPr>
          <w:p w:rsidR="00B12531" w:rsidRPr="0022730E" w:rsidRDefault="00B12531" w:rsidP="002E0EE8">
            <w:pPr>
              <w:rPr>
                <w:rFonts w:ascii="Arial" w:hAnsi="Arial" w:cs="Arial"/>
                <w:sz w:val="20"/>
                <w:szCs w:val="20"/>
              </w:rPr>
            </w:pPr>
            <w:r w:rsidRPr="0022730E">
              <w:rPr>
                <w:rFonts w:ascii="Arial" w:hAnsi="Arial" w:cs="Arial"/>
                <w:sz w:val="20"/>
                <w:szCs w:val="20"/>
              </w:rPr>
              <w:t>13</w:t>
            </w:r>
            <w:r w:rsidRPr="0022730E">
              <w:rPr>
                <w:rFonts w:ascii="Arial" w:hAnsi="Arial" w:cs="Arial"/>
                <w:sz w:val="20"/>
                <w:szCs w:val="20"/>
                <w:vertAlign w:val="superscript"/>
              </w:rPr>
              <w:t>th</w:t>
            </w:r>
            <w:r w:rsidRPr="0022730E">
              <w:rPr>
                <w:rFonts w:ascii="Arial" w:hAnsi="Arial" w:cs="Arial"/>
                <w:sz w:val="20"/>
                <w:szCs w:val="20"/>
              </w:rPr>
              <w:t xml:space="preserve"> July 2018</w:t>
            </w:r>
          </w:p>
        </w:tc>
      </w:tr>
      <w:tr w:rsidR="00B12531" w:rsidRPr="00ED2D3E" w:rsidTr="002E0EE8">
        <w:tc>
          <w:tcPr>
            <w:tcW w:w="673" w:type="dxa"/>
          </w:tcPr>
          <w:p w:rsidR="00B12531" w:rsidRDefault="00B12531" w:rsidP="002E0EE8">
            <w:pPr>
              <w:rPr>
                <w:rFonts w:ascii="Arial" w:hAnsi="Arial" w:cs="Arial"/>
                <w:b/>
                <w:sz w:val="20"/>
                <w:szCs w:val="20"/>
              </w:rPr>
            </w:pPr>
            <w:r>
              <w:rPr>
                <w:rFonts w:ascii="Arial" w:hAnsi="Arial" w:cs="Arial"/>
                <w:b/>
                <w:sz w:val="20"/>
                <w:szCs w:val="20"/>
              </w:rPr>
              <w:t>4.</w:t>
            </w:r>
          </w:p>
        </w:tc>
        <w:tc>
          <w:tcPr>
            <w:tcW w:w="6381" w:type="dxa"/>
          </w:tcPr>
          <w:p w:rsidR="00B12531" w:rsidRDefault="00B12531" w:rsidP="002E0EE8">
            <w:pPr>
              <w:pStyle w:val="NormalWeb"/>
              <w:spacing w:after="0"/>
              <w:rPr>
                <w:rFonts w:ascii="Arial" w:hAnsi="Arial" w:cs="Arial"/>
                <w:sz w:val="20"/>
                <w:szCs w:val="20"/>
              </w:rPr>
            </w:pPr>
            <w:r>
              <w:rPr>
                <w:rFonts w:ascii="Arial" w:hAnsi="Arial" w:cs="Arial"/>
                <w:sz w:val="20"/>
                <w:szCs w:val="20"/>
              </w:rPr>
              <w:t>Confirm that the Positive Choices manual and curriculum training gives clear direction for schools using external providers that if external providers deliver all RSE they should use the PC curriculum. If external providers deliver specialist sessions these should be delivered in addition to the PC curriculum.</w:t>
            </w:r>
          </w:p>
        </w:tc>
        <w:tc>
          <w:tcPr>
            <w:tcW w:w="1640" w:type="dxa"/>
          </w:tcPr>
          <w:p w:rsidR="00B12531" w:rsidRPr="00ED2D3E" w:rsidRDefault="00B12531" w:rsidP="002E0EE8">
            <w:pPr>
              <w:rPr>
                <w:rFonts w:ascii="Arial" w:hAnsi="Arial" w:cs="Arial"/>
                <w:sz w:val="20"/>
                <w:szCs w:val="20"/>
              </w:rPr>
            </w:pPr>
            <w:r>
              <w:rPr>
                <w:rFonts w:ascii="Arial" w:hAnsi="Arial" w:cs="Arial"/>
                <w:sz w:val="20"/>
                <w:szCs w:val="20"/>
              </w:rPr>
              <w:t>RP/SB/CB</w:t>
            </w:r>
          </w:p>
        </w:tc>
        <w:tc>
          <w:tcPr>
            <w:tcW w:w="1479" w:type="dxa"/>
            <w:gridSpan w:val="2"/>
          </w:tcPr>
          <w:p w:rsidR="00B12531" w:rsidRPr="00ED2D3E" w:rsidRDefault="00B12531" w:rsidP="002E0EE8">
            <w:pPr>
              <w:rPr>
                <w:rFonts w:ascii="Arial" w:hAnsi="Arial" w:cs="Arial"/>
                <w:sz w:val="20"/>
                <w:szCs w:val="20"/>
              </w:rPr>
            </w:pPr>
            <w:r>
              <w:rPr>
                <w:rFonts w:ascii="Arial" w:hAnsi="Arial" w:cs="Arial"/>
                <w:sz w:val="20"/>
                <w:szCs w:val="20"/>
              </w:rPr>
              <w:t>31</w:t>
            </w:r>
            <w:r w:rsidRPr="00183972">
              <w:rPr>
                <w:rFonts w:ascii="Arial" w:hAnsi="Arial" w:cs="Arial"/>
                <w:sz w:val="20"/>
                <w:szCs w:val="20"/>
                <w:vertAlign w:val="superscript"/>
              </w:rPr>
              <w:t>st</w:t>
            </w:r>
            <w:r>
              <w:rPr>
                <w:rFonts w:ascii="Arial" w:hAnsi="Arial" w:cs="Arial"/>
                <w:sz w:val="20"/>
                <w:szCs w:val="20"/>
              </w:rPr>
              <w:t xml:space="preserve"> July 2018</w:t>
            </w:r>
          </w:p>
        </w:tc>
      </w:tr>
      <w:tr w:rsidR="00B12531" w:rsidRPr="00ED2D3E" w:rsidTr="002E0EE8">
        <w:tc>
          <w:tcPr>
            <w:tcW w:w="673" w:type="dxa"/>
          </w:tcPr>
          <w:p w:rsidR="00B12531" w:rsidRDefault="00B12531" w:rsidP="002E0EE8">
            <w:pPr>
              <w:rPr>
                <w:rFonts w:ascii="Arial" w:hAnsi="Arial" w:cs="Arial"/>
                <w:b/>
                <w:sz w:val="20"/>
                <w:szCs w:val="20"/>
              </w:rPr>
            </w:pPr>
            <w:r>
              <w:rPr>
                <w:rFonts w:ascii="Arial" w:hAnsi="Arial" w:cs="Arial"/>
                <w:b/>
                <w:sz w:val="20"/>
                <w:szCs w:val="20"/>
              </w:rPr>
              <w:t>5.</w:t>
            </w:r>
          </w:p>
        </w:tc>
        <w:tc>
          <w:tcPr>
            <w:tcW w:w="6381" w:type="dxa"/>
          </w:tcPr>
          <w:p w:rsidR="00B12531" w:rsidRPr="00A0456D" w:rsidRDefault="00B12531" w:rsidP="002E0EE8">
            <w:pPr>
              <w:rPr>
                <w:rFonts w:ascii="Arial" w:hAnsi="Arial" w:cs="Arial"/>
                <w:sz w:val="20"/>
                <w:szCs w:val="20"/>
              </w:rPr>
            </w:pPr>
            <w:r>
              <w:rPr>
                <w:rFonts w:ascii="Arial" w:hAnsi="Arial" w:cs="Arial"/>
                <w:sz w:val="20"/>
                <w:szCs w:val="20"/>
              </w:rPr>
              <w:t>In meeting with SLT at pilot schools CB to include discussion of how PC materials dovetail with exiting provision in schools.  These meetings should also cover that SARS and SUSARS need to be notified to the research team and how this should be done.</w:t>
            </w:r>
          </w:p>
        </w:tc>
        <w:tc>
          <w:tcPr>
            <w:tcW w:w="1640" w:type="dxa"/>
          </w:tcPr>
          <w:p w:rsidR="00B12531" w:rsidRDefault="00B12531" w:rsidP="002E0EE8">
            <w:pPr>
              <w:rPr>
                <w:rFonts w:ascii="Arial" w:hAnsi="Arial" w:cs="Arial"/>
                <w:sz w:val="20"/>
                <w:szCs w:val="20"/>
              </w:rPr>
            </w:pPr>
            <w:r>
              <w:rPr>
                <w:rFonts w:ascii="Arial" w:hAnsi="Arial" w:cs="Arial"/>
                <w:sz w:val="20"/>
                <w:szCs w:val="20"/>
              </w:rPr>
              <w:t>CB</w:t>
            </w:r>
          </w:p>
        </w:tc>
        <w:tc>
          <w:tcPr>
            <w:tcW w:w="1479" w:type="dxa"/>
            <w:gridSpan w:val="2"/>
          </w:tcPr>
          <w:p w:rsidR="00B12531" w:rsidRPr="00ED2D3E" w:rsidRDefault="00B12531" w:rsidP="002E0EE8">
            <w:pPr>
              <w:rPr>
                <w:rFonts w:ascii="Arial" w:hAnsi="Arial" w:cs="Arial"/>
                <w:sz w:val="20"/>
                <w:szCs w:val="20"/>
              </w:rPr>
            </w:pPr>
            <w:r>
              <w:rPr>
                <w:rFonts w:ascii="Arial" w:hAnsi="Arial" w:cs="Arial"/>
                <w:sz w:val="20"/>
                <w:szCs w:val="20"/>
              </w:rPr>
              <w:t>31</w:t>
            </w:r>
            <w:r w:rsidRPr="00183972">
              <w:rPr>
                <w:rFonts w:ascii="Arial" w:hAnsi="Arial" w:cs="Arial"/>
                <w:sz w:val="20"/>
                <w:szCs w:val="20"/>
                <w:vertAlign w:val="superscript"/>
              </w:rPr>
              <w:t>st</w:t>
            </w:r>
            <w:r>
              <w:rPr>
                <w:rFonts w:ascii="Arial" w:hAnsi="Arial" w:cs="Arial"/>
                <w:sz w:val="20"/>
                <w:szCs w:val="20"/>
              </w:rPr>
              <w:t xml:space="preserve"> July 2018</w:t>
            </w:r>
          </w:p>
        </w:tc>
      </w:tr>
      <w:tr w:rsidR="00B12531" w:rsidRPr="00ED2D3E" w:rsidTr="002E0EE8">
        <w:tc>
          <w:tcPr>
            <w:tcW w:w="673" w:type="dxa"/>
          </w:tcPr>
          <w:p w:rsidR="00B12531" w:rsidRDefault="00B12531" w:rsidP="002E0EE8">
            <w:pPr>
              <w:rPr>
                <w:rFonts w:ascii="Arial" w:hAnsi="Arial" w:cs="Arial"/>
                <w:b/>
                <w:sz w:val="20"/>
                <w:szCs w:val="20"/>
              </w:rPr>
            </w:pPr>
            <w:r>
              <w:rPr>
                <w:rFonts w:ascii="Arial" w:hAnsi="Arial" w:cs="Arial"/>
                <w:b/>
                <w:sz w:val="20"/>
                <w:szCs w:val="20"/>
              </w:rPr>
              <w:t>6.</w:t>
            </w:r>
          </w:p>
        </w:tc>
        <w:tc>
          <w:tcPr>
            <w:tcW w:w="6381" w:type="dxa"/>
          </w:tcPr>
          <w:p w:rsidR="00B12531" w:rsidRDefault="00B12531" w:rsidP="002E0EE8">
            <w:pPr>
              <w:pStyle w:val="NormalWeb"/>
              <w:spacing w:after="0"/>
              <w:rPr>
                <w:rFonts w:ascii="Arial" w:hAnsi="Arial" w:cs="Arial"/>
                <w:sz w:val="20"/>
                <w:szCs w:val="20"/>
              </w:rPr>
            </w:pPr>
            <w:r>
              <w:rPr>
                <w:rFonts w:ascii="Arial" w:hAnsi="Arial" w:cs="Arial"/>
                <w:sz w:val="20"/>
                <w:szCs w:val="20"/>
              </w:rPr>
              <w:t xml:space="preserve">RP to formalise a list of things that were modified as part of the optimisation of the intervention materials.  These will need to be included in the final NIHR report. </w:t>
            </w:r>
          </w:p>
        </w:tc>
        <w:tc>
          <w:tcPr>
            <w:tcW w:w="1640" w:type="dxa"/>
          </w:tcPr>
          <w:p w:rsidR="00B12531" w:rsidRPr="00ED2D3E" w:rsidRDefault="00B12531" w:rsidP="002E0EE8">
            <w:pPr>
              <w:rPr>
                <w:rFonts w:ascii="Arial" w:hAnsi="Arial" w:cs="Arial"/>
                <w:sz w:val="20"/>
                <w:szCs w:val="20"/>
              </w:rPr>
            </w:pPr>
            <w:r>
              <w:rPr>
                <w:rFonts w:ascii="Arial" w:hAnsi="Arial" w:cs="Arial"/>
                <w:sz w:val="20"/>
                <w:szCs w:val="20"/>
              </w:rPr>
              <w:t>RP</w:t>
            </w:r>
          </w:p>
        </w:tc>
        <w:tc>
          <w:tcPr>
            <w:tcW w:w="1479" w:type="dxa"/>
            <w:gridSpan w:val="2"/>
          </w:tcPr>
          <w:p w:rsidR="00B12531" w:rsidRPr="00ED2D3E" w:rsidRDefault="00B12531" w:rsidP="002E0EE8">
            <w:pPr>
              <w:rPr>
                <w:rFonts w:ascii="Arial" w:hAnsi="Arial" w:cs="Arial"/>
                <w:sz w:val="20"/>
                <w:szCs w:val="20"/>
              </w:rPr>
            </w:pPr>
            <w:r>
              <w:rPr>
                <w:rFonts w:ascii="Arial" w:hAnsi="Arial" w:cs="Arial"/>
                <w:sz w:val="20"/>
                <w:szCs w:val="20"/>
              </w:rPr>
              <w:t>31</w:t>
            </w:r>
            <w:r w:rsidRPr="00183972">
              <w:rPr>
                <w:rFonts w:ascii="Arial" w:hAnsi="Arial" w:cs="Arial"/>
                <w:sz w:val="20"/>
                <w:szCs w:val="20"/>
                <w:vertAlign w:val="superscript"/>
              </w:rPr>
              <w:t>st</w:t>
            </w:r>
            <w:r>
              <w:rPr>
                <w:rFonts w:ascii="Arial" w:hAnsi="Arial" w:cs="Arial"/>
                <w:sz w:val="20"/>
                <w:szCs w:val="20"/>
              </w:rPr>
              <w:t xml:space="preserve"> July 2018</w:t>
            </w:r>
          </w:p>
        </w:tc>
      </w:tr>
      <w:tr w:rsidR="00B12531" w:rsidRPr="00ED2D3E" w:rsidTr="002E0EE8">
        <w:tc>
          <w:tcPr>
            <w:tcW w:w="673" w:type="dxa"/>
          </w:tcPr>
          <w:p w:rsidR="00B12531" w:rsidRDefault="00B12531" w:rsidP="002E0EE8">
            <w:pPr>
              <w:rPr>
                <w:rFonts w:ascii="Arial" w:hAnsi="Arial" w:cs="Arial"/>
                <w:b/>
                <w:sz w:val="20"/>
                <w:szCs w:val="20"/>
              </w:rPr>
            </w:pPr>
            <w:r>
              <w:rPr>
                <w:rFonts w:ascii="Arial" w:hAnsi="Arial" w:cs="Arial"/>
                <w:b/>
                <w:sz w:val="20"/>
                <w:szCs w:val="20"/>
              </w:rPr>
              <w:t>7.</w:t>
            </w:r>
          </w:p>
        </w:tc>
        <w:tc>
          <w:tcPr>
            <w:tcW w:w="6381" w:type="dxa"/>
          </w:tcPr>
          <w:p w:rsidR="00B12531" w:rsidRDefault="00B12531" w:rsidP="002E0EE8">
            <w:pPr>
              <w:pStyle w:val="NormalWeb"/>
              <w:spacing w:after="0"/>
              <w:rPr>
                <w:rFonts w:ascii="Arial" w:hAnsi="Arial" w:cs="Arial"/>
                <w:sz w:val="20"/>
                <w:szCs w:val="20"/>
              </w:rPr>
            </w:pPr>
            <w:r>
              <w:rPr>
                <w:rFonts w:ascii="Arial" w:hAnsi="Arial" w:cs="Arial"/>
                <w:sz w:val="20"/>
                <w:szCs w:val="20"/>
              </w:rPr>
              <w:t>When intervention delivery in optimisation school is complete, RP to prepare final fidelity calculation to report to SSC.</w:t>
            </w:r>
          </w:p>
        </w:tc>
        <w:tc>
          <w:tcPr>
            <w:tcW w:w="1640" w:type="dxa"/>
          </w:tcPr>
          <w:p w:rsidR="00B12531" w:rsidRDefault="00B12531" w:rsidP="002E0EE8">
            <w:pPr>
              <w:rPr>
                <w:rFonts w:ascii="Arial" w:hAnsi="Arial" w:cs="Arial"/>
                <w:sz w:val="20"/>
                <w:szCs w:val="20"/>
              </w:rPr>
            </w:pPr>
            <w:r>
              <w:rPr>
                <w:rFonts w:ascii="Arial" w:hAnsi="Arial" w:cs="Arial"/>
                <w:sz w:val="20"/>
                <w:szCs w:val="20"/>
              </w:rPr>
              <w:t>RP</w:t>
            </w:r>
          </w:p>
        </w:tc>
        <w:tc>
          <w:tcPr>
            <w:tcW w:w="1479" w:type="dxa"/>
            <w:gridSpan w:val="2"/>
          </w:tcPr>
          <w:p w:rsidR="00B12531" w:rsidRDefault="00B12531" w:rsidP="002E0EE8">
            <w:pPr>
              <w:rPr>
                <w:rFonts w:ascii="Arial" w:hAnsi="Arial" w:cs="Arial"/>
                <w:sz w:val="20"/>
                <w:szCs w:val="20"/>
              </w:rPr>
            </w:pPr>
            <w:r>
              <w:rPr>
                <w:rFonts w:ascii="Arial" w:hAnsi="Arial" w:cs="Arial"/>
                <w:sz w:val="20"/>
                <w:szCs w:val="20"/>
              </w:rPr>
              <w:t>17</w:t>
            </w:r>
            <w:r w:rsidRPr="00E50B70">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vertAlign w:val="superscript"/>
              </w:rPr>
              <w:t xml:space="preserve"> </w:t>
            </w:r>
            <w:r>
              <w:rPr>
                <w:rFonts w:ascii="Arial" w:hAnsi="Arial" w:cs="Arial"/>
                <w:sz w:val="20"/>
                <w:szCs w:val="20"/>
              </w:rPr>
              <w:t>August 2018</w:t>
            </w:r>
          </w:p>
        </w:tc>
      </w:tr>
      <w:tr w:rsidR="00B12531" w:rsidRPr="00ED2D3E" w:rsidTr="002E0EE8">
        <w:tc>
          <w:tcPr>
            <w:tcW w:w="673" w:type="dxa"/>
          </w:tcPr>
          <w:p w:rsidR="00B12531" w:rsidRPr="00ED2D3E" w:rsidRDefault="00B12531" w:rsidP="002E0EE8">
            <w:pPr>
              <w:rPr>
                <w:rFonts w:ascii="Arial" w:hAnsi="Arial" w:cs="Arial"/>
                <w:b/>
                <w:sz w:val="20"/>
                <w:szCs w:val="20"/>
              </w:rPr>
            </w:pPr>
            <w:r>
              <w:rPr>
                <w:rFonts w:ascii="Arial" w:hAnsi="Arial" w:cs="Arial"/>
                <w:b/>
                <w:sz w:val="20"/>
                <w:szCs w:val="20"/>
              </w:rPr>
              <w:lastRenderedPageBreak/>
              <w:t xml:space="preserve">8.  </w:t>
            </w:r>
          </w:p>
        </w:tc>
        <w:tc>
          <w:tcPr>
            <w:tcW w:w="6381" w:type="dxa"/>
          </w:tcPr>
          <w:p w:rsidR="00B12531" w:rsidRDefault="00B12531" w:rsidP="002E0EE8">
            <w:pPr>
              <w:pStyle w:val="NormalWeb"/>
              <w:spacing w:after="0"/>
              <w:rPr>
                <w:rFonts w:ascii="Arial" w:hAnsi="Arial" w:cs="Arial"/>
                <w:sz w:val="20"/>
                <w:szCs w:val="20"/>
              </w:rPr>
            </w:pPr>
            <w:r>
              <w:rPr>
                <w:rFonts w:ascii="Arial" w:hAnsi="Arial" w:cs="Arial"/>
                <w:sz w:val="20"/>
                <w:szCs w:val="20"/>
              </w:rPr>
              <w:t>LSHTM to report final fidelity for optimisation school to NIHR in August with a narrative of the complications the school was experiencing at the time of feasibility testing. Poor fidelity is considered not to result from the quality or characteristics of the intervention itself but from the extreme and particular circumstances the optimisation school were under at the time of implementation.</w:t>
            </w:r>
          </w:p>
        </w:tc>
        <w:tc>
          <w:tcPr>
            <w:tcW w:w="1640" w:type="dxa"/>
          </w:tcPr>
          <w:p w:rsidR="00B12531" w:rsidRDefault="00B12531" w:rsidP="002E0EE8">
            <w:pPr>
              <w:rPr>
                <w:rFonts w:ascii="Arial" w:hAnsi="Arial" w:cs="Arial"/>
                <w:sz w:val="20"/>
                <w:szCs w:val="20"/>
              </w:rPr>
            </w:pPr>
          </w:p>
        </w:tc>
        <w:tc>
          <w:tcPr>
            <w:tcW w:w="1479" w:type="dxa"/>
            <w:gridSpan w:val="2"/>
          </w:tcPr>
          <w:p w:rsidR="00B12531" w:rsidRDefault="00B12531" w:rsidP="002E0EE8">
            <w:pPr>
              <w:rPr>
                <w:rFonts w:ascii="Arial" w:hAnsi="Arial" w:cs="Arial"/>
                <w:sz w:val="20"/>
                <w:szCs w:val="20"/>
              </w:rPr>
            </w:pPr>
            <w:r>
              <w:rPr>
                <w:rFonts w:ascii="Arial" w:hAnsi="Arial" w:cs="Arial"/>
                <w:sz w:val="20"/>
                <w:szCs w:val="20"/>
              </w:rPr>
              <w:t>17</w:t>
            </w:r>
            <w:r w:rsidRPr="00E50B70">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vertAlign w:val="superscript"/>
              </w:rPr>
              <w:t xml:space="preserve"> </w:t>
            </w:r>
            <w:r>
              <w:rPr>
                <w:rFonts w:ascii="Arial" w:hAnsi="Arial" w:cs="Arial"/>
                <w:sz w:val="20"/>
                <w:szCs w:val="20"/>
              </w:rPr>
              <w:t>August 2018</w:t>
            </w:r>
          </w:p>
        </w:tc>
      </w:tr>
      <w:tr w:rsidR="00B12531" w:rsidRPr="00ED2D3E" w:rsidTr="002E0EE8">
        <w:tc>
          <w:tcPr>
            <w:tcW w:w="673" w:type="dxa"/>
          </w:tcPr>
          <w:p w:rsidR="00B12531" w:rsidRDefault="00B12531" w:rsidP="002E0EE8">
            <w:pPr>
              <w:rPr>
                <w:rFonts w:ascii="Arial" w:hAnsi="Arial" w:cs="Arial"/>
                <w:b/>
                <w:sz w:val="20"/>
                <w:szCs w:val="20"/>
              </w:rPr>
            </w:pPr>
            <w:r>
              <w:rPr>
                <w:rFonts w:ascii="Arial" w:hAnsi="Arial" w:cs="Arial"/>
                <w:b/>
                <w:sz w:val="20"/>
                <w:szCs w:val="20"/>
              </w:rPr>
              <w:t>9.</w:t>
            </w:r>
          </w:p>
        </w:tc>
        <w:tc>
          <w:tcPr>
            <w:tcW w:w="6381" w:type="dxa"/>
          </w:tcPr>
          <w:p w:rsidR="00B12531" w:rsidRDefault="00B12531" w:rsidP="002E0EE8">
            <w:pPr>
              <w:pStyle w:val="NormalWeb"/>
              <w:spacing w:after="0"/>
              <w:rPr>
                <w:rFonts w:ascii="Arial" w:hAnsi="Arial" w:cs="Arial"/>
                <w:sz w:val="20"/>
                <w:szCs w:val="20"/>
              </w:rPr>
            </w:pPr>
            <w:r>
              <w:rPr>
                <w:rFonts w:ascii="Arial" w:hAnsi="Arial" w:cs="Arial"/>
                <w:sz w:val="20"/>
                <w:szCs w:val="20"/>
              </w:rPr>
              <w:t>RP and SB to develop revised fidelity metrics for the pilot trial based on optimised materials and learning from feasibility phase and send to SSC for sign off.</w:t>
            </w:r>
          </w:p>
        </w:tc>
        <w:tc>
          <w:tcPr>
            <w:tcW w:w="1640" w:type="dxa"/>
          </w:tcPr>
          <w:p w:rsidR="00B12531" w:rsidRDefault="00B12531" w:rsidP="002E0EE8">
            <w:pPr>
              <w:rPr>
                <w:rFonts w:ascii="Arial" w:hAnsi="Arial" w:cs="Arial"/>
                <w:sz w:val="20"/>
                <w:szCs w:val="20"/>
              </w:rPr>
            </w:pPr>
            <w:r>
              <w:rPr>
                <w:rFonts w:ascii="Arial" w:hAnsi="Arial" w:cs="Arial"/>
                <w:sz w:val="20"/>
                <w:szCs w:val="20"/>
              </w:rPr>
              <w:t>RP/SB</w:t>
            </w:r>
          </w:p>
        </w:tc>
        <w:tc>
          <w:tcPr>
            <w:tcW w:w="1479" w:type="dxa"/>
            <w:gridSpan w:val="2"/>
          </w:tcPr>
          <w:p w:rsidR="00B12531" w:rsidRPr="00ED2D3E" w:rsidRDefault="00B12531" w:rsidP="002E0EE8">
            <w:pPr>
              <w:rPr>
                <w:rFonts w:ascii="Arial" w:hAnsi="Arial" w:cs="Arial"/>
                <w:sz w:val="20"/>
                <w:szCs w:val="20"/>
              </w:rPr>
            </w:pPr>
            <w:r>
              <w:rPr>
                <w:rFonts w:ascii="Arial" w:hAnsi="Arial" w:cs="Arial"/>
                <w:sz w:val="20"/>
                <w:szCs w:val="20"/>
              </w:rPr>
              <w:t>17</w:t>
            </w:r>
            <w:r w:rsidRPr="00E50B70">
              <w:rPr>
                <w:rFonts w:ascii="Arial" w:hAnsi="Arial" w:cs="Arial"/>
                <w:sz w:val="20"/>
                <w:szCs w:val="20"/>
                <w:vertAlign w:val="superscript"/>
              </w:rPr>
              <w:t>th</w:t>
            </w:r>
            <w:r>
              <w:rPr>
                <w:rFonts w:ascii="Arial" w:hAnsi="Arial" w:cs="Arial"/>
                <w:sz w:val="20"/>
                <w:szCs w:val="20"/>
              </w:rPr>
              <w:t xml:space="preserve"> </w:t>
            </w:r>
            <w:r>
              <w:rPr>
                <w:rFonts w:ascii="Arial" w:hAnsi="Arial" w:cs="Arial"/>
                <w:sz w:val="20"/>
                <w:szCs w:val="20"/>
                <w:vertAlign w:val="superscript"/>
              </w:rPr>
              <w:t xml:space="preserve"> </w:t>
            </w:r>
            <w:r>
              <w:rPr>
                <w:rFonts w:ascii="Arial" w:hAnsi="Arial" w:cs="Arial"/>
                <w:sz w:val="20"/>
                <w:szCs w:val="20"/>
              </w:rPr>
              <w:t>August 2018</w:t>
            </w:r>
          </w:p>
        </w:tc>
      </w:tr>
      <w:tr w:rsidR="00B12531" w:rsidRPr="00ED2D3E" w:rsidTr="002E0EE8">
        <w:tc>
          <w:tcPr>
            <w:tcW w:w="673" w:type="dxa"/>
          </w:tcPr>
          <w:p w:rsidR="00B12531" w:rsidRDefault="00B12531" w:rsidP="002E0EE8">
            <w:pPr>
              <w:rPr>
                <w:rFonts w:ascii="Arial" w:hAnsi="Arial" w:cs="Arial"/>
                <w:b/>
                <w:sz w:val="20"/>
                <w:szCs w:val="20"/>
              </w:rPr>
            </w:pPr>
            <w:r>
              <w:rPr>
                <w:rFonts w:ascii="Arial" w:hAnsi="Arial" w:cs="Arial"/>
                <w:b/>
                <w:sz w:val="20"/>
                <w:szCs w:val="20"/>
              </w:rPr>
              <w:t>10.</w:t>
            </w:r>
          </w:p>
        </w:tc>
        <w:tc>
          <w:tcPr>
            <w:tcW w:w="6381" w:type="dxa"/>
          </w:tcPr>
          <w:p w:rsidR="00B12531" w:rsidRDefault="00B12531" w:rsidP="002E0EE8">
            <w:pPr>
              <w:pStyle w:val="NormalWeb"/>
              <w:spacing w:after="0"/>
              <w:rPr>
                <w:rFonts w:ascii="Arial" w:hAnsi="Arial" w:cs="Arial"/>
                <w:sz w:val="20"/>
                <w:szCs w:val="20"/>
              </w:rPr>
            </w:pPr>
            <w:r>
              <w:rPr>
                <w:rFonts w:ascii="Arial" w:hAnsi="Arial" w:cs="Arial"/>
                <w:sz w:val="20"/>
                <w:szCs w:val="20"/>
              </w:rPr>
              <w:t>RP to circulate published protocol paper to SSC.</w:t>
            </w:r>
          </w:p>
        </w:tc>
        <w:tc>
          <w:tcPr>
            <w:tcW w:w="1640" w:type="dxa"/>
          </w:tcPr>
          <w:p w:rsidR="00B12531" w:rsidRDefault="00B12531" w:rsidP="002E0EE8">
            <w:pPr>
              <w:rPr>
                <w:rFonts w:ascii="Arial" w:hAnsi="Arial" w:cs="Arial"/>
                <w:sz w:val="20"/>
                <w:szCs w:val="20"/>
              </w:rPr>
            </w:pPr>
            <w:r>
              <w:rPr>
                <w:rFonts w:ascii="Arial" w:hAnsi="Arial" w:cs="Arial"/>
                <w:sz w:val="20"/>
                <w:szCs w:val="20"/>
              </w:rPr>
              <w:t>RP</w:t>
            </w:r>
          </w:p>
        </w:tc>
        <w:tc>
          <w:tcPr>
            <w:tcW w:w="1479" w:type="dxa"/>
            <w:gridSpan w:val="2"/>
          </w:tcPr>
          <w:p w:rsidR="00B12531" w:rsidRDefault="00B12531" w:rsidP="002E0EE8">
            <w:pPr>
              <w:rPr>
                <w:rFonts w:ascii="Arial" w:hAnsi="Arial" w:cs="Arial"/>
                <w:sz w:val="20"/>
                <w:szCs w:val="20"/>
              </w:rPr>
            </w:pPr>
            <w:r>
              <w:rPr>
                <w:rFonts w:ascii="Arial" w:hAnsi="Arial" w:cs="Arial"/>
                <w:sz w:val="20"/>
                <w:szCs w:val="20"/>
              </w:rPr>
              <w:t>13</w:t>
            </w:r>
            <w:r w:rsidRPr="002A3FAF">
              <w:rPr>
                <w:rFonts w:ascii="Arial" w:hAnsi="Arial" w:cs="Arial"/>
                <w:sz w:val="20"/>
                <w:szCs w:val="20"/>
                <w:vertAlign w:val="superscript"/>
              </w:rPr>
              <w:t>th</w:t>
            </w:r>
            <w:r>
              <w:rPr>
                <w:rFonts w:ascii="Arial" w:hAnsi="Arial" w:cs="Arial"/>
                <w:sz w:val="20"/>
                <w:szCs w:val="20"/>
              </w:rPr>
              <w:t xml:space="preserve"> July 2018</w:t>
            </w:r>
          </w:p>
        </w:tc>
      </w:tr>
    </w:tbl>
    <w:p w:rsidR="00B12531" w:rsidRDefault="00B12531" w:rsidP="00B12531">
      <w:pPr>
        <w:ind w:left="1440" w:firstLine="720"/>
        <w:rPr>
          <w:rFonts w:ascii="Calibri" w:hAnsi="Calibri" w:cs="Calibri"/>
          <w:b/>
          <w:color w:val="000000"/>
          <w:sz w:val="28"/>
          <w:szCs w:val="28"/>
        </w:rPr>
      </w:pPr>
    </w:p>
    <w:p w:rsidR="00B12531" w:rsidRDefault="00B12531" w:rsidP="00B12531">
      <w:pPr>
        <w:ind w:left="1440" w:firstLine="720"/>
        <w:rPr>
          <w:rFonts w:ascii="Calibri" w:hAnsi="Calibri" w:cs="Calibri"/>
          <w:b/>
          <w:color w:val="000000"/>
          <w:sz w:val="28"/>
          <w:szCs w:val="28"/>
        </w:rPr>
      </w:pPr>
      <w:r>
        <w:rPr>
          <w:rFonts w:ascii="Calibri" w:hAnsi="Calibri" w:cs="Calibri"/>
          <w:b/>
          <w:color w:val="000000"/>
          <w:sz w:val="28"/>
          <w:szCs w:val="28"/>
        </w:rPr>
        <w:t>Next meeting: Tuesday</w:t>
      </w:r>
      <w:r w:rsidRPr="00183972">
        <w:rPr>
          <w:rFonts w:ascii="Calibri" w:hAnsi="Calibri" w:cs="Calibri"/>
          <w:b/>
          <w:color w:val="000000"/>
          <w:sz w:val="28"/>
          <w:szCs w:val="28"/>
        </w:rPr>
        <w:t xml:space="preserve"> 3</w:t>
      </w:r>
      <w:r w:rsidRPr="00183972">
        <w:rPr>
          <w:rFonts w:ascii="Calibri" w:hAnsi="Calibri" w:cs="Calibri"/>
          <w:b/>
          <w:color w:val="000000"/>
          <w:sz w:val="28"/>
          <w:szCs w:val="28"/>
          <w:vertAlign w:val="superscript"/>
        </w:rPr>
        <w:t>rd</w:t>
      </w:r>
      <w:r>
        <w:rPr>
          <w:rFonts w:ascii="Calibri" w:hAnsi="Calibri" w:cs="Calibri"/>
          <w:b/>
          <w:color w:val="000000"/>
          <w:sz w:val="28"/>
          <w:szCs w:val="28"/>
        </w:rPr>
        <w:t xml:space="preserve"> October</w:t>
      </w:r>
      <w:r w:rsidRPr="00183972">
        <w:rPr>
          <w:rFonts w:ascii="Calibri" w:hAnsi="Calibri" w:cs="Calibri"/>
          <w:b/>
          <w:color w:val="000000"/>
          <w:sz w:val="28"/>
          <w:szCs w:val="28"/>
        </w:rPr>
        <w:t xml:space="preserve"> 2019 2-4pm.</w:t>
      </w:r>
    </w:p>
    <w:p w:rsidR="00B12531" w:rsidRDefault="00B12531" w:rsidP="00B12531">
      <w:pPr>
        <w:ind w:left="1440" w:firstLine="720"/>
        <w:rPr>
          <w:rFonts w:ascii="Calibri" w:hAnsi="Calibri" w:cs="Calibri"/>
          <w:b/>
          <w:sz w:val="28"/>
          <w:szCs w:val="28"/>
        </w:rPr>
      </w:pPr>
    </w:p>
    <w:p w:rsidR="00B12531" w:rsidRPr="00435F0D" w:rsidRDefault="00B12531" w:rsidP="00B12531"/>
    <w:p w:rsidR="00B12531" w:rsidRDefault="00B12531" w:rsidP="00B12531">
      <w:r>
        <w:t>Hi Ruth,</w:t>
      </w:r>
    </w:p>
    <w:p w:rsidR="00B12531" w:rsidRDefault="00B12531" w:rsidP="00B12531">
      <w:r>
        <w:t>I had not forgotten. I am more than happy to sign off on the materials.</w:t>
      </w:r>
    </w:p>
    <w:p w:rsidR="00B12531" w:rsidRDefault="00B12531" w:rsidP="00B12531"/>
    <w:p w:rsidR="00B12531" w:rsidRDefault="00B12531" w:rsidP="00B12531">
      <w:r>
        <w:t>Best regards John </w:t>
      </w:r>
    </w:p>
    <w:p w:rsidR="00B12531" w:rsidRDefault="00B12531" w:rsidP="00B12531"/>
    <w:p w:rsidR="00B12531" w:rsidRDefault="00B12531" w:rsidP="00B12531">
      <w:r>
        <w:t>On Fri, Jul 13, 2018, 13:43 Ruth Ponsford &lt;</w:t>
      </w:r>
      <w:hyperlink r:id="rId4" w:history="1">
        <w:r>
          <w:rPr>
            <w:rStyle w:val="Hyperlink"/>
          </w:rPr>
          <w:t>Ruth.Ponsford@lshtm.ac.uk</w:t>
        </w:r>
      </w:hyperlink>
      <w:r>
        <w:t>&gt; wrote:</w:t>
      </w:r>
    </w:p>
    <w:p w:rsidR="00B12531" w:rsidRDefault="00B12531" w:rsidP="00B12531">
      <w:r>
        <w:rPr>
          <w:rFonts w:ascii="Calibri" w:hAnsi="Calibri"/>
          <w:color w:val="1F497D"/>
        </w:rPr>
        <w:t>Great. Thanks. John.  No problem.</w:t>
      </w:r>
    </w:p>
    <w:p w:rsidR="00B12531" w:rsidRDefault="00B12531" w:rsidP="00B12531">
      <w:r>
        <w:rPr>
          <w:rFonts w:ascii="Calibri" w:hAnsi="Calibri"/>
          <w:color w:val="1F497D"/>
        </w:rPr>
        <w:t> </w:t>
      </w:r>
    </w:p>
    <w:p w:rsidR="00B12531" w:rsidRDefault="00B12531" w:rsidP="00B12531">
      <w:r>
        <w:rPr>
          <w:rFonts w:ascii="Calibri" w:hAnsi="Calibri"/>
          <w:bCs/>
          <w:lang w:val="en-US"/>
        </w:rPr>
        <w:t>From:</w:t>
      </w:r>
      <w:r>
        <w:rPr>
          <w:rFonts w:ascii="Calibri" w:hAnsi="Calibri"/>
          <w:lang w:val="en-US"/>
        </w:rPr>
        <w:t xml:space="preserve"> John Belcher &lt;</w:t>
      </w:r>
      <w:hyperlink r:id="rId5" w:tgtFrame="_blank" w:history="1">
        <w:r>
          <w:rPr>
            <w:rStyle w:val="Hyperlink"/>
            <w:rFonts w:ascii="Calibri" w:hAnsi="Calibri"/>
          </w:rPr>
          <w:t>j.belcher@keele.ac.uk</w:t>
        </w:r>
      </w:hyperlink>
      <w:r>
        <w:rPr>
          <w:rFonts w:ascii="Calibri" w:hAnsi="Calibri"/>
          <w:lang w:val="en-US"/>
        </w:rPr>
        <w:t xml:space="preserve">&gt; </w:t>
      </w:r>
      <w:r>
        <w:rPr>
          <w:rFonts w:ascii="Calibri" w:hAnsi="Calibri"/>
          <w:lang w:val="en-US"/>
        </w:rPr>
        <w:br/>
      </w:r>
      <w:r>
        <w:rPr>
          <w:rFonts w:ascii="Calibri" w:hAnsi="Calibri"/>
          <w:bCs/>
          <w:lang w:val="en-US"/>
        </w:rPr>
        <w:t>Sent:</w:t>
      </w:r>
      <w:r>
        <w:rPr>
          <w:rFonts w:ascii="Calibri" w:hAnsi="Calibri"/>
          <w:lang w:val="en-US"/>
        </w:rPr>
        <w:t xml:space="preserve"> 13 July 2018 13:40</w:t>
      </w:r>
      <w:r>
        <w:rPr>
          <w:rFonts w:ascii="Calibri" w:hAnsi="Calibri"/>
          <w:lang w:val="en-US"/>
        </w:rPr>
        <w:br/>
      </w:r>
      <w:r>
        <w:rPr>
          <w:rFonts w:ascii="Calibri" w:hAnsi="Calibri"/>
          <w:bCs/>
          <w:lang w:val="en-US"/>
        </w:rPr>
        <w:t>To:</w:t>
      </w:r>
      <w:r>
        <w:rPr>
          <w:rFonts w:ascii="Calibri" w:hAnsi="Calibri"/>
          <w:lang w:val="en-US"/>
        </w:rPr>
        <w:t xml:space="preserve"> Ruth Ponsford &lt;</w:t>
      </w:r>
      <w:hyperlink r:id="rId6" w:tgtFrame="_blank" w:history="1">
        <w:r>
          <w:rPr>
            <w:rStyle w:val="Hyperlink"/>
            <w:rFonts w:ascii="Calibri" w:hAnsi="Calibri"/>
          </w:rPr>
          <w:t>Ruth.Ponsford@lshtm.ac.uk</w:t>
        </w:r>
      </w:hyperlink>
      <w:r>
        <w:rPr>
          <w:rFonts w:ascii="Calibri" w:hAnsi="Calibri"/>
          <w:lang w:val="en-US"/>
        </w:rPr>
        <w:t>&gt;</w:t>
      </w:r>
      <w:r>
        <w:rPr>
          <w:rFonts w:ascii="Calibri" w:hAnsi="Calibri"/>
          <w:lang w:val="en-US"/>
        </w:rPr>
        <w:br/>
      </w:r>
      <w:r>
        <w:rPr>
          <w:rFonts w:ascii="Calibri" w:hAnsi="Calibri"/>
          <w:bCs/>
          <w:lang w:val="en-US"/>
        </w:rPr>
        <w:t>Subject:</w:t>
      </w:r>
      <w:r>
        <w:rPr>
          <w:rFonts w:ascii="Calibri" w:hAnsi="Calibri"/>
          <w:lang w:val="en-US"/>
        </w:rPr>
        <w:t xml:space="preserve"> Re: Sign off of Positive Choices intervention materials</w:t>
      </w:r>
    </w:p>
    <w:p w:rsidR="00B12531" w:rsidRDefault="00B12531" w:rsidP="00B12531">
      <w:r>
        <w:t> </w:t>
      </w:r>
    </w:p>
    <w:p w:rsidR="00B12531" w:rsidRDefault="00B12531" w:rsidP="00B12531">
      <w:r>
        <w:t>Hi Ruth,</w:t>
      </w:r>
    </w:p>
    <w:p w:rsidR="00B12531" w:rsidRDefault="00B12531" w:rsidP="00B12531">
      <w:r>
        <w:t>I am back on Monday and can do it then. </w:t>
      </w:r>
    </w:p>
    <w:p w:rsidR="00B12531" w:rsidRDefault="00B12531" w:rsidP="00B12531">
      <w:r>
        <w:t>Thanks your patience.</w:t>
      </w:r>
    </w:p>
    <w:p w:rsidR="00B12531" w:rsidRDefault="00B12531" w:rsidP="00B12531">
      <w:r>
        <w:t> </w:t>
      </w:r>
    </w:p>
    <w:p w:rsidR="00B12531" w:rsidRDefault="00B12531" w:rsidP="00B12531">
      <w:r>
        <w:t>Regards john</w:t>
      </w:r>
    </w:p>
    <w:p w:rsidR="00B12531" w:rsidRDefault="00B12531" w:rsidP="00B12531">
      <w:r>
        <w:t> </w:t>
      </w:r>
    </w:p>
    <w:p w:rsidR="00B12531" w:rsidRDefault="00B12531" w:rsidP="00B12531">
      <w:r>
        <w:t>On Tue, Jul 3, 2018, 22:46 Ruth Ponsford &lt;</w:t>
      </w:r>
      <w:hyperlink r:id="rId7" w:tgtFrame="_blank" w:history="1">
        <w:r>
          <w:rPr>
            <w:rStyle w:val="Hyperlink"/>
          </w:rPr>
          <w:t>Ruth.Ponsford@lshtm.ac.uk</w:t>
        </w:r>
      </w:hyperlink>
      <w:r>
        <w:t>&gt; wrote:</w:t>
      </w:r>
    </w:p>
    <w:p w:rsidR="00B12531" w:rsidRDefault="00B12531" w:rsidP="00B12531">
      <w:r>
        <w:t>Hi John</w:t>
      </w:r>
    </w:p>
    <w:p w:rsidR="00B12531" w:rsidRDefault="00B12531" w:rsidP="00B12531">
      <w:r>
        <w:t> </w:t>
      </w:r>
    </w:p>
    <w:p w:rsidR="00B12531" w:rsidRDefault="00B12531" w:rsidP="00B12531">
      <w:r>
        <w:lastRenderedPageBreak/>
        <w:t xml:space="preserve">Hope you are feeling a bit better this week.   I just wanted to let you know that on the Positive Choices SSC teleconference last week Angela and Ros agreed that the intervention materials were appropriate for use in the pilot trial.  When you are feeling up to it, could you please advise if you agree that that materials are consistent with the theory of change, meet the specification laid out in the protocol and are contextually appropriate for piloting in English secondary schools.  </w:t>
      </w:r>
    </w:p>
    <w:p w:rsidR="00B12531" w:rsidRDefault="00B12531" w:rsidP="00B12531">
      <w:r>
        <w:t> </w:t>
      </w:r>
    </w:p>
    <w:p w:rsidR="00B12531" w:rsidRDefault="00B12531" w:rsidP="00B12531">
      <w:r>
        <w:t>I will be sending around actions from the meeting at some point this week.</w:t>
      </w:r>
    </w:p>
    <w:p w:rsidR="00B12531" w:rsidRDefault="00B12531" w:rsidP="00B12531">
      <w:r>
        <w:t> </w:t>
      </w:r>
    </w:p>
    <w:p w:rsidR="00B12531" w:rsidRDefault="00B12531" w:rsidP="00B12531">
      <w:r>
        <w:t>All the very best,</w:t>
      </w:r>
    </w:p>
    <w:p w:rsidR="00B12531" w:rsidRDefault="00B12531" w:rsidP="00B12531">
      <w:r>
        <w:t> </w:t>
      </w:r>
    </w:p>
    <w:p w:rsidR="00B12531" w:rsidRDefault="00B12531" w:rsidP="00B12531">
      <w:r>
        <w:t>Ruth</w:t>
      </w:r>
    </w:p>
    <w:p w:rsidR="00B12531" w:rsidRDefault="00B12531" w:rsidP="00B12531">
      <w:r>
        <w:t> </w:t>
      </w:r>
    </w:p>
    <w:p w:rsidR="00B12531" w:rsidRDefault="00B12531" w:rsidP="00B12531">
      <w:r>
        <w:rPr>
          <w:rFonts w:ascii="Segoe UI" w:hAnsi="Segoe UI" w:cs="Segoe UI"/>
          <w:color w:val="000000"/>
          <w:sz w:val="20"/>
          <w:szCs w:val="20"/>
          <w:shd w:val="clear" w:color="auto" w:fill="FFFFFF"/>
        </w:rPr>
        <w:t>Dr Ruth Ponsford</w:t>
      </w:r>
    </w:p>
    <w:p w:rsidR="00B12531" w:rsidRDefault="00B12531" w:rsidP="00B12531">
      <w:r>
        <w:rPr>
          <w:rFonts w:ascii="Segoe UI" w:hAnsi="Segoe UI" w:cs="Segoe UI"/>
          <w:color w:val="000000"/>
          <w:sz w:val="20"/>
          <w:szCs w:val="20"/>
          <w:shd w:val="clear" w:color="auto" w:fill="FFFFFF"/>
        </w:rPr>
        <w:t>Research Fellow</w:t>
      </w:r>
      <w:r>
        <w:rPr>
          <w:rFonts w:ascii="Segoe UI" w:hAnsi="Segoe UI" w:cs="Segoe UI"/>
          <w:color w:val="000000"/>
          <w:sz w:val="20"/>
          <w:szCs w:val="20"/>
          <w:shd w:val="clear" w:color="auto" w:fill="FFFFFF"/>
        </w:rPr>
        <w:br/>
        <w:t>London School of Hygiene and Tropical Medicine</w:t>
      </w:r>
      <w:r>
        <w:rPr>
          <w:rFonts w:ascii="Segoe UI" w:hAnsi="Segoe UI" w:cs="Segoe UI"/>
          <w:color w:val="000000"/>
          <w:sz w:val="20"/>
          <w:szCs w:val="20"/>
          <w:shd w:val="clear" w:color="auto" w:fill="FFFFFF"/>
        </w:rPr>
        <w:br/>
        <w:t>Room 219</w:t>
      </w:r>
      <w:r>
        <w:rPr>
          <w:rFonts w:ascii="Segoe UI" w:hAnsi="Segoe UI" w:cs="Segoe UI"/>
          <w:color w:val="000000"/>
          <w:sz w:val="20"/>
          <w:szCs w:val="20"/>
          <w:shd w:val="clear" w:color="auto" w:fill="FFFFFF"/>
        </w:rPr>
        <w:br/>
        <w:t>15-17 Tavistock Place</w:t>
      </w:r>
      <w:r>
        <w:rPr>
          <w:rFonts w:ascii="Segoe UI" w:hAnsi="Segoe UI" w:cs="Segoe UI"/>
          <w:color w:val="000000"/>
          <w:sz w:val="20"/>
          <w:szCs w:val="20"/>
          <w:shd w:val="clear" w:color="auto" w:fill="FFFFFF"/>
        </w:rPr>
        <w:br/>
        <w:t>London</w:t>
      </w:r>
      <w:r>
        <w:rPr>
          <w:rFonts w:ascii="Segoe UI" w:hAnsi="Segoe UI" w:cs="Segoe UI"/>
          <w:color w:val="000000"/>
          <w:sz w:val="20"/>
          <w:szCs w:val="20"/>
          <w:shd w:val="clear" w:color="auto" w:fill="FFFFFF"/>
        </w:rPr>
        <w:br/>
        <w:t>WC1H 9SH</w:t>
      </w:r>
      <w:r>
        <w:rPr>
          <w:rFonts w:ascii="Segoe UI" w:hAnsi="Segoe UI" w:cs="Segoe UI"/>
          <w:color w:val="000000"/>
          <w:sz w:val="20"/>
          <w:szCs w:val="20"/>
          <w:shd w:val="clear" w:color="auto" w:fill="FFFFFF"/>
        </w:rPr>
        <w:br/>
        <w:t>T: </w:t>
      </w:r>
      <w:r>
        <w:rPr>
          <w:rFonts w:ascii="Segoe UI" w:hAnsi="Segoe UI" w:cs="Segoe UI"/>
          <w:color w:val="1F497D"/>
          <w:sz w:val="20"/>
          <w:szCs w:val="20"/>
          <w:shd w:val="clear" w:color="auto" w:fill="FFFFFF"/>
        </w:rPr>
        <w:t>+44 (0) 207 958 8101</w:t>
      </w:r>
    </w:p>
    <w:p w:rsidR="00B12531" w:rsidRDefault="00B12531" w:rsidP="00B12531">
      <w:hyperlink r:id="rId8" w:tgtFrame="_blank" w:history="1">
        <w:r>
          <w:rPr>
            <w:rStyle w:val="Hyperlink"/>
            <w:rFonts w:ascii="Segoe UI" w:hAnsi="Segoe UI" w:cs="Segoe UI"/>
            <w:sz w:val="18"/>
            <w:szCs w:val="18"/>
            <w:shd w:val="clear" w:color="auto" w:fill="FFFFFF"/>
          </w:rPr>
          <w:t>ruth.ponsford@LSHTM.ac.uk</w:t>
        </w:r>
      </w:hyperlink>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b/>
          <w:sz w:val="20"/>
          <w:szCs w:val="20"/>
        </w:rPr>
      </w:pPr>
    </w:p>
    <w:p w:rsidR="00B12531" w:rsidRDefault="00B12531" w:rsidP="00B12531">
      <w:pPr>
        <w:rPr>
          <w:noProof/>
          <w:sz w:val="28"/>
          <w:szCs w:val="28"/>
          <w:lang w:eastAsia="en-GB"/>
        </w:rPr>
      </w:pPr>
    </w:p>
    <w:p w:rsidR="00B12531" w:rsidRDefault="00B12531" w:rsidP="00B12531">
      <w:pPr>
        <w:rPr>
          <w:noProof/>
          <w:sz w:val="28"/>
          <w:szCs w:val="28"/>
          <w:lang w:eastAsia="en-GB"/>
        </w:rPr>
      </w:pPr>
    </w:p>
    <w:p w:rsidR="00B12531" w:rsidRDefault="00B12531" w:rsidP="00B12531">
      <w:pPr>
        <w:rPr>
          <w:noProof/>
          <w:sz w:val="28"/>
          <w:szCs w:val="28"/>
          <w:lang w:eastAsia="en-GB"/>
        </w:rPr>
      </w:pPr>
    </w:p>
    <w:p w:rsidR="00A268F8" w:rsidRDefault="00A268F8">
      <w:bookmarkStart w:id="2" w:name="_GoBack"/>
      <w:bookmarkEnd w:id="2"/>
    </w:p>
    <w:sectPr w:rsidR="00A268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31"/>
    <w:rsid w:val="00A268F8"/>
    <w:rsid w:val="00B12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0579"/>
  <w15:chartTrackingRefBased/>
  <w15:docId w15:val="{C57C73C3-2520-420C-B256-043785A32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531"/>
  </w:style>
  <w:style w:type="paragraph" w:styleId="Heading1">
    <w:name w:val="heading 1"/>
    <w:basedOn w:val="Normal"/>
    <w:next w:val="Normal"/>
    <w:link w:val="Heading1Char"/>
    <w:uiPriority w:val="9"/>
    <w:qFormat/>
    <w:rsid w:val="00B125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25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53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53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12531"/>
    <w:rPr>
      <w:color w:val="0563C1" w:themeColor="hyperlink"/>
      <w:u w:val="single"/>
    </w:rPr>
  </w:style>
  <w:style w:type="paragraph" w:styleId="NormalWeb">
    <w:name w:val="Normal (Web)"/>
    <w:basedOn w:val="Normal"/>
    <w:uiPriority w:val="99"/>
    <w:unhideWhenUsed/>
    <w:rsid w:val="00B1253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h.ponsford@LSHTM.ac.uk" TargetMode="External"/><Relationship Id="rId3" Type="http://schemas.openxmlformats.org/officeDocument/2006/relationships/webSettings" Target="webSettings.xml"/><Relationship Id="rId7" Type="http://schemas.openxmlformats.org/officeDocument/2006/relationships/hyperlink" Target="mailto:Ruth.Ponsford@lshtm.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Ponsford@lshtm.ac.uk" TargetMode="External"/><Relationship Id="rId5" Type="http://schemas.openxmlformats.org/officeDocument/2006/relationships/hyperlink" Target="mailto:j.belcher@keele.ac.uk" TargetMode="External"/><Relationship Id="rId10" Type="http://schemas.openxmlformats.org/officeDocument/2006/relationships/theme" Target="theme/theme1.xml"/><Relationship Id="rId4" Type="http://schemas.openxmlformats.org/officeDocument/2006/relationships/hyperlink" Target="mailto:Ruth.Ponsford@lshtm.ac.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Ponsford</dc:creator>
  <cp:keywords/>
  <dc:description/>
  <cp:lastModifiedBy>Ruth Ponsford</cp:lastModifiedBy>
  <cp:revision>1</cp:revision>
  <dcterms:created xsi:type="dcterms:W3CDTF">2020-06-30T21:09:00Z</dcterms:created>
  <dcterms:modified xsi:type="dcterms:W3CDTF">2020-06-30T21:09:00Z</dcterms:modified>
</cp:coreProperties>
</file>